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A6897">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黑体" w:hAnsi="黑体" w:eastAsia="黑体" w:cs="黑体"/>
          <w:b w:val="0"/>
          <w:bCs/>
          <w:kern w:val="0"/>
          <w:sz w:val="36"/>
          <w:szCs w:val="36"/>
          <w:highlight w:val="none"/>
          <w:lang w:val="en-US" w:eastAsia="zh-CN"/>
        </w:rPr>
        <w:t>2025年大竹县人民医院网络和信息系统密码应用安全性评估服务项目（第三次）采购需求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536937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Style w:val="10"/>
          <w:rFonts w:hint="eastAsia" w:ascii="仿宋" w:hAnsi="仿宋" w:eastAsia="仿宋" w:cs="仿宋"/>
          <w:b w:val="0"/>
          <w:bCs w:val="0"/>
          <w:i w:val="0"/>
          <w:iCs w:val="0"/>
          <w:caps w:val="0"/>
          <w:color w:val="FF0000"/>
          <w:spacing w:val="0"/>
          <w:kern w:val="0"/>
          <w:sz w:val="28"/>
          <w:szCs w:val="28"/>
          <w:lang w:val="en-US" w:eastAsia="zh-CN" w:bidi="ar"/>
        </w:rPr>
      </w:pPr>
      <w:r>
        <w:rPr>
          <w:rStyle w:val="10"/>
          <w:rFonts w:hint="eastAsia" w:ascii="仿宋" w:hAnsi="仿宋" w:eastAsia="仿宋" w:cs="仿宋"/>
          <w:b w:val="0"/>
          <w:bCs w:val="0"/>
          <w:i w:val="0"/>
          <w:iCs w:val="0"/>
          <w:caps w:val="0"/>
          <w:color w:val="FF0000"/>
          <w:spacing w:val="0"/>
          <w:kern w:val="0"/>
          <w:sz w:val="28"/>
          <w:szCs w:val="28"/>
          <w:lang w:val="en-US" w:eastAsia="zh-CN" w:bidi="ar"/>
        </w:rPr>
        <w:t>采购人付费委托一家具有相应能力的供应商，完成大竹县人民医院重要网络和信息系统密码应用安全性评估工作。</w:t>
      </w:r>
    </w:p>
    <w:p w14:paraId="79BAB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0"/>
          <w:rFonts w:hint="eastAsia" w:ascii="仿宋" w:hAnsi="仿宋" w:eastAsia="仿宋" w:cs="仿宋"/>
          <w:b w:val="0"/>
          <w:bCs w:val="0"/>
          <w:i w:val="0"/>
          <w:iCs w:val="0"/>
          <w:caps w:val="0"/>
          <w:color w:val="FF0000"/>
          <w:spacing w:val="0"/>
          <w:kern w:val="0"/>
          <w:sz w:val="28"/>
          <w:szCs w:val="28"/>
          <w:lang w:val="en-US" w:eastAsia="zh-CN" w:bidi="ar"/>
        </w:rPr>
      </w:pPr>
      <w:r>
        <w:rPr>
          <w:rStyle w:val="10"/>
          <w:rFonts w:hint="eastAsia" w:ascii="仿宋" w:hAnsi="仿宋" w:eastAsia="仿宋" w:cs="仿宋"/>
          <w:b w:val="0"/>
          <w:bCs w:val="0"/>
          <w:i w:val="0"/>
          <w:iCs w:val="0"/>
          <w:caps w:val="0"/>
          <w:color w:val="FF0000"/>
          <w:spacing w:val="0"/>
          <w:kern w:val="0"/>
          <w:sz w:val="28"/>
          <w:szCs w:val="28"/>
          <w:lang w:val="en-US" w:eastAsia="zh-CN" w:bidi="ar"/>
        </w:rPr>
        <w:t>按大竹县人民医院重要网络和信息系统密码应用安全性评估工作的要求完成采购人的“数据交换平台系统”密评工作，并向采购人提供合格的工作成果，包括不限于网络与信息系统密评备案信息表，负责提供密码应用方案，出具密评方案和系统评估报告，并与备案信息表的扫描件在2025年12月25日前一并报大竹县密码管理局备案。</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12"/>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12"/>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75000.00</w:t>
      </w:r>
    </w:p>
    <w:p w14:paraId="51CF0EAE">
      <w:pPr>
        <w:pStyle w:val="11"/>
        <w:spacing w:line="360" w:lineRule="auto"/>
        <w:ind w:firstLine="560"/>
        <w:jc w:val="center"/>
        <w:rPr>
          <w:rFonts w:hint="eastAsia" w:ascii="仿宋" w:hAnsi="仿宋" w:eastAsia="仿宋" w:cs="仿宋"/>
          <w:bCs/>
          <w:sz w:val="28"/>
          <w:szCs w:val="28"/>
        </w:rPr>
      </w:pPr>
      <w:r>
        <w:rPr>
          <w:rFonts w:hint="eastAsia" w:ascii="仿宋" w:hAnsi="仿宋" w:eastAsia="仿宋" w:cs="仿宋"/>
          <w:bCs/>
          <w:sz w:val="28"/>
          <w:szCs w:val="28"/>
        </w:rPr>
        <w:t>采购清单一览表</w:t>
      </w:r>
    </w:p>
    <w:tbl>
      <w:tblPr>
        <w:tblStyle w:val="8"/>
        <w:tblW w:w="8890"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0"/>
        <w:gridCol w:w="2196"/>
        <w:gridCol w:w="579"/>
        <w:gridCol w:w="840"/>
        <w:gridCol w:w="2255"/>
        <w:gridCol w:w="1574"/>
      </w:tblGrid>
      <w:tr w14:paraId="6202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dxa"/>
            <w:vAlign w:val="center"/>
          </w:tcPr>
          <w:p w14:paraId="0F731689">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序号</w:t>
            </w:r>
          </w:p>
        </w:tc>
        <w:tc>
          <w:tcPr>
            <w:tcW w:w="990" w:type="dxa"/>
            <w:vAlign w:val="center"/>
          </w:tcPr>
          <w:p w14:paraId="4D3439C5">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项目类型</w:t>
            </w:r>
          </w:p>
        </w:tc>
        <w:tc>
          <w:tcPr>
            <w:tcW w:w="2196" w:type="dxa"/>
            <w:vAlign w:val="center"/>
          </w:tcPr>
          <w:p w14:paraId="679916A7">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项目名称</w:t>
            </w:r>
          </w:p>
        </w:tc>
        <w:tc>
          <w:tcPr>
            <w:tcW w:w="579" w:type="dxa"/>
            <w:vAlign w:val="center"/>
          </w:tcPr>
          <w:p w14:paraId="7706E792">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tc>
        <w:tc>
          <w:tcPr>
            <w:tcW w:w="840" w:type="dxa"/>
            <w:vAlign w:val="center"/>
          </w:tcPr>
          <w:p w14:paraId="5EEEC340">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2255" w:type="dxa"/>
            <w:vAlign w:val="center"/>
          </w:tcPr>
          <w:p w14:paraId="08C547CB">
            <w:pPr>
              <w:pStyle w:val="2"/>
              <w:keepNext w:val="0"/>
              <w:keepLines w:val="0"/>
              <w:suppressLineNumbers w:val="0"/>
              <w:spacing w:before="0" w:beforeAutospacing="0" w:afterAutospacing="0"/>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tc>
        <w:tc>
          <w:tcPr>
            <w:tcW w:w="1574" w:type="dxa"/>
            <w:vAlign w:val="center"/>
          </w:tcPr>
          <w:p w14:paraId="135FEC8C">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最高限价（元）</w:t>
            </w:r>
          </w:p>
        </w:tc>
      </w:tr>
      <w:tr w14:paraId="6C16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456" w:type="dxa"/>
            <w:vAlign w:val="center"/>
          </w:tcPr>
          <w:p w14:paraId="141D5B3E">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990" w:type="dxa"/>
            <w:vAlign w:val="center"/>
          </w:tcPr>
          <w:p w14:paraId="45420D00">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服务类</w:t>
            </w:r>
          </w:p>
        </w:tc>
        <w:tc>
          <w:tcPr>
            <w:tcW w:w="2196" w:type="dxa"/>
            <w:vAlign w:val="center"/>
          </w:tcPr>
          <w:p w14:paraId="2D49C1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28"/>
                <w:szCs w:val="28"/>
              </w:rPr>
            </w:pPr>
            <w:r>
              <w:rPr>
                <w:rStyle w:val="10"/>
                <w:rFonts w:hint="eastAsia" w:ascii="仿宋" w:hAnsi="仿宋" w:eastAsia="仿宋" w:cs="仿宋"/>
                <w:b w:val="0"/>
                <w:bCs w:val="0"/>
                <w:i w:val="0"/>
                <w:iCs w:val="0"/>
                <w:caps w:val="0"/>
                <w:color w:val="FF0000"/>
                <w:spacing w:val="0"/>
                <w:sz w:val="28"/>
                <w:szCs w:val="28"/>
                <w:lang w:val="en-US" w:eastAsia="zh-CN"/>
              </w:rPr>
              <w:t>大竹县人民医院网络和信息系统密码应用安全性评估服务项目（第三</w:t>
            </w:r>
            <w:bookmarkStart w:id="2" w:name="_GoBack"/>
            <w:bookmarkEnd w:id="2"/>
            <w:r>
              <w:rPr>
                <w:rStyle w:val="10"/>
                <w:rFonts w:hint="eastAsia" w:ascii="仿宋" w:hAnsi="仿宋" w:eastAsia="仿宋" w:cs="仿宋"/>
                <w:b w:val="0"/>
                <w:bCs w:val="0"/>
                <w:i w:val="0"/>
                <w:iCs w:val="0"/>
                <w:caps w:val="0"/>
                <w:color w:val="FF0000"/>
                <w:spacing w:val="0"/>
                <w:sz w:val="28"/>
                <w:szCs w:val="28"/>
                <w:lang w:val="en-US" w:eastAsia="zh-CN"/>
              </w:rPr>
              <w:t>次）</w:t>
            </w:r>
          </w:p>
        </w:tc>
        <w:tc>
          <w:tcPr>
            <w:tcW w:w="579" w:type="dxa"/>
            <w:vAlign w:val="center"/>
          </w:tcPr>
          <w:p w14:paraId="019F7C9B">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840" w:type="dxa"/>
            <w:vAlign w:val="center"/>
          </w:tcPr>
          <w:p w14:paraId="5E7BEBB2">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w:t>
            </w:r>
          </w:p>
        </w:tc>
        <w:tc>
          <w:tcPr>
            <w:tcW w:w="2255" w:type="dxa"/>
            <w:vAlign w:val="center"/>
          </w:tcPr>
          <w:p w14:paraId="530DFE01">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color w:val="FF0000"/>
                <w:sz w:val="28"/>
                <w:szCs w:val="28"/>
              </w:rPr>
              <w:t>通过对数据交换平台系统的现状和密码应用需求进行分析</w:t>
            </w:r>
          </w:p>
        </w:tc>
        <w:tc>
          <w:tcPr>
            <w:tcW w:w="1574" w:type="dxa"/>
            <w:vAlign w:val="center"/>
          </w:tcPr>
          <w:p w14:paraId="5AD658B5">
            <w:pPr>
              <w:pStyle w:val="2"/>
              <w:keepNext w:val="0"/>
              <w:keepLines w:val="0"/>
              <w:suppressLineNumbers w:val="0"/>
              <w:spacing w:before="0" w:beforeAutospacing="0" w:afterAutospacing="0"/>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75000</w:t>
            </w:r>
          </w:p>
        </w:tc>
      </w:tr>
    </w:tbl>
    <w:p w14:paraId="2A444667">
      <w:pPr>
        <w:pStyle w:val="11"/>
        <w:spacing w:line="360" w:lineRule="auto"/>
        <w:ind w:firstLine="560"/>
        <w:rPr>
          <w:rFonts w:hint="eastAsia" w:ascii="仿宋" w:hAnsi="仿宋" w:eastAsia="仿宋" w:cs="仿宋"/>
          <w:b/>
          <w:bCs/>
          <w:kern w:val="2"/>
          <w:sz w:val="28"/>
          <w:szCs w:val="28"/>
          <w:lang w:val="en-US" w:eastAsia="zh-CN" w:bidi="ar-SA"/>
        </w:rPr>
      </w:pPr>
      <w:r>
        <w:rPr>
          <w:rFonts w:hint="eastAsia" w:ascii="仿宋" w:hAnsi="仿宋" w:eastAsia="仿宋" w:cs="仿宋"/>
          <w:bCs/>
          <w:sz w:val="28"/>
          <w:szCs w:val="28"/>
        </w:rPr>
        <w:t>供应商所报的响应报价应是完成</w:t>
      </w:r>
      <w:r>
        <w:rPr>
          <w:rFonts w:hint="eastAsia" w:ascii="仿宋" w:hAnsi="仿宋" w:eastAsia="仿宋" w:cs="仿宋"/>
          <w:bCs/>
          <w:sz w:val="28"/>
          <w:szCs w:val="28"/>
          <w:lang w:val="en-US" w:eastAsia="zh-CN"/>
        </w:rPr>
        <w:t>本</w:t>
      </w:r>
      <w:r>
        <w:rPr>
          <w:rFonts w:hint="eastAsia" w:ascii="仿宋" w:hAnsi="仿宋" w:eastAsia="仿宋" w:cs="仿宋"/>
          <w:bCs/>
          <w:sz w:val="28"/>
          <w:szCs w:val="28"/>
        </w:rPr>
        <w:t>项目的全部内容的价格体现。应包括供应商为完成本项目的全部工作须支付或发生的一切所需费用（包括且不限于：管理费、服务费、人工费、税费等和拟获得的利润。）供应商报价应充分考虑合同履行期内各种费用、市场风险、价格波动、承担义务和付款条件等，本项目无成本分担和风险补偿。</w:t>
      </w:r>
    </w:p>
    <w:p w14:paraId="38DFAF3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三、服务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4C58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highlight w:val="none"/>
          <w:lang w:val="en-US" w:eastAsia="zh-CN"/>
        </w:rPr>
        <w:t>（一）</w:t>
      </w:r>
      <w:r>
        <w:rPr>
          <w:rFonts w:hint="eastAsia" w:ascii="仿宋" w:hAnsi="仿宋" w:eastAsia="仿宋" w:cs="仿宋"/>
          <w:b w:val="0"/>
          <w:bCs w:val="0"/>
          <w:sz w:val="28"/>
          <w:szCs w:val="28"/>
        </w:rPr>
        <w:t>方案内容技术要求：</w:t>
      </w:r>
    </w:p>
    <w:p w14:paraId="0AF5D1DD">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系统基本情况分析，包括系统网络拓扑结构，承载业务应用，关键数据类型，系统软硬件构成等。 </w:t>
      </w:r>
    </w:p>
    <w:p w14:paraId="349ECE2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密码应用需求分析，包括物理和环境安全，网络和通信安全，设备和 计算安全，应用和数据安全，密码安全管理，并根据系统密码安全风险分析提出系统密码应用需求分析清单。 </w:t>
      </w:r>
    </w:p>
    <w:p w14:paraId="79F235E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 密码设计原则遵循全面考虑、重点部署、分步实施，且具有规范性、先进性、可扩展性、完整性，综合考虑资产价值、风险等级，经济性和适度 性并重。</w:t>
      </w:r>
    </w:p>
    <w:p w14:paraId="5FEC67B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密码应用技术方案设计，密码技术框架，详细方案设计，包括物理和 环境安全，网络和通信安全，设备和计算安全，应用和数据安全，密钥管理，密码应用部署，安全与合规性分析。 </w:t>
      </w:r>
    </w:p>
    <w:p w14:paraId="6543A99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密码安全管理设计，包括管理制度，人员管理，建设运行，密码软硬件管理。 </w:t>
      </w:r>
    </w:p>
    <w:p w14:paraId="17AFD0BC">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6. 实施保障设计，包括实施内容，实施计划，保障措施等。</w:t>
      </w:r>
    </w:p>
    <w:p w14:paraId="09A17F22">
      <w:pPr>
        <w:pStyle w:val="11"/>
        <w:spacing w:line="560" w:lineRule="exact"/>
        <w:ind w:firstLine="562"/>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 xml:space="preserve">（二）商用密码测评技术要求 </w:t>
      </w:r>
    </w:p>
    <w:p w14:paraId="062EB19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1、密码应用方案评估 </w:t>
      </w:r>
    </w:p>
    <w:p w14:paraId="06FF358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对大竹县人民医院数据交换平台系统密码应用方案进行方案评估，评估内容 包括形式审核、实质审核、指标评估、初步量化评估，其中形式审核的范围包括 方案内容完整性、方案内容一致性、方案文本规范性，实质审核的范围包括方案的密码应用现状、密码应用保护对象、密码应用需求及控制措施、实施保障措施。 </w:t>
      </w:r>
    </w:p>
    <w:p w14:paraId="2DAC9EF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2、系统密码应用安全性评估 </w:t>
      </w:r>
    </w:p>
    <w:p w14:paraId="3EA783D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严格按照《中华人民共和国密码法》、《商用密码管理条例》、GB/T 39786-2021《信息安全技术信息系统密码应用基本要求》、GM/T0054《信息系统密码应用基本要求》、GB/T43206-2023《信息安全技术信息系统密码应用测评要求》、《商用密码应用安全性评估测评过程指南》、《商用密码应用安全性评估测评作业指导书》、《商用密码应用安全性评估测评工作使用需求说明》和相关国家标准和密码行业标准，完成大竹县人民医院数据交换平台商用密码应用安全性评估工作并出具系统的商用密码应用安全性评估报告。 </w:t>
      </w:r>
    </w:p>
    <w:p w14:paraId="6D795D8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3、测评要求 </w:t>
      </w:r>
    </w:p>
    <w:p w14:paraId="3015DA7B">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被评估对象的商用密码应用安全性评估要求如下: </w:t>
      </w:r>
    </w:p>
    <w:p w14:paraId="6BE6416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密码应用总体要求测评，密码算法合规性测评、密码技术合规性测评、密码产品合规性测评、密码服务合规性测评。 </w:t>
      </w:r>
    </w:p>
    <w:p w14:paraId="78F66A47">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密码应用技术要求测评，物理和环境安全测评、网络和通信安全测评、设备和计算安全测评、应用和数据安全测评。 </w:t>
      </w:r>
    </w:p>
    <w:p w14:paraId="4F1CECEF">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钥管理测评，对密钥的生成、存储、分发、导入、导出、使用、备份、恢复、归档、销毁等环节进行管理和策略制定的全过程进行测评：密钥生成测评、密钥存储测评、密钥分发测评、密钥导入与导出测评、密钥使用测评、密钥备份与恢复测评、密钥归档测评、密钥销毁测评。 </w:t>
      </w:r>
    </w:p>
    <w:p w14:paraId="50EB010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安全管理测评，制度测评、人员测评、实施测评、应急测评。</w:t>
      </w:r>
    </w:p>
    <w:p w14:paraId="542A7601">
      <w:pPr>
        <w:pStyle w:val="11"/>
        <w:spacing w:line="560" w:lineRule="exact"/>
        <w:ind w:firstLine="560"/>
        <w:rPr>
          <w:rFonts w:hint="eastAsia" w:ascii="仿宋" w:hAnsi="仿宋" w:eastAsia="仿宋" w:cs="仿宋"/>
          <w:sz w:val="28"/>
          <w:szCs w:val="28"/>
        </w:rPr>
      </w:pPr>
      <w:r>
        <w:rPr>
          <w:rFonts w:hint="eastAsia" w:ascii="仿宋" w:hAnsi="仿宋" w:eastAsia="仿宋" w:cs="仿宋"/>
          <w:b w:val="0"/>
          <w:bCs w:val="0"/>
          <w:kern w:val="2"/>
          <w:sz w:val="28"/>
          <w:szCs w:val="28"/>
          <w:highlight w:val="none"/>
          <w:lang w:val="en-US" w:eastAsia="zh-CN" w:bidi="ar-SA"/>
        </w:rPr>
        <w:t>（三）</w:t>
      </w:r>
      <w:r>
        <w:rPr>
          <w:rFonts w:hint="eastAsia" w:ascii="仿宋" w:hAnsi="仿宋" w:eastAsia="仿宋" w:cs="仿宋"/>
          <w:bCs/>
          <w:sz w:val="28"/>
          <w:szCs w:val="28"/>
        </w:rPr>
        <w:t>供应商提供的委托代理服务，必须符合以下标准</w:t>
      </w:r>
      <w:r>
        <w:rPr>
          <w:rFonts w:hint="eastAsia" w:ascii="仿宋" w:hAnsi="仿宋" w:eastAsia="仿宋" w:cs="仿宋"/>
          <w:b w:val="0"/>
          <w:bCs w:val="0"/>
          <w:kern w:val="2"/>
          <w:sz w:val="28"/>
          <w:szCs w:val="28"/>
          <w:highlight w:val="none"/>
          <w:lang w:val="en-US" w:eastAsia="zh-CN" w:bidi="ar-SA"/>
        </w:rPr>
        <w:t xml:space="preserve"> ：</w:t>
      </w:r>
    </w:p>
    <w:p w14:paraId="4268451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国家标准： </w:t>
      </w:r>
    </w:p>
    <w:p w14:paraId="3708D74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GB/T 20984-2022《信息安全技术 信息安全风险评估方法》 </w:t>
      </w:r>
    </w:p>
    <w:p w14:paraId="45F4F13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GB/T 39786-2021《信息安全技术 信息系统密码应用基本要求》 </w:t>
      </w:r>
    </w:p>
    <w:p w14:paraId="170AC19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GB/T 22239-2019《信息安全技术 网络安全等级保护基本要求》 </w:t>
      </w:r>
    </w:p>
    <w:p w14:paraId="490EDC8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GB/T 25070-2019《信息安全技术 网络安全等级保护设计技术要求》 </w:t>
      </w:r>
    </w:p>
    <w:p w14:paraId="1A7C82C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GB/T 31722-2015《信息技术 安全技术 信息安全风险管理》 </w:t>
      </w:r>
    </w:p>
    <w:p w14:paraId="7473245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 GB/Z 24364-2009《信息安全技术 信息安全风险管理指南》 </w:t>
      </w:r>
    </w:p>
    <w:p w14:paraId="55E9878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行业标准： </w:t>
      </w:r>
    </w:p>
    <w:p w14:paraId="399E526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GM/T 0052-2016 《密码设备管理 VPN 设备监察管理规范》 </w:t>
      </w:r>
    </w:p>
    <w:p w14:paraId="23360FCE">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、GM/T 0051-2016 《密码设备管理 对称密钥管理技术规范》 </w:t>
      </w:r>
    </w:p>
    <w:p w14:paraId="6EF9C9E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、GM/T 0050-2016 《密码设备管理 设备管理技术规范》 </w:t>
      </w:r>
    </w:p>
    <w:p w14:paraId="4F5C6C0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、GM/T 0048-2016 《智能密码钥匙密码检测规范》 </w:t>
      </w:r>
    </w:p>
    <w:p w14:paraId="22F70867">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5、GM/T 0047-2016 《安全电子签章密码检测规范》 </w:t>
      </w:r>
    </w:p>
    <w:p w14:paraId="61B22183">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6、GM/T 0041-2015 《智能 IC 卡密码检测规范》 </w:t>
      </w:r>
    </w:p>
    <w:p w14:paraId="3FDC1BB6">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7、GM/T 0039-2015《密码模块安全检测要求》 </w:t>
      </w:r>
    </w:p>
    <w:p w14:paraId="32B820EF">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8、GM/T 0038-2014《证书认证密钥管理系统检测规范》 </w:t>
      </w:r>
    </w:p>
    <w:p w14:paraId="7BA0E36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9、GM/T 0037-2014《证书认证系统检测规范》 </w:t>
      </w:r>
    </w:p>
    <w:p w14:paraId="1790BDC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10 、GM/T 0036-2014《采用非接触卡的门禁系统密码应用指南》 </w:t>
      </w:r>
    </w:p>
    <w:p w14:paraId="706C2F0B">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11、 GM/T 0031-2014《安全电子签章密码应用技术规范》 </w:t>
      </w:r>
    </w:p>
    <w:p w14:paraId="7336664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12、 GM/T 0030-2014《服务器密码机技术规范》 </w:t>
      </w:r>
    </w:p>
    <w:p w14:paraId="1165837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13、 GM/T 0029-2014《签名验签服务器技术规范》 </w:t>
      </w:r>
    </w:p>
    <w:p w14:paraId="198CA5A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14、GM/T 0028-2014《密码模块安全技术要求》 </w:t>
      </w:r>
    </w:p>
    <w:p w14:paraId="4A4B797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15 、GM/T 0027-2014《智能密码钥匙技术规范》 </w:t>
      </w:r>
    </w:p>
    <w:p w14:paraId="7F7DCD86">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16、 GM/T 0026-2014《安全认证网关产品规范》 </w:t>
      </w:r>
    </w:p>
    <w:p w14:paraId="60F5484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17、 GM/T 0025-2014《SSL VPN 网关产品规范》 </w:t>
      </w:r>
    </w:p>
    <w:p w14:paraId="3F64F9D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18、 GM/T 0024-2014《SSL VPN 技术规范》 </w:t>
      </w:r>
    </w:p>
    <w:p w14:paraId="1611A008">
      <w:pPr>
        <w:pStyle w:val="11"/>
        <w:spacing w:line="560" w:lineRule="exact"/>
        <w:ind w:firstLine="56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sz w:val="28"/>
          <w:szCs w:val="28"/>
        </w:rPr>
        <w:t xml:space="preserve">19、 GM/T 0023-2014《IPSec VPN 网关产品规范》 </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F412EF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（一）项目的完成时限</w:t>
      </w:r>
    </w:p>
    <w:p w14:paraId="6F98BB5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自双方签订采购合同生效之日起，要求供应商在2025年</w:t>
      </w:r>
      <w:r>
        <w:rPr>
          <w:rFonts w:hint="eastAsia" w:ascii="仿宋" w:hAnsi="仿宋" w:eastAsia="仿宋" w:cs="仿宋"/>
          <w:color w:val="EE0000"/>
          <w:sz w:val="28"/>
          <w:szCs w:val="28"/>
          <w:lang w:val="en-US" w:eastAsia="zh-CN"/>
        </w:rPr>
        <w:t>12</w:t>
      </w:r>
      <w:r>
        <w:rPr>
          <w:rFonts w:hint="eastAsia" w:ascii="仿宋" w:hAnsi="仿宋" w:eastAsia="仿宋" w:cs="仿宋"/>
          <w:sz w:val="28"/>
          <w:szCs w:val="28"/>
        </w:rPr>
        <w:t>月</w:t>
      </w:r>
      <w:r>
        <w:rPr>
          <w:rFonts w:hint="eastAsia" w:ascii="仿宋" w:hAnsi="仿宋" w:eastAsia="仿宋" w:cs="仿宋"/>
          <w:color w:val="EE0000"/>
          <w:sz w:val="28"/>
          <w:szCs w:val="28"/>
          <w:lang w:val="en-US" w:eastAsia="zh-CN"/>
        </w:rPr>
        <w:t>25</w:t>
      </w:r>
      <w:r>
        <w:rPr>
          <w:rFonts w:hint="eastAsia" w:ascii="仿宋" w:hAnsi="仿宋" w:eastAsia="仿宋" w:cs="仿宋"/>
          <w:sz w:val="28"/>
          <w:szCs w:val="28"/>
        </w:rPr>
        <w:t>日前完成本项目全部内容。</w:t>
      </w:r>
    </w:p>
    <w:p w14:paraId="18391B23">
      <w:pPr>
        <w:pStyle w:val="5"/>
        <w:spacing w:line="560" w:lineRule="exact"/>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14:paraId="5C231834">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14:paraId="7E5676C7">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1、采购人付款采用银行转账支付方式，采购人付款前，供应商必须出具有效的足额发票，否则采购人有权拒绝付款。</w:t>
      </w:r>
    </w:p>
    <w:p w14:paraId="3BD54049">
      <w:pPr>
        <w:pStyle w:val="13"/>
        <w:spacing w:line="560" w:lineRule="exact"/>
        <w:ind w:firstLine="560" w:firstLineChars="200"/>
        <w:rPr>
          <w:rFonts w:hint="default" w:eastAsia="仿宋"/>
          <w:lang w:val="en-US" w:eastAsia="zh-CN"/>
        </w:rPr>
      </w:pPr>
      <w:r>
        <w:rPr>
          <w:rFonts w:hint="eastAsia" w:ascii="仿宋" w:hAnsi="仿宋" w:eastAsia="仿宋" w:cs="仿宋"/>
          <w:sz w:val="28"/>
          <w:szCs w:val="28"/>
        </w:rPr>
        <w:t>2、采购人与供应商双方签订合同生效后，供应商完成全部服务内容，并向采购人交付合格的成果后，项目履约验收合格后，采购人在收到供应商有效发票后</w:t>
      </w:r>
      <w:r>
        <w:rPr>
          <w:rFonts w:hint="eastAsia" w:ascii="仿宋" w:hAnsi="仿宋" w:eastAsia="仿宋" w:cs="仿宋"/>
          <w:sz w:val="28"/>
          <w:szCs w:val="28"/>
          <w:lang w:val="en-US" w:eastAsia="zh-CN"/>
        </w:rPr>
        <w:t>9</w:t>
      </w:r>
      <w:r>
        <w:rPr>
          <w:rFonts w:hint="eastAsia" w:ascii="仿宋" w:hAnsi="仿宋" w:eastAsia="仿宋" w:cs="仿宋"/>
          <w:sz w:val="28"/>
          <w:szCs w:val="28"/>
        </w:rPr>
        <w:t>0日内，一次性转账支付供应商成交总金额。</w:t>
      </w:r>
      <w:r>
        <w:rPr>
          <w:rFonts w:hint="eastAsia" w:ascii="仿宋" w:hAnsi="仿宋" w:eastAsia="仿宋" w:cs="仿宋"/>
          <w:sz w:val="28"/>
          <w:szCs w:val="28"/>
          <w:lang w:val="en-US" w:eastAsia="zh-CN"/>
        </w:rPr>
        <w:t>一般纳税人应开具增值税发票。</w:t>
      </w:r>
    </w:p>
    <w:p w14:paraId="6B37599A">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（四）履约验收要求</w:t>
      </w:r>
    </w:p>
    <w:p w14:paraId="13956FC7">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1、采购人按照达州市密码管理局文件要求及国家、行业等相关要求、双方合同的要求等组织验收。</w:t>
      </w:r>
    </w:p>
    <w:p w14:paraId="4F40F9FD">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2、供应商提供的服务不符合本文件要求的，采购人有权拒绝验收并要求供应商进行整改。供应商拒不整改的采购人有权无条件解除合同，并追究供应商相关责任。</w:t>
      </w:r>
    </w:p>
    <w:p w14:paraId="6269A686">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3、履约期间，如供应商不能履行合同或采购人发现成交供应商虚假响应中标，立即取消供应商中标资格；采购人可以与排位在成交供应商之后第一位的中标候选人签订采购合同，以此类推。</w:t>
      </w:r>
    </w:p>
    <w:p w14:paraId="32B513E1">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（五）供应商售后服务</w:t>
      </w:r>
    </w:p>
    <w:p w14:paraId="4209F5AF">
      <w:pPr>
        <w:spacing w:line="560" w:lineRule="exact"/>
        <w:ind w:firstLine="560"/>
        <w:rPr>
          <w:rFonts w:hint="eastAsia" w:ascii="仿宋" w:hAnsi="仿宋" w:eastAsia="仿宋"/>
          <w:sz w:val="28"/>
          <w:szCs w:val="28"/>
        </w:rPr>
      </w:pPr>
      <w:r>
        <w:rPr>
          <w:rFonts w:hint="eastAsia" w:ascii="仿宋" w:hAnsi="仿宋" w:eastAsia="仿宋"/>
          <w:sz w:val="28"/>
          <w:szCs w:val="28"/>
        </w:rPr>
        <w:t>1、供应商维保服务期限：自验收合格之日起</w:t>
      </w:r>
      <w:r>
        <w:rPr>
          <w:rFonts w:ascii="仿宋" w:hAnsi="仿宋" w:eastAsia="仿宋"/>
          <w:sz w:val="28"/>
          <w:szCs w:val="28"/>
        </w:rPr>
        <w:t>1</w:t>
      </w:r>
      <w:r>
        <w:rPr>
          <w:rFonts w:hint="eastAsia" w:ascii="仿宋" w:hAnsi="仿宋" w:eastAsia="仿宋"/>
          <w:sz w:val="28"/>
          <w:szCs w:val="28"/>
        </w:rPr>
        <w:t>年。</w:t>
      </w:r>
    </w:p>
    <w:p w14:paraId="35F43DE1">
      <w:pPr>
        <w:spacing w:line="560" w:lineRule="exact"/>
        <w:ind w:firstLine="560"/>
        <w:rPr>
          <w:rFonts w:hint="eastAsia" w:ascii="仿宋" w:hAnsi="仿宋" w:eastAsia="仿宋" w:cs="仿宋"/>
          <w:sz w:val="28"/>
          <w:szCs w:val="28"/>
        </w:rPr>
      </w:pPr>
      <w:r>
        <w:rPr>
          <w:rFonts w:hint="eastAsia" w:ascii="仿宋" w:hAnsi="仿宋" w:eastAsia="仿宋"/>
          <w:sz w:val="28"/>
          <w:szCs w:val="28"/>
        </w:rPr>
        <w:t>2、供应商提供人员现场技术服务，电话咨询服务，必要时上门服务。</w:t>
      </w:r>
    </w:p>
    <w:p w14:paraId="081BE68F">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（六）其他要求</w:t>
      </w:r>
    </w:p>
    <w:p w14:paraId="687CFCEA">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794246C9">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14:paraId="1E046305">
      <w:pPr>
        <w:spacing w:line="560" w:lineRule="exact"/>
        <w:ind w:firstLine="560"/>
      </w:pPr>
      <w:r>
        <w:rPr>
          <w:rFonts w:hint="eastAsia" w:ascii="仿宋" w:hAnsi="仿宋" w:eastAsia="仿宋"/>
          <w:sz w:val="28"/>
          <w:szCs w:val="28"/>
        </w:rPr>
        <w:t>供应商需对其所有参与人员进行保密安全审查，审查结果报采购人备案，供应商所有参与人员必须严格遵守《中华人民共和国保守国家秘密法》等一系列安全保密法规、制度和规定，必须与采购人签署《保密承诺书》，接受保密教育培训。</w:t>
      </w:r>
    </w:p>
    <w:p w14:paraId="6486DE24">
      <w:pPr>
        <w:pStyle w:val="2"/>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7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保密期限：长期（包括合同履行期限届满后）。</w:t>
      </w:r>
    </w:p>
    <w:p w14:paraId="4A11B515">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篇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5B084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4562794E">
      <w:pPr>
        <w:pStyle w:val="2"/>
        <w:rPr>
          <w:rFonts w:hint="eastAsia" w:ascii="仿宋" w:hAnsi="仿宋" w:eastAsia="仿宋" w:cs="仿宋"/>
          <w:b/>
          <w:bCs/>
          <w:sz w:val="28"/>
          <w:szCs w:val="28"/>
          <w:lang w:val="en-US" w:eastAsia="zh-CN"/>
        </w:rPr>
      </w:pPr>
    </w:p>
    <w:p w14:paraId="53EC2EFA">
      <w:pPr>
        <w:pStyle w:val="3"/>
        <w:rPr>
          <w:rFonts w:hint="eastAsia" w:ascii="仿宋" w:hAnsi="仿宋" w:eastAsia="仿宋" w:cs="仿宋"/>
          <w:b/>
          <w:bCs/>
          <w:sz w:val="28"/>
          <w:szCs w:val="28"/>
          <w:lang w:val="en-US" w:eastAsia="zh-CN"/>
        </w:rPr>
      </w:pPr>
    </w:p>
    <w:p w14:paraId="18DE1D11">
      <w:pPr>
        <w:rPr>
          <w:rFonts w:hint="eastAsia" w:ascii="仿宋" w:hAnsi="仿宋" w:eastAsia="仿宋" w:cs="仿宋"/>
          <w:b/>
          <w:bCs/>
          <w:sz w:val="28"/>
          <w:szCs w:val="28"/>
          <w:lang w:val="en-US" w:eastAsia="zh-CN"/>
        </w:rPr>
      </w:pPr>
    </w:p>
    <w:p w14:paraId="7A336BA3">
      <w:pPr>
        <w:pStyle w:val="2"/>
        <w:rPr>
          <w:rFonts w:hint="eastAsia" w:ascii="仿宋" w:hAnsi="仿宋" w:eastAsia="仿宋" w:cs="仿宋"/>
          <w:b/>
          <w:bCs/>
          <w:sz w:val="28"/>
          <w:szCs w:val="28"/>
          <w:lang w:val="en-US" w:eastAsia="zh-CN"/>
        </w:rPr>
      </w:pPr>
    </w:p>
    <w:p w14:paraId="726653D1">
      <w:pPr>
        <w:pStyle w:val="3"/>
        <w:rPr>
          <w:rFonts w:hint="eastAsia" w:ascii="仿宋" w:hAnsi="仿宋" w:eastAsia="仿宋" w:cs="仿宋"/>
          <w:b/>
          <w:bCs/>
          <w:sz w:val="28"/>
          <w:szCs w:val="28"/>
          <w:lang w:val="en-US" w:eastAsia="zh-CN"/>
        </w:rPr>
      </w:pPr>
    </w:p>
    <w:p w14:paraId="2D5F4872">
      <w:pPr>
        <w:rPr>
          <w:rFonts w:hint="eastAsia"/>
          <w:lang w:val="en-US" w:eastAsia="zh-CN"/>
        </w:rPr>
      </w:pPr>
    </w:p>
    <w:p w14:paraId="34043543">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both"/>
        <w:textAlignment w:val="auto"/>
        <w:rPr>
          <w:rFonts w:hint="eastAsia" w:ascii="黑体" w:hAnsi="黑体" w:eastAsia="黑体" w:cs="黑体"/>
          <w:b/>
          <w:sz w:val="28"/>
          <w:szCs w:val="28"/>
          <w:highlight w:val="none"/>
        </w:rPr>
      </w:pPr>
      <w:bookmarkStart w:id="1" w:name="★4.4 违约处理"/>
      <w:bookmarkEnd w:id="1"/>
    </w:p>
    <w:p w14:paraId="1021056B">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3F0992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46062"/>
    <w:multiLevelType w:val="singleLevel"/>
    <w:tmpl w:val="45946062"/>
    <w:lvl w:ilvl="0" w:tentative="0">
      <w:start w:val="1"/>
      <w:numFmt w:val="decimal"/>
      <w:suff w:val="nothing"/>
      <w:lvlText w:val="%1、"/>
      <w:lvlJc w:val="left"/>
      <w:pPr>
        <w:ind w:left="7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82D06"/>
    <w:rsid w:val="03D86515"/>
    <w:rsid w:val="42982D06"/>
    <w:rsid w:val="70FB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6">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autoRedefine/>
    <w:qFormat/>
    <w:uiPriority w:val="0"/>
    <w:pPr>
      <w:ind w:firstLine="420" w:firstLineChars="200"/>
    </w:pPr>
    <w:rPr>
      <w:szCs w:val="24"/>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4088</Words>
  <Characters>4470</Characters>
  <Lines>0</Lines>
  <Paragraphs>0</Paragraphs>
  <TotalTime>6</TotalTime>
  <ScaleCrop>false</ScaleCrop>
  <LinksUpToDate>false</LinksUpToDate>
  <CharactersWithSpaces>4593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2025-11-12T09:24:00Z</dcterms:created>
  <dc:creator>周云霞</dc:creator>
  <cp:lastModifiedBy>周云霞</cp:lastModifiedBy>
  <dcterms:modified xsi:type="dcterms:W3CDTF">2025-11-26T10:11:20Z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0C10CFB3425642FA95DC0A4916D8E79B_11</vt:lpwstr>
  </property>
  <property fmtid="{D5CDD505-2E9C-101B-9397-08002B2CF9AE}" pid="4" name="KSOTemplateDocerSaveRecord">
    <vt:lpwstr>eyJoZGlkIjoiYzlkMmZkYmE5MjIyMjVmOTNjMjM2NjBkYzIyMmEyMDUiLCJ1c2VySWQiOiIzNTI2ODc0MzAifQ==</vt:lpwstr>
  </property>
</Properties>
</file>