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AA6897">
      <w:pPr>
        <w:pStyle w:val="11"/>
        <w:keepNext w:val="0"/>
        <w:keepLines w:val="0"/>
        <w:pageBreakBefore w:val="0"/>
        <w:widowControl w:val="0"/>
        <w:kinsoku/>
        <w:wordWrap/>
        <w:overflowPunct/>
        <w:topLinePunct w:val="0"/>
        <w:autoSpaceDE/>
        <w:autoSpaceDN/>
        <w:bidi w:val="0"/>
        <w:adjustRightInd/>
        <w:snapToGrid/>
        <w:spacing w:after="287" w:afterLines="100" w:line="560" w:lineRule="exact"/>
        <w:ind w:left="0" w:leftChars="0" w:firstLine="0" w:firstLineChars="0"/>
        <w:jc w:val="center"/>
        <w:textAlignment w:val="auto"/>
        <w:rPr>
          <w:rFonts w:hint="eastAsia" w:ascii="方正小标宋简体" w:hAnsi="方正小标宋简体" w:eastAsia="方正小标宋简体" w:cs="方正小标宋简体"/>
          <w:b w:val="0"/>
          <w:bCs/>
          <w:sz w:val="44"/>
          <w:szCs w:val="44"/>
          <w:highlight w:val="none"/>
          <w:lang w:val="en-US" w:eastAsia="zh-CN"/>
        </w:rPr>
      </w:pPr>
      <w:r>
        <w:rPr>
          <w:rFonts w:hint="eastAsia" w:ascii="黑体" w:hAnsi="黑体" w:eastAsia="黑体" w:cs="黑体"/>
          <w:b w:val="0"/>
          <w:bCs/>
          <w:kern w:val="0"/>
          <w:sz w:val="36"/>
          <w:szCs w:val="36"/>
          <w:highlight w:val="none"/>
          <w:lang w:val="en-US" w:eastAsia="zh-CN"/>
        </w:rPr>
        <w:t>2025年大竹县人民医院网络和信息系统密码应用安全性评估服务项目（第二次）采购需求</w:t>
      </w:r>
    </w:p>
    <w:p w14:paraId="6BA624E3">
      <w:pPr>
        <w:pStyle w:val="2"/>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一、项目概况</w:t>
      </w:r>
    </w:p>
    <w:p w14:paraId="536937C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right="0" w:firstLine="560" w:firstLineChars="200"/>
        <w:jc w:val="both"/>
        <w:textAlignment w:val="auto"/>
        <w:rPr>
          <w:rStyle w:val="10"/>
          <w:rFonts w:hint="eastAsia" w:ascii="仿宋" w:hAnsi="仿宋" w:eastAsia="仿宋" w:cs="仿宋"/>
          <w:b w:val="0"/>
          <w:bCs w:val="0"/>
          <w:i w:val="0"/>
          <w:iCs w:val="0"/>
          <w:caps w:val="0"/>
          <w:color w:val="FF0000"/>
          <w:spacing w:val="0"/>
          <w:kern w:val="0"/>
          <w:sz w:val="28"/>
          <w:szCs w:val="28"/>
          <w:lang w:val="en-US" w:eastAsia="zh-CN" w:bidi="ar"/>
        </w:rPr>
      </w:pPr>
      <w:r>
        <w:rPr>
          <w:rStyle w:val="10"/>
          <w:rFonts w:hint="eastAsia" w:ascii="仿宋" w:hAnsi="仿宋" w:eastAsia="仿宋" w:cs="仿宋"/>
          <w:b w:val="0"/>
          <w:bCs w:val="0"/>
          <w:i w:val="0"/>
          <w:iCs w:val="0"/>
          <w:caps w:val="0"/>
          <w:color w:val="FF0000"/>
          <w:spacing w:val="0"/>
          <w:kern w:val="0"/>
          <w:sz w:val="28"/>
          <w:szCs w:val="28"/>
          <w:lang w:val="en-US" w:eastAsia="zh-CN" w:bidi="ar"/>
        </w:rPr>
        <w:t>采购人付费委托一家具有相应能力的供应商，完成大竹县人民医院重要网络和信息系统密码应用安全性评估工作。</w:t>
      </w:r>
    </w:p>
    <w:p w14:paraId="79BAB93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560" w:firstLineChars="200"/>
        <w:jc w:val="left"/>
        <w:textAlignment w:val="auto"/>
        <w:rPr>
          <w:rStyle w:val="10"/>
          <w:rFonts w:hint="eastAsia" w:ascii="仿宋" w:hAnsi="仿宋" w:eastAsia="仿宋" w:cs="仿宋"/>
          <w:b w:val="0"/>
          <w:bCs w:val="0"/>
          <w:i w:val="0"/>
          <w:iCs w:val="0"/>
          <w:caps w:val="0"/>
          <w:color w:val="FF0000"/>
          <w:spacing w:val="0"/>
          <w:kern w:val="0"/>
          <w:sz w:val="28"/>
          <w:szCs w:val="28"/>
          <w:lang w:val="en-US" w:eastAsia="zh-CN" w:bidi="ar"/>
        </w:rPr>
      </w:pPr>
      <w:r>
        <w:rPr>
          <w:rStyle w:val="10"/>
          <w:rFonts w:hint="eastAsia" w:ascii="仿宋" w:hAnsi="仿宋" w:eastAsia="仿宋" w:cs="仿宋"/>
          <w:b w:val="0"/>
          <w:bCs w:val="0"/>
          <w:i w:val="0"/>
          <w:iCs w:val="0"/>
          <w:caps w:val="0"/>
          <w:color w:val="FF0000"/>
          <w:spacing w:val="0"/>
          <w:kern w:val="0"/>
          <w:sz w:val="28"/>
          <w:szCs w:val="28"/>
          <w:lang w:val="en-US" w:eastAsia="zh-CN" w:bidi="ar"/>
        </w:rPr>
        <w:t>按大竹县人民医院重要网络和信息系统密码应用安全性评估工作的要求完成采购人的“数据交换平台系统”密评工作，并向采购人提供合格的工作成果，包括不限于网络与信息系统密评备案信息表，负责提供密码应用方案，出具密评方案和系统评估报告，并与备案信息表的扫描件在2025年12月25日前一并报大竹县密码管理局备案。</w:t>
      </w:r>
    </w:p>
    <w:p w14:paraId="090C3D91">
      <w:pPr>
        <w:pageBreakBefore w:val="0"/>
        <w:numPr>
          <w:ilvl w:val="0"/>
          <w:numId w:val="0"/>
        </w:numPr>
        <w:kinsoku/>
        <w:wordWrap/>
        <w:overflowPunct/>
        <w:topLinePunct w:val="0"/>
        <w:autoSpaceDE/>
        <w:autoSpaceDN/>
        <w:bidi w:val="0"/>
        <w:adjustRightInd/>
        <w:snapToGrid/>
        <w:spacing w:beforeLines="50" w:afterLines="50" w:line="560" w:lineRule="exact"/>
        <w:ind w:firstLine="562" w:firstLineChars="200"/>
        <w:outlineLvl w:val="1"/>
        <w:rPr>
          <w:rFonts w:hint="default"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二、项目预算</w:t>
      </w:r>
      <w:r>
        <w:rPr>
          <w:rFonts w:hint="eastAsia" w:ascii="仿宋" w:hAnsi="仿宋" w:eastAsia="仿宋" w:cs="仿宋"/>
          <w:b/>
          <w:bCs/>
          <w:color w:val="auto"/>
          <w:sz w:val="28"/>
          <w:szCs w:val="28"/>
          <w:lang w:eastAsia="zh-CN"/>
        </w:rPr>
        <w:t>（</w:t>
      </w:r>
      <w:r>
        <w:rPr>
          <w:rFonts w:hint="eastAsia" w:ascii="仿宋" w:hAnsi="仿宋" w:eastAsia="仿宋" w:cs="仿宋"/>
          <w:b/>
          <w:bCs/>
          <w:color w:val="auto"/>
          <w:sz w:val="28"/>
          <w:szCs w:val="28"/>
          <w:lang w:val="en-US" w:eastAsia="zh-CN"/>
        </w:rPr>
        <w:t>此节内容供应商在</w:t>
      </w:r>
      <w:r>
        <w:rPr>
          <w:rFonts w:hint="eastAsia" w:ascii="仿宋" w:hAnsi="仿宋" w:eastAsia="仿宋" w:cs="仿宋"/>
          <w:b/>
          <w:bCs/>
          <w:color w:val="auto"/>
          <w:sz w:val="28"/>
          <w:szCs w:val="28"/>
          <w:lang w:eastAsia="zh-CN"/>
        </w:rPr>
        <w:t>技术、服务及其他要求应答表</w:t>
      </w:r>
      <w:r>
        <w:rPr>
          <w:rFonts w:hint="eastAsia" w:ascii="仿宋" w:hAnsi="仿宋" w:eastAsia="仿宋" w:cs="仿宋"/>
          <w:b/>
          <w:bCs/>
          <w:color w:val="auto"/>
          <w:sz w:val="28"/>
          <w:szCs w:val="28"/>
          <w:lang w:val="en-US" w:eastAsia="zh-CN"/>
        </w:rPr>
        <w:t>中响应</w:t>
      </w:r>
      <w:r>
        <w:rPr>
          <w:rFonts w:hint="eastAsia" w:ascii="仿宋" w:hAnsi="仿宋" w:eastAsia="仿宋" w:cs="仿宋"/>
          <w:b/>
          <w:bCs/>
          <w:color w:val="auto"/>
          <w:sz w:val="28"/>
          <w:szCs w:val="28"/>
          <w:lang w:eastAsia="zh-CN"/>
        </w:rPr>
        <w:t>）</w:t>
      </w:r>
    </w:p>
    <w:p w14:paraId="5744A361">
      <w:pPr>
        <w:pStyle w:val="12"/>
        <w:keepNext w:val="0"/>
        <w:keepLines w:val="0"/>
        <w:pageBreakBefore w:val="0"/>
        <w:widowControl/>
        <w:kinsoku/>
        <w:wordWrap/>
        <w:overflowPunct/>
        <w:topLinePunct w:val="0"/>
        <w:autoSpaceDE/>
        <w:autoSpaceDN/>
        <w:bidi w:val="0"/>
        <w:adjustRightInd/>
        <w:snapToGrid/>
        <w:spacing w:line="520" w:lineRule="exact"/>
        <w:jc w:val="left"/>
        <w:textAlignment w:val="auto"/>
        <w:rPr>
          <w:rFonts w:hint="eastAsia" w:ascii="仿宋" w:hAnsi="仿宋" w:eastAsia="仿宋" w:cs="仿宋"/>
          <w:color w:val="FF0000"/>
          <w:kern w:val="2"/>
          <w:sz w:val="28"/>
          <w:szCs w:val="28"/>
          <w:highlight w:val="none"/>
          <w:lang w:val="en-US" w:eastAsia="zh-CN" w:bidi="ar-SA"/>
        </w:rPr>
      </w:pPr>
      <w:r>
        <w:rPr>
          <w:rFonts w:hint="eastAsia" w:ascii="仿宋" w:hAnsi="仿宋" w:eastAsia="仿宋" w:cs="仿宋"/>
          <w:color w:val="FF0000"/>
          <w:kern w:val="2"/>
          <w:sz w:val="28"/>
          <w:szCs w:val="28"/>
          <w:highlight w:val="none"/>
          <w:lang w:val="en-US" w:eastAsia="zh-CN" w:bidi="ar-SA"/>
        </w:rPr>
        <w:t>采购包1：</w:t>
      </w:r>
    </w:p>
    <w:p w14:paraId="00F88214">
      <w:pPr>
        <w:pStyle w:val="12"/>
        <w:keepNext w:val="0"/>
        <w:keepLines w:val="0"/>
        <w:pageBreakBefore w:val="0"/>
        <w:kinsoku/>
        <w:wordWrap/>
        <w:overflowPunct/>
        <w:topLinePunct w:val="0"/>
        <w:autoSpaceDE/>
        <w:autoSpaceDN/>
        <w:bidi w:val="0"/>
        <w:adjustRightInd/>
        <w:snapToGrid/>
        <w:spacing w:line="520" w:lineRule="atLeast"/>
        <w:jc w:val="left"/>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采购包预算金额（元）:</w:t>
      </w:r>
      <w:r>
        <w:rPr>
          <w:rFonts w:hint="eastAsia" w:ascii="仿宋" w:hAnsi="仿宋" w:eastAsia="仿宋" w:cs="仿宋"/>
          <w:color w:val="FF0000"/>
          <w:kern w:val="2"/>
          <w:sz w:val="28"/>
          <w:szCs w:val="28"/>
          <w:highlight w:val="none"/>
          <w:lang w:val="en-US" w:eastAsia="zh-CN" w:bidi="ar-SA"/>
        </w:rPr>
        <w:t>75000.00</w:t>
      </w:r>
    </w:p>
    <w:p w14:paraId="51CF0EAE">
      <w:pPr>
        <w:pStyle w:val="11"/>
        <w:spacing w:line="360" w:lineRule="auto"/>
        <w:ind w:firstLine="560"/>
        <w:jc w:val="center"/>
        <w:rPr>
          <w:rFonts w:hint="eastAsia" w:ascii="仿宋" w:hAnsi="仿宋" w:eastAsia="仿宋" w:cs="仿宋"/>
          <w:bCs/>
          <w:sz w:val="28"/>
          <w:szCs w:val="28"/>
        </w:rPr>
      </w:pPr>
      <w:r>
        <w:rPr>
          <w:rFonts w:hint="eastAsia" w:ascii="仿宋" w:hAnsi="仿宋" w:eastAsia="仿宋" w:cs="仿宋"/>
          <w:bCs/>
          <w:sz w:val="28"/>
          <w:szCs w:val="28"/>
        </w:rPr>
        <w:t>采购清单一览表</w:t>
      </w:r>
    </w:p>
    <w:tbl>
      <w:tblPr>
        <w:tblStyle w:val="8"/>
        <w:tblW w:w="8890" w:type="dxa"/>
        <w:tblInd w:w="1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
        <w:gridCol w:w="990"/>
        <w:gridCol w:w="2196"/>
        <w:gridCol w:w="579"/>
        <w:gridCol w:w="840"/>
        <w:gridCol w:w="2255"/>
        <w:gridCol w:w="1574"/>
      </w:tblGrid>
      <w:tr w14:paraId="62027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456" w:type="dxa"/>
            <w:vAlign w:val="center"/>
          </w:tcPr>
          <w:p w14:paraId="0F731689">
            <w:pPr>
              <w:pStyle w:val="2"/>
              <w:keepNext w:val="0"/>
              <w:keepLines w:val="0"/>
              <w:suppressLineNumbers w:val="0"/>
              <w:spacing w:before="0" w:beforeAutospacing="0" w:afterAutospacing="0"/>
              <w:ind w:left="0" w:right="0"/>
              <w:jc w:val="center"/>
              <w:textAlignment w:val="baseline"/>
              <w:rPr>
                <w:rFonts w:hint="eastAsia" w:ascii="仿宋" w:hAnsi="仿宋" w:eastAsia="仿宋" w:cs="仿宋"/>
                <w:sz w:val="28"/>
                <w:szCs w:val="28"/>
              </w:rPr>
            </w:pPr>
            <w:r>
              <w:rPr>
                <w:rFonts w:hint="eastAsia" w:ascii="仿宋" w:hAnsi="仿宋" w:eastAsia="仿宋" w:cs="仿宋"/>
                <w:sz w:val="28"/>
                <w:szCs w:val="28"/>
              </w:rPr>
              <w:t>序号</w:t>
            </w:r>
          </w:p>
        </w:tc>
        <w:tc>
          <w:tcPr>
            <w:tcW w:w="990" w:type="dxa"/>
            <w:vAlign w:val="center"/>
          </w:tcPr>
          <w:p w14:paraId="4D3439C5">
            <w:pPr>
              <w:pStyle w:val="2"/>
              <w:keepNext w:val="0"/>
              <w:keepLines w:val="0"/>
              <w:suppressLineNumbers w:val="0"/>
              <w:spacing w:before="0" w:beforeAutospacing="0" w:afterAutospacing="0"/>
              <w:ind w:left="0" w:right="0"/>
              <w:jc w:val="center"/>
              <w:textAlignment w:val="baseline"/>
              <w:rPr>
                <w:rFonts w:hint="eastAsia" w:ascii="仿宋" w:hAnsi="仿宋" w:eastAsia="仿宋" w:cs="仿宋"/>
                <w:sz w:val="28"/>
                <w:szCs w:val="28"/>
              </w:rPr>
            </w:pPr>
            <w:r>
              <w:rPr>
                <w:rFonts w:hint="eastAsia" w:ascii="仿宋" w:hAnsi="仿宋" w:eastAsia="仿宋" w:cs="仿宋"/>
                <w:sz w:val="28"/>
                <w:szCs w:val="28"/>
              </w:rPr>
              <w:t>项目类型</w:t>
            </w:r>
          </w:p>
        </w:tc>
        <w:tc>
          <w:tcPr>
            <w:tcW w:w="2196" w:type="dxa"/>
            <w:vAlign w:val="center"/>
          </w:tcPr>
          <w:p w14:paraId="679916A7">
            <w:pPr>
              <w:pStyle w:val="2"/>
              <w:keepNext w:val="0"/>
              <w:keepLines w:val="0"/>
              <w:suppressLineNumbers w:val="0"/>
              <w:spacing w:before="0" w:beforeAutospacing="0" w:afterAutospacing="0"/>
              <w:ind w:left="0" w:right="0"/>
              <w:jc w:val="center"/>
              <w:textAlignment w:val="baseline"/>
              <w:rPr>
                <w:rFonts w:hint="eastAsia" w:ascii="仿宋" w:hAnsi="仿宋" w:eastAsia="仿宋" w:cs="仿宋"/>
                <w:sz w:val="28"/>
                <w:szCs w:val="28"/>
              </w:rPr>
            </w:pPr>
            <w:r>
              <w:rPr>
                <w:rFonts w:hint="eastAsia" w:ascii="仿宋" w:hAnsi="仿宋" w:eastAsia="仿宋" w:cs="仿宋"/>
                <w:sz w:val="28"/>
                <w:szCs w:val="28"/>
              </w:rPr>
              <w:t>项目名称</w:t>
            </w:r>
          </w:p>
        </w:tc>
        <w:tc>
          <w:tcPr>
            <w:tcW w:w="579" w:type="dxa"/>
            <w:vAlign w:val="center"/>
          </w:tcPr>
          <w:p w14:paraId="7706E792">
            <w:pPr>
              <w:pStyle w:val="2"/>
              <w:keepNext w:val="0"/>
              <w:keepLines w:val="0"/>
              <w:suppressLineNumbers w:val="0"/>
              <w:spacing w:before="0" w:beforeAutospacing="0" w:afterAutospacing="0"/>
              <w:ind w:left="0" w:right="0"/>
              <w:jc w:val="center"/>
              <w:textAlignment w:val="baseline"/>
              <w:rPr>
                <w:rFonts w:hint="eastAsia" w:ascii="仿宋" w:hAnsi="仿宋" w:eastAsia="仿宋" w:cs="仿宋"/>
                <w:sz w:val="28"/>
                <w:szCs w:val="28"/>
              </w:rPr>
            </w:pPr>
            <w:r>
              <w:rPr>
                <w:rFonts w:hint="eastAsia" w:ascii="仿宋" w:hAnsi="仿宋" w:eastAsia="仿宋" w:cs="仿宋"/>
                <w:sz w:val="28"/>
                <w:szCs w:val="28"/>
              </w:rPr>
              <w:t>数量</w:t>
            </w:r>
          </w:p>
        </w:tc>
        <w:tc>
          <w:tcPr>
            <w:tcW w:w="840" w:type="dxa"/>
            <w:vAlign w:val="center"/>
          </w:tcPr>
          <w:p w14:paraId="5EEEC340">
            <w:pPr>
              <w:pStyle w:val="2"/>
              <w:keepNext w:val="0"/>
              <w:keepLines w:val="0"/>
              <w:suppressLineNumbers w:val="0"/>
              <w:spacing w:before="0" w:beforeAutospacing="0" w:afterAutospacing="0"/>
              <w:ind w:left="0" w:right="0"/>
              <w:jc w:val="center"/>
              <w:textAlignment w:val="baseline"/>
              <w:rPr>
                <w:rFonts w:hint="eastAsia" w:ascii="仿宋" w:hAnsi="仿宋" w:eastAsia="仿宋" w:cs="仿宋"/>
                <w:sz w:val="28"/>
                <w:szCs w:val="28"/>
              </w:rPr>
            </w:pPr>
            <w:r>
              <w:rPr>
                <w:rFonts w:hint="eastAsia" w:ascii="仿宋" w:hAnsi="仿宋" w:eastAsia="仿宋" w:cs="仿宋"/>
                <w:sz w:val="28"/>
                <w:szCs w:val="28"/>
              </w:rPr>
              <w:t>单位</w:t>
            </w:r>
          </w:p>
        </w:tc>
        <w:tc>
          <w:tcPr>
            <w:tcW w:w="2255" w:type="dxa"/>
            <w:vAlign w:val="center"/>
          </w:tcPr>
          <w:p w14:paraId="08C547CB">
            <w:pPr>
              <w:pStyle w:val="2"/>
              <w:keepNext w:val="0"/>
              <w:keepLines w:val="0"/>
              <w:suppressLineNumbers w:val="0"/>
              <w:spacing w:before="0" w:beforeAutospacing="0" w:afterAutospacing="0"/>
              <w:ind w:left="0" w:right="0"/>
              <w:jc w:val="center"/>
              <w:textAlignment w:val="baseline"/>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技术要求</w:t>
            </w:r>
          </w:p>
        </w:tc>
        <w:tc>
          <w:tcPr>
            <w:tcW w:w="1574" w:type="dxa"/>
            <w:vAlign w:val="center"/>
          </w:tcPr>
          <w:p w14:paraId="135FEC8C">
            <w:pPr>
              <w:pStyle w:val="2"/>
              <w:keepNext w:val="0"/>
              <w:keepLines w:val="0"/>
              <w:suppressLineNumbers w:val="0"/>
              <w:spacing w:before="0" w:beforeAutospacing="0" w:afterAutospacing="0"/>
              <w:ind w:left="0" w:right="0"/>
              <w:jc w:val="center"/>
              <w:textAlignment w:val="baseline"/>
              <w:rPr>
                <w:rFonts w:hint="eastAsia" w:ascii="仿宋" w:hAnsi="仿宋" w:eastAsia="仿宋" w:cs="仿宋"/>
                <w:sz w:val="28"/>
                <w:szCs w:val="28"/>
              </w:rPr>
            </w:pPr>
            <w:r>
              <w:rPr>
                <w:rFonts w:hint="eastAsia" w:ascii="仿宋" w:hAnsi="仿宋" w:eastAsia="仿宋" w:cs="仿宋"/>
                <w:sz w:val="28"/>
                <w:szCs w:val="28"/>
              </w:rPr>
              <w:t>最高限价（元）</w:t>
            </w:r>
          </w:p>
        </w:tc>
      </w:tr>
      <w:tr w14:paraId="6C160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8" w:hRule="atLeast"/>
        </w:trPr>
        <w:tc>
          <w:tcPr>
            <w:tcW w:w="456" w:type="dxa"/>
            <w:vAlign w:val="center"/>
          </w:tcPr>
          <w:p w14:paraId="141D5B3E">
            <w:pPr>
              <w:pStyle w:val="2"/>
              <w:keepNext w:val="0"/>
              <w:keepLines w:val="0"/>
              <w:suppressLineNumbers w:val="0"/>
              <w:spacing w:before="0" w:beforeAutospacing="0" w:afterAutospacing="0"/>
              <w:ind w:left="0" w:right="0"/>
              <w:jc w:val="center"/>
              <w:textAlignment w:val="baseline"/>
              <w:rPr>
                <w:rFonts w:hint="eastAsia" w:ascii="仿宋" w:hAnsi="仿宋" w:eastAsia="仿宋" w:cs="仿宋"/>
                <w:sz w:val="28"/>
                <w:szCs w:val="28"/>
              </w:rPr>
            </w:pPr>
            <w:r>
              <w:rPr>
                <w:rFonts w:hint="eastAsia" w:ascii="仿宋" w:hAnsi="仿宋" w:eastAsia="仿宋" w:cs="仿宋"/>
                <w:sz w:val="28"/>
                <w:szCs w:val="28"/>
              </w:rPr>
              <w:t>1</w:t>
            </w:r>
          </w:p>
        </w:tc>
        <w:tc>
          <w:tcPr>
            <w:tcW w:w="990" w:type="dxa"/>
            <w:vAlign w:val="center"/>
          </w:tcPr>
          <w:p w14:paraId="45420D00">
            <w:pPr>
              <w:pStyle w:val="2"/>
              <w:keepNext w:val="0"/>
              <w:keepLines w:val="0"/>
              <w:suppressLineNumbers w:val="0"/>
              <w:spacing w:before="0" w:beforeAutospacing="0" w:afterAutospacing="0"/>
              <w:ind w:left="0" w:right="0"/>
              <w:jc w:val="center"/>
              <w:textAlignment w:val="baseline"/>
              <w:rPr>
                <w:rFonts w:hint="eastAsia" w:ascii="仿宋" w:hAnsi="仿宋" w:eastAsia="仿宋" w:cs="仿宋"/>
                <w:sz w:val="28"/>
                <w:szCs w:val="28"/>
              </w:rPr>
            </w:pPr>
            <w:r>
              <w:rPr>
                <w:rFonts w:hint="eastAsia" w:ascii="仿宋" w:hAnsi="仿宋" w:eastAsia="仿宋" w:cs="仿宋"/>
                <w:sz w:val="28"/>
                <w:szCs w:val="28"/>
              </w:rPr>
              <w:t>服务类</w:t>
            </w:r>
          </w:p>
        </w:tc>
        <w:tc>
          <w:tcPr>
            <w:tcW w:w="2196" w:type="dxa"/>
            <w:vAlign w:val="center"/>
          </w:tcPr>
          <w:p w14:paraId="2D49C1E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auto"/>
              <w:rPr>
                <w:rFonts w:hint="eastAsia" w:ascii="仿宋" w:hAnsi="仿宋" w:eastAsia="仿宋" w:cs="仿宋"/>
                <w:sz w:val="28"/>
                <w:szCs w:val="28"/>
              </w:rPr>
            </w:pPr>
            <w:r>
              <w:rPr>
                <w:rStyle w:val="10"/>
                <w:rFonts w:hint="eastAsia" w:ascii="仿宋" w:hAnsi="仿宋" w:eastAsia="仿宋" w:cs="仿宋"/>
                <w:b w:val="0"/>
                <w:bCs w:val="0"/>
                <w:i w:val="0"/>
                <w:iCs w:val="0"/>
                <w:caps w:val="0"/>
                <w:color w:val="FF0000"/>
                <w:spacing w:val="0"/>
                <w:sz w:val="28"/>
                <w:szCs w:val="28"/>
                <w:lang w:val="en-US" w:eastAsia="zh-CN"/>
              </w:rPr>
              <w:t>大竹县人民医院网络和信息系统密码应用安全性评估服务项目（第二次</w:t>
            </w:r>
            <w:bookmarkStart w:id="2" w:name="_GoBack"/>
            <w:bookmarkEnd w:id="2"/>
            <w:r>
              <w:rPr>
                <w:rStyle w:val="10"/>
                <w:rFonts w:hint="eastAsia" w:ascii="仿宋" w:hAnsi="仿宋" w:eastAsia="仿宋" w:cs="仿宋"/>
                <w:b w:val="0"/>
                <w:bCs w:val="0"/>
                <w:i w:val="0"/>
                <w:iCs w:val="0"/>
                <w:caps w:val="0"/>
                <w:color w:val="FF0000"/>
                <w:spacing w:val="0"/>
                <w:sz w:val="28"/>
                <w:szCs w:val="28"/>
                <w:lang w:val="en-US" w:eastAsia="zh-CN"/>
              </w:rPr>
              <w:t>）</w:t>
            </w:r>
          </w:p>
        </w:tc>
        <w:tc>
          <w:tcPr>
            <w:tcW w:w="579" w:type="dxa"/>
            <w:vAlign w:val="center"/>
          </w:tcPr>
          <w:p w14:paraId="019F7C9B">
            <w:pPr>
              <w:pStyle w:val="2"/>
              <w:keepNext w:val="0"/>
              <w:keepLines w:val="0"/>
              <w:suppressLineNumbers w:val="0"/>
              <w:spacing w:before="0" w:beforeAutospacing="0" w:afterAutospacing="0"/>
              <w:ind w:left="0" w:right="0"/>
              <w:jc w:val="center"/>
              <w:textAlignment w:val="baseline"/>
              <w:rPr>
                <w:rFonts w:hint="eastAsia" w:ascii="仿宋" w:hAnsi="仿宋" w:eastAsia="仿宋" w:cs="仿宋"/>
                <w:sz w:val="28"/>
                <w:szCs w:val="28"/>
              </w:rPr>
            </w:pPr>
            <w:r>
              <w:rPr>
                <w:rFonts w:hint="eastAsia" w:ascii="仿宋" w:hAnsi="仿宋" w:eastAsia="仿宋" w:cs="仿宋"/>
                <w:sz w:val="28"/>
                <w:szCs w:val="28"/>
              </w:rPr>
              <w:t>1</w:t>
            </w:r>
          </w:p>
        </w:tc>
        <w:tc>
          <w:tcPr>
            <w:tcW w:w="840" w:type="dxa"/>
            <w:vAlign w:val="center"/>
          </w:tcPr>
          <w:p w14:paraId="5E7BEBB2">
            <w:pPr>
              <w:pStyle w:val="2"/>
              <w:keepNext w:val="0"/>
              <w:keepLines w:val="0"/>
              <w:suppressLineNumbers w:val="0"/>
              <w:spacing w:before="0" w:beforeAutospacing="0" w:afterAutospacing="0"/>
              <w:ind w:left="0" w:right="0"/>
              <w:jc w:val="center"/>
              <w:textAlignment w:val="baseline"/>
              <w:rPr>
                <w:rFonts w:hint="eastAsia" w:ascii="仿宋" w:hAnsi="仿宋" w:eastAsia="仿宋" w:cs="仿宋"/>
                <w:sz w:val="28"/>
                <w:szCs w:val="28"/>
              </w:rPr>
            </w:pPr>
            <w:r>
              <w:rPr>
                <w:rFonts w:hint="eastAsia" w:ascii="仿宋" w:hAnsi="仿宋" w:eastAsia="仿宋" w:cs="仿宋"/>
                <w:sz w:val="28"/>
                <w:szCs w:val="28"/>
              </w:rPr>
              <w:t>项</w:t>
            </w:r>
          </w:p>
        </w:tc>
        <w:tc>
          <w:tcPr>
            <w:tcW w:w="2255" w:type="dxa"/>
            <w:vAlign w:val="center"/>
          </w:tcPr>
          <w:p w14:paraId="530DFE01">
            <w:pPr>
              <w:pStyle w:val="2"/>
              <w:keepNext w:val="0"/>
              <w:keepLines w:val="0"/>
              <w:suppressLineNumbers w:val="0"/>
              <w:spacing w:before="0" w:beforeAutospacing="0" w:afterAutospacing="0"/>
              <w:ind w:left="0" w:right="0"/>
              <w:jc w:val="center"/>
              <w:textAlignment w:val="baseline"/>
              <w:rPr>
                <w:rFonts w:hint="eastAsia" w:ascii="仿宋" w:hAnsi="仿宋" w:eastAsia="仿宋" w:cs="仿宋"/>
                <w:sz w:val="28"/>
                <w:szCs w:val="28"/>
              </w:rPr>
            </w:pPr>
            <w:r>
              <w:rPr>
                <w:rFonts w:hint="eastAsia" w:ascii="仿宋" w:hAnsi="仿宋" w:eastAsia="仿宋" w:cs="仿宋"/>
                <w:color w:val="FF0000"/>
                <w:sz w:val="28"/>
                <w:szCs w:val="28"/>
              </w:rPr>
              <w:t>通过对数据交换平台系统的现状和密码应用需求进行分析</w:t>
            </w:r>
          </w:p>
        </w:tc>
        <w:tc>
          <w:tcPr>
            <w:tcW w:w="1574" w:type="dxa"/>
            <w:vAlign w:val="center"/>
          </w:tcPr>
          <w:p w14:paraId="5AD658B5">
            <w:pPr>
              <w:pStyle w:val="2"/>
              <w:keepNext w:val="0"/>
              <w:keepLines w:val="0"/>
              <w:suppressLineNumbers w:val="0"/>
              <w:spacing w:before="0" w:beforeAutospacing="0" w:afterAutospacing="0"/>
              <w:ind w:left="0" w:right="0"/>
              <w:jc w:val="center"/>
              <w:textAlignment w:val="baseline"/>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75000</w:t>
            </w:r>
          </w:p>
        </w:tc>
      </w:tr>
    </w:tbl>
    <w:p w14:paraId="2A444667">
      <w:pPr>
        <w:pStyle w:val="11"/>
        <w:spacing w:line="360" w:lineRule="auto"/>
        <w:ind w:firstLine="560"/>
        <w:rPr>
          <w:rFonts w:hint="eastAsia" w:ascii="仿宋" w:hAnsi="仿宋" w:eastAsia="仿宋" w:cs="仿宋"/>
          <w:b/>
          <w:bCs/>
          <w:kern w:val="2"/>
          <w:sz w:val="28"/>
          <w:szCs w:val="28"/>
          <w:lang w:val="en-US" w:eastAsia="zh-CN" w:bidi="ar-SA"/>
        </w:rPr>
      </w:pPr>
      <w:r>
        <w:rPr>
          <w:rFonts w:hint="eastAsia" w:ascii="仿宋" w:hAnsi="仿宋" w:eastAsia="仿宋" w:cs="仿宋"/>
          <w:bCs/>
          <w:sz w:val="28"/>
          <w:szCs w:val="28"/>
        </w:rPr>
        <w:t>供应商所报的响应报价应是完成</w:t>
      </w:r>
      <w:r>
        <w:rPr>
          <w:rFonts w:hint="eastAsia" w:ascii="仿宋" w:hAnsi="仿宋" w:eastAsia="仿宋" w:cs="仿宋"/>
          <w:bCs/>
          <w:sz w:val="28"/>
          <w:szCs w:val="28"/>
          <w:lang w:val="en-US" w:eastAsia="zh-CN"/>
        </w:rPr>
        <w:t>本</w:t>
      </w:r>
      <w:r>
        <w:rPr>
          <w:rFonts w:hint="eastAsia" w:ascii="仿宋" w:hAnsi="仿宋" w:eastAsia="仿宋" w:cs="仿宋"/>
          <w:bCs/>
          <w:sz w:val="28"/>
          <w:szCs w:val="28"/>
        </w:rPr>
        <w:t>项目的全部内容的价格体现。应包括供应商为完成本项目的全部工作须支付或发生的一切所需费用（包括且不限于：管理费、服务费、人工费、税费等和拟获得的利润。）供应商报价应充分考虑合同履行期内各种费用、市场风险、价格波动、承担义务和付款条件等，本项目无成本分担和风险补偿。</w:t>
      </w:r>
    </w:p>
    <w:p w14:paraId="38DFAF3C">
      <w:pPr>
        <w:pageBreakBefore w:val="0"/>
        <w:numPr>
          <w:ilvl w:val="0"/>
          <w:numId w:val="0"/>
        </w:numPr>
        <w:kinsoku/>
        <w:wordWrap/>
        <w:overflowPunct/>
        <w:topLinePunct w:val="0"/>
        <w:autoSpaceDE/>
        <w:autoSpaceDN/>
        <w:bidi w:val="0"/>
        <w:adjustRightInd/>
        <w:snapToGrid/>
        <w:spacing w:beforeLines="50" w:afterLines="50" w:line="560" w:lineRule="exact"/>
        <w:ind w:firstLine="562" w:firstLineChars="200"/>
        <w:outlineLvl w:val="1"/>
        <w:rPr>
          <w:rFonts w:hint="eastAsia" w:ascii="仿宋" w:hAnsi="仿宋" w:eastAsia="仿宋" w:cs="仿宋"/>
          <w:b/>
          <w:bCs/>
          <w:sz w:val="28"/>
          <w:szCs w:val="28"/>
          <w:lang w:val="en-US" w:eastAsia="zh-CN"/>
        </w:rPr>
      </w:pPr>
      <w:r>
        <w:rPr>
          <w:rFonts w:hint="eastAsia" w:ascii="仿宋" w:hAnsi="仿宋" w:eastAsia="仿宋" w:cs="仿宋"/>
          <w:b/>
          <w:bCs/>
          <w:kern w:val="2"/>
          <w:sz w:val="28"/>
          <w:szCs w:val="28"/>
          <w:lang w:val="en-US" w:eastAsia="zh-CN" w:bidi="ar-SA"/>
        </w:rPr>
        <w:t>三、服务</w:t>
      </w:r>
      <w:r>
        <w:rPr>
          <w:rFonts w:hint="eastAsia" w:ascii="仿宋" w:hAnsi="仿宋" w:eastAsia="仿宋" w:cs="仿宋"/>
          <w:b/>
          <w:bCs/>
          <w:sz w:val="28"/>
          <w:szCs w:val="28"/>
          <w:lang w:val="en-US" w:eastAsia="zh-CN"/>
        </w:rPr>
        <w:t>要求</w:t>
      </w:r>
      <w:r>
        <w:rPr>
          <w:rFonts w:hint="eastAsia" w:ascii="仿宋" w:hAnsi="仿宋" w:eastAsia="仿宋" w:cs="仿宋"/>
          <w:b/>
          <w:bCs/>
          <w:color w:val="auto"/>
          <w:sz w:val="28"/>
          <w:szCs w:val="28"/>
          <w:lang w:eastAsia="zh-CN"/>
        </w:rPr>
        <w:t>（</w:t>
      </w:r>
      <w:r>
        <w:rPr>
          <w:rFonts w:hint="eastAsia" w:ascii="仿宋" w:hAnsi="仿宋" w:eastAsia="仿宋" w:cs="仿宋"/>
          <w:b/>
          <w:bCs/>
          <w:color w:val="auto"/>
          <w:sz w:val="28"/>
          <w:szCs w:val="28"/>
          <w:lang w:val="en-US" w:eastAsia="zh-CN"/>
        </w:rPr>
        <w:t>此节内容供应商在</w:t>
      </w:r>
      <w:r>
        <w:rPr>
          <w:rFonts w:hint="eastAsia" w:ascii="仿宋" w:hAnsi="仿宋" w:eastAsia="仿宋" w:cs="仿宋"/>
          <w:b/>
          <w:bCs/>
          <w:color w:val="auto"/>
          <w:sz w:val="28"/>
          <w:szCs w:val="28"/>
          <w:lang w:eastAsia="zh-CN"/>
        </w:rPr>
        <w:t>技术、服务及其他要求应答表</w:t>
      </w:r>
      <w:r>
        <w:rPr>
          <w:rFonts w:hint="eastAsia" w:ascii="仿宋" w:hAnsi="仿宋" w:eastAsia="仿宋" w:cs="仿宋"/>
          <w:b/>
          <w:bCs/>
          <w:color w:val="auto"/>
          <w:sz w:val="28"/>
          <w:szCs w:val="28"/>
          <w:lang w:val="en-US" w:eastAsia="zh-CN"/>
        </w:rPr>
        <w:t>中响应</w:t>
      </w:r>
      <w:r>
        <w:rPr>
          <w:rFonts w:hint="eastAsia" w:ascii="仿宋" w:hAnsi="仿宋" w:eastAsia="仿宋" w:cs="仿宋"/>
          <w:b/>
          <w:bCs/>
          <w:color w:val="auto"/>
          <w:sz w:val="28"/>
          <w:szCs w:val="28"/>
          <w:lang w:eastAsia="zh-CN"/>
        </w:rPr>
        <w:t>）</w:t>
      </w:r>
    </w:p>
    <w:p w14:paraId="34C5898C">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highlight w:val="none"/>
          <w:lang w:val="en-US" w:eastAsia="zh-CN"/>
        </w:rPr>
        <w:t>（一）</w:t>
      </w:r>
      <w:r>
        <w:rPr>
          <w:rFonts w:hint="eastAsia" w:ascii="仿宋" w:hAnsi="仿宋" w:eastAsia="仿宋" w:cs="仿宋"/>
          <w:b w:val="0"/>
          <w:bCs w:val="0"/>
          <w:sz w:val="28"/>
          <w:szCs w:val="28"/>
        </w:rPr>
        <w:t>方案内容技术要求：</w:t>
      </w:r>
    </w:p>
    <w:p w14:paraId="0AF5D1DD">
      <w:pPr>
        <w:pStyle w:val="11"/>
        <w:spacing w:line="560" w:lineRule="exact"/>
        <w:ind w:firstLine="560"/>
        <w:rPr>
          <w:rFonts w:hint="eastAsia" w:ascii="仿宋" w:hAnsi="仿宋" w:eastAsia="仿宋" w:cs="仿宋"/>
          <w:sz w:val="28"/>
          <w:szCs w:val="28"/>
        </w:rPr>
      </w:pPr>
      <w:r>
        <w:rPr>
          <w:rFonts w:hint="eastAsia" w:ascii="仿宋" w:hAnsi="仿宋" w:eastAsia="仿宋" w:cs="仿宋"/>
          <w:sz w:val="28"/>
          <w:szCs w:val="28"/>
        </w:rPr>
        <w:t xml:space="preserve">1. 系统基本情况分析，包括系统网络拓扑结构，承载业务应用，关键数据类型，系统软硬件构成等。 </w:t>
      </w:r>
    </w:p>
    <w:p w14:paraId="349ECE2C">
      <w:pPr>
        <w:pStyle w:val="11"/>
        <w:spacing w:line="560" w:lineRule="exact"/>
        <w:ind w:firstLine="560"/>
        <w:rPr>
          <w:rFonts w:hint="eastAsia" w:ascii="仿宋" w:hAnsi="仿宋" w:eastAsia="仿宋" w:cs="仿宋"/>
          <w:sz w:val="28"/>
          <w:szCs w:val="28"/>
        </w:rPr>
      </w:pPr>
      <w:r>
        <w:rPr>
          <w:rFonts w:hint="eastAsia" w:ascii="仿宋" w:hAnsi="仿宋" w:eastAsia="仿宋" w:cs="仿宋"/>
          <w:sz w:val="28"/>
          <w:szCs w:val="28"/>
        </w:rPr>
        <w:t xml:space="preserve">2. 密码应用需求分析，包括物理和环境安全，网络和通信安全，设备和 计算安全，应用和数据安全，密码安全管理，并根据系统密码安全风险分析提出系统密码应用需求分析清单。 </w:t>
      </w:r>
    </w:p>
    <w:p w14:paraId="79F235E5">
      <w:pPr>
        <w:pStyle w:val="11"/>
        <w:spacing w:line="560" w:lineRule="exact"/>
        <w:ind w:firstLine="560"/>
        <w:rPr>
          <w:rFonts w:hint="eastAsia" w:ascii="仿宋" w:hAnsi="仿宋" w:eastAsia="仿宋" w:cs="仿宋"/>
          <w:sz w:val="28"/>
          <w:szCs w:val="28"/>
        </w:rPr>
      </w:pPr>
      <w:r>
        <w:rPr>
          <w:rFonts w:hint="eastAsia" w:ascii="仿宋" w:hAnsi="仿宋" w:eastAsia="仿宋" w:cs="仿宋"/>
          <w:sz w:val="28"/>
          <w:szCs w:val="28"/>
        </w:rPr>
        <w:t>3. 密码设计原则遵循全面考虑、重点部署、分步实施，且具有规范性、先进性、可扩展性、完整性，综合考虑资产价值、风险等级，经济性和适度 性并重。</w:t>
      </w:r>
    </w:p>
    <w:p w14:paraId="5FEC67BC">
      <w:pPr>
        <w:pStyle w:val="11"/>
        <w:spacing w:line="560" w:lineRule="exact"/>
        <w:ind w:firstLine="560"/>
        <w:rPr>
          <w:rFonts w:hint="eastAsia" w:ascii="仿宋" w:hAnsi="仿宋" w:eastAsia="仿宋" w:cs="仿宋"/>
          <w:sz w:val="28"/>
          <w:szCs w:val="28"/>
        </w:rPr>
      </w:pPr>
      <w:r>
        <w:rPr>
          <w:rFonts w:hint="eastAsia" w:ascii="仿宋" w:hAnsi="仿宋" w:eastAsia="仿宋" w:cs="仿宋"/>
          <w:sz w:val="28"/>
          <w:szCs w:val="28"/>
        </w:rPr>
        <w:t xml:space="preserve">4. 密码应用技术方案设计，密码技术框架，详细方案设计，包括物理和 环境安全，网络和通信安全，设备和计算安全，应用和数据安全，密钥管理，密码应用部署，安全与合规性分析。 </w:t>
      </w:r>
    </w:p>
    <w:p w14:paraId="6543A992">
      <w:pPr>
        <w:pStyle w:val="11"/>
        <w:spacing w:line="560" w:lineRule="exact"/>
        <w:ind w:firstLine="560"/>
        <w:rPr>
          <w:rFonts w:hint="eastAsia" w:ascii="仿宋" w:hAnsi="仿宋" w:eastAsia="仿宋" w:cs="仿宋"/>
          <w:sz w:val="28"/>
          <w:szCs w:val="28"/>
        </w:rPr>
      </w:pPr>
      <w:r>
        <w:rPr>
          <w:rFonts w:hint="eastAsia" w:ascii="仿宋" w:hAnsi="仿宋" w:eastAsia="仿宋" w:cs="仿宋"/>
          <w:sz w:val="28"/>
          <w:szCs w:val="28"/>
        </w:rPr>
        <w:t xml:space="preserve">5. 密码安全管理设计，包括管理制度，人员管理，建设运行，密码软硬件管理。 </w:t>
      </w:r>
    </w:p>
    <w:p w14:paraId="17AFD0BC">
      <w:pPr>
        <w:pStyle w:val="2"/>
        <w:ind w:firstLine="560" w:firstLineChars="200"/>
        <w:rPr>
          <w:rFonts w:hint="eastAsia" w:ascii="仿宋" w:hAnsi="仿宋" w:eastAsia="仿宋" w:cs="仿宋"/>
          <w:sz w:val="28"/>
          <w:szCs w:val="28"/>
        </w:rPr>
      </w:pPr>
      <w:r>
        <w:rPr>
          <w:rFonts w:hint="eastAsia" w:ascii="仿宋" w:hAnsi="仿宋" w:eastAsia="仿宋" w:cs="仿宋"/>
          <w:sz w:val="28"/>
          <w:szCs w:val="28"/>
        </w:rPr>
        <w:t>6. 实施保障设计，包括实施内容，实施计划，保障措施等。</w:t>
      </w:r>
    </w:p>
    <w:p w14:paraId="09A17F22">
      <w:pPr>
        <w:pStyle w:val="11"/>
        <w:spacing w:line="560" w:lineRule="exact"/>
        <w:ind w:firstLine="562"/>
        <w:rPr>
          <w:rFonts w:hint="eastAsia" w:ascii="仿宋" w:hAnsi="仿宋" w:eastAsia="仿宋" w:cs="仿宋"/>
          <w:b w:val="0"/>
          <w:bCs w:val="0"/>
          <w:kern w:val="2"/>
          <w:sz w:val="28"/>
          <w:szCs w:val="28"/>
          <w:highlight w:val="none"/>
          <w:lang w:val="en-US" w:eastAsia="zh-CN" w:bidi="ar-SA"/>
        </w:rPr>
      </w:pPr>
      <w:r>
        <w:rPr>
          <w:rFonts w:hint="eastAsia" w:ascii="仿宋" w:hAnsi="仿宋" w:eastAsia="仿宋" w:cs="仿宋"/>
          <w:b w:val="0"/>
          <w:bCs w:val="0"/>
          <w:kern w:val="2"/>
          <w:sz w:val="28"/>
          <w:szCs w:val="28"/>
          <w:highlight w:val="none"/>
          <w:lang w:val="en-US" w:eastAsia="zh-CN" w:bidi="ar-SA"/>
        </w:rPr>
        <w:t xml:space="preserve">（二）商用密码测评技术要求 </w:t>
      </w:r>
    </w:p>
    <w:p w14:paraId="062EB199">
      <w:pPr>
        <w:pStyle w:val="11"/>
        <w:spacing w:line="560" w:lineRule="exact"/>
        <w:ind w:firstLine="560"/>
        <w:rPr>
          <w:rFonts w:hint="eastAsia" w:ascii="仿宋" w:hAnsi="仿宋" w:eastAsia="仿宋" w:cs="仿宋"/>
          <w:sz w:val="28"/>
          <w:szCs w:val="28"/>
        </w:rPr>
      </w:pPr>
      <w:r>
        <w:rPr>
          <w:rFonts w:hint="eastAsia" w:ascii="仿宋" w:hAnsi="仿宋" w:eastAsia="仿宋" w:cs="仿宋"/>
          <w:sz w:val="28"/>
          <w:szCs w:val="28"/>
        </w:rPr>
        <w:t xml:space="preserve">1、密码应用方案评估 </w:t>
      </w:r>
    </w:p>
    <w:p w14:paraId="06FF358C">
      <w:pPr>
        <w:pStyle w:val="11"/>
        <w:spacing w:line="560" w:lineRule="exact"/>
        <w:ind w:firstLine="560"/>
        <w:rPr>
          <w:rFonts w:hint="eastAsia" w:ascii="仿宋" w:hAnsi="仿宋" w:eastAsia="仿宋" w:cs="仿宋"/>
          <w:sz w:val="28"/>
          <w:szCs w:val="28"/>
        </w:rPr>
      </w:pPr>
      <w:r>
        <w:rPr>
          <w:rFonts w:hint="eastAsia" w:ascii="仿宋" w:hAnsi="仿宋" w:eastAsia="仿宋" w:cs="仿宋"/>
          <w:sz w:val="28"/>
          <w:szCs w:val="28"/>
        </w:rPr>
        <w:t xml:space="preserve">对大竹县人民医院数据交换平台系统密码应用方案进行方案评估，评估内容 包括形式审核、实质审核、指标评估、初步量化评估，其中形式审核的范围包括 方案内容完整性、方案内容一致性、方案文本规范性，实质审核的范围包括方案的密码应用现状、密码应用保护对象、密码应用需求及控制措施、实施保障措施。 </w:t>
      </w:r>
    </w:p>
    <w:p w14:paraId="2DAC9EF8">
      <w:pPr>
        <w:pStyle w:val="11"/>
        <w:spacing w:line="560" w:lineRule="exact"/>
        <w:ind w:firstLine="560"/>
        <w:rPr>
          <w:rFonts w:hint="eastAsia" w:ascii="仿宋" w:hAnsi="仿宋" w:eastAsia="仿宋" w:cs="仿宋"/>
          <w:sz w:val="28"/>
          <w:szCs w:val="28"/>
        </w:rPr>
      </w:pPr>
      <w:r>
        <w:rPr>
          <w:rFonts w:hint="eastAsia" w:ascii="仿宋" w:hAnsi="仿宋" w:eastAsia="仿宋" w:cs="仿宋"/>
          <w:sz w:val="28"/>
          <w:szCs w:val="28"/>
        </w:rPr>
        <w:t xml:space="preserve">2、系统密码应用安全性评估 </w:t>
      </w:r>
    </w:p>
    <w:p w14:paraId="3EA783DA">
      <w:pPr>
        <w:pStyle w:val="11"/>
        <w:spacing w:line="560" w:lineRule="exact"/>
        <w:ind w:firstLine="560"/>
        <w:rPr>
          <w:rFonts w:hint="eastAsia" w:ascii="仿宋" w:hAnsi="仿宋" w:eastAsia="仿宋" w:cs="仿宋"/>
          <w:sz w:val="28"/>
          <w:szCs w:val="28"/>
        </w:rPr>
      </w:pPr>
      <w:r>
        <w:rPr>
          <w:rFonts w:hint="eastAsia" w:ascii="仿宋" w:hAnsi="仿宋" w:eastAsia="仿宋" w:cs="仿宋"/>
          <w:sz w:val="28"/>
          <w:szCs w:val="28"/>
        </w:rPr>
        <w:t xml:space="preserve">严格按照《中华人民共和国密码法》、《商用密码管理条例》、GB/T 39786-2021《信息安全技术信息系统密码应用基本要求》、GM/T0054《信息系统密码应用基本要求》、GB/T43206-2023《信息安全技术信息系统密码应用测评要求》、《商用密码应用安全性评估测评过程指南》、《商用密码应用安全性评估测评作业指导书》、《商用密码应用安全性评估测评工作使用需求说明》和相关国家标准和密码行业标准，完成大竹县人民医院数据交换平台商用密码应用安全性评估工作并出具系统的商用密码应用安全性评估报告。 </w:t>
      </w:r>
    </w:p>
    <w:p w14:paraId="6D795D8A">
      <w:pPr>
        <w:pStyle w:val="11"/>
        <w:spacing w:line="560" w:lineRule="exact"/>
        <w:ind w:firstLine="560"/>
        <w:rPr>
          <w:rFonts w:hint="eastAsia" w:ascii="仿宋" w:hAnsi="仿宋" w:eastAsia="仿宋" w:cs="仿宋"/>
          <w:sz w:val="28"/>
          <w:szCs w:val="28"/>
        </w:rPr>
      </w:pPr>
      <w:r>
        <w:rPr>
          <w:rFonts w:hint="eastAsia" w:ascii="仿宋" w:hAnsi="仿宋" w:eastAsia="仿宋" w:cs="仿宋"/>
          <w:sz w:val="28"/>
          <w:szCs w:val="28"/>
        </w:rPr>
        <w:t xml:space="preserve">3、测评要求 </w:t>
      </w:r>
    </w:p>
    <w:p w14:paraId="3015DA7B">
      <w:pPr>
        <w:pStyle w:val="11"/>
        <w:spacing w:line="560" w:lineRule="exact"/>
        <w:ind w:firstLine="560"/>
        <w:rPr>
          <w:rFonts w:hint="eastAsia" w:ascii="仿宋" w:hAnsi="仿宋" w:eastAsia="仿宋" w:cs="仿宋"/>
          <w:sz w:val="28"/>
          <w:szCs w:val="28"/>
        </w:rPr>
      </w:pPr>
      <w:r>
        <w:rPr>
          <w:rFonts w:hint="eastAsia" w:ascii="仿宋" w:hAnsi="仿宋" w:eastAsia="仿宋" w:cs="仿宋"/>
          <w:sz w:val="28"/>
          <w:szCs w:val="28"/>
        </w:rPr>
        <w:t xml:space="preserve">被评估对象的商用密码应用安全性评估要求如下: </w:t>
      </w:r>
    </w:p>
    <w:p w14:paraId="6BE64169">
      <w:pPr>
        <w:pStyle w:val="11"/>
        <w:spacing w:line="560" w:lineRule="exact"/>
        <w:ind w:firstLine="560"/>
        <w:rPr>
          <w:rFonts w:hint="eastAsia" w:ascii="仿宋" w:hAnsi="仿宋" w:eastAsia="仿宋" w:cs="仿宋"/>
          <w:sz w:val="28"/>
          <w:szCs w:val="28"/>
        </w:rPr>
      </w:pPr>
      <w:r>
        <w:rPr>
          <w:rFonts w:hint="eastAsia" w:ascii="仿宋" w:hAnsi="仿宋" w:eastAsia="仿宋" w:cs="仿宋"/>
          <w:sz w:val="28"/>
          <w:szCs w:val="28"/>
        </w:rPr>
        <w:t xml:space="preserve">密码应用总体要求测评，密码算法合规性测评、密码技术合规性测评、密码产品合规性测评、密码服务合规性测评。 </w:t>
      </w:r>
    </w:p>
    <w:p w14:paraId="78F66A47">
      <w:pPr>
        <w:pStyle w:val="11"/>
        <w:spacing w:line="560" w:lineRule="exact"/>
        <w:ind w:firstLine="560"/>
        <w:rPr>
          <w:rFonts w:hint="eastAsia" w:ascii="仿宋" w:hAnsi="仿宋" w:eastAsia="仿宋" w:cs="仿宋"/>
          <w:sz w:val="28"/>
          <w:szCs w:val="28"/>
        </w:rPr>
      </w:pPr>
      <w:r>
        <w:rPr>
          <w:rFonts w:hint="eastAsia" w:ascii="仿宋" w:hAnsi="仿宋" w:eastAsia="仿宋" w:cs="仿宋"/>
          <w:sz w:val="28"/>
          <w:szCs w:val="28"/>
        </w:rPr>
        <w:t xml:space="preserve">密码应用技术要求测评，物理和环境安全测评、网络和通信安全测评、设备和计算安全测评、应用和数据安全测评。 </w:t>
      </w:r>
    </w:p>
    <w:p w14:paraId="4F1CECEF">
      <w:pPr>
        <w:pStyle w:val="11"/>
        <w:spacing w:line="560" w:lineRule="exact"/>
        <w:ind w:firstLine="560"/>
        <w:rPr>
          <w:rFonts w:hint="eastAsia" w:ascii="仿宋" w:hAnsi="仿宋" w:eastAsia="仿宋" w:cs="仿宋"/>
          <w:sz w:val="28"/>
          <w:szCs w:val="28"/>
        </w:rPr>
      </w:pPr>
      <w:r>
        <w:rPr>
          <w:rFonts w:hint="eastAsia" w:ascii="仿宋" w:hAnsi="仿宋" w:eastAsia="仿宋" w:cs="仿宋"/>
          <w:sz w:val="28"/>
          <w:szCs w:val="28"/>
        </w:rPr>
        <w:t xml:space="preserve">密钥管理测评，对密钥的生成、存储、分发、导入、导出、使用、备份、恢复、归档、销毁等环节进行管理和策略制定的全过程进行测评：密钥生成测评、密钥存储测评、密钥分发测评、密钥导入与导出测评、密钥使用测评、密钥备份与恢复测评、密钥归档测评、密钥销毁测评。 </w:t>
      </w:r>
    </w:p>
    <w:p w14:paraId="50EB0102">
      <w:pPr>
        <w:pStyle w:val="11"/>
        <w:spacing w:line="560" w:lineRule="exact"/>
        <w:ind w:firstLine="560"/>
        <w:rPr>
          <w:rFonts w:hint="eastAsia" w:ascii="仿宋" w:hAnsi="仿宋" w:eastAsia="仿宋" w:cs="仿宋"/>
          <w:sz w:val="28"/>
          <w:szCs w:val="28"/>
        </w:rPr>
      </w:pPr>
      <w:r>
        <w:rPr>
          <w:rFonts w:hint="eastAsia" w:ascii="仿宋" w:hAnsi="仿宋" w:eastAsia="仿宋" w:cs="仿宋"/>
          <w:sz w:val="28"/>
          <w:szCs w:val="28"/>
        </w:rPr>
        <w:t>安全管理测评，制度测评、人员测评、实施测评、应急测评。</w:t>
      </w:r>
    </w:p>
    <w:p w14:paraId="542A7601">
      <w:pPr>
        <w:pStyle w:val="11"/>
        <w:spacing w:line="560" w:lineRule="exact"/>
        <w:ind w:firstLine="560"/>
        <w:rPr>
          <w:rFonts w:hint="eastAsia" w:ascii="仿宋" w:hAnsi="仿宋" w:eastAsia="仿宋" w:cs="仿宋"/>
          <w:sz w:val="28"/>
          <w:szCs w:val="28"/>
        </w:rPr>
      </w:pPr>
      <w:r>
        <w:rPr>
          <w:rFonts w:hint="eastAsia" w:ascii="仿宋" w:hAnsi="仿宋" w:eastAsia="仿宋" w:cs="仿宋"/>
          <w:b w:val="0"/>
          <w:bCs w:val="0"/>
          <w:kern w:val="2"/>
          <w:sz w:val="28"/>
          <w:szCs w:val="28"/>
          <w:highlight w:val="none"/>
          <w:lang w:val="en-US" w:eastAsia="zh-CN" w:bidi="ar-SA"/>
        </w:rPr>
        <w:t>（三）</w:t>
      </w:r>
      <w:r>
        <w:rPr>
          <w:rFonts w:hint="eastAsia" w:ascii="仿宋" w:hAnsi="仿宋" w:eastAsia="仿宋" w:cs="仿宋"/>
          <w:bCs/>
          <w:sz w:val="28"/>
          <w:szCs w:val="28"/>
        </w:rPr>
        <w:t>供应商提供的委托代理服务，必须符合以下标准</w:t>
      </w:r>
      <w:r>
        <w:rPr>
          <w:rFonts w:hint="eastAsia" w:ascii="仿宋" w:hAnsi="仿宋" w:eastAsia="仿宋" w:cs="仿宋"/>
          <w:b w:val="0"/>
          <w:bCs w:val="0"/>
          <w:kern w:val="2"/>
          <w:sz w:val="28"/>
          <w:szCs w:val="28"/>
          <w:highlight w:val="none"/>
          <w:lang w:val="en-US" w:eastAsia="zh-CN" w:bidi="ar-SA"/>
        </w:rPr>
        <w:t xml:space="preserve"> ：</w:t>
      </w:r>
    </w:p>
    <w:p w14:paraId="42684510">
      <w:pPr>
        <w:pStyle w:val="11"/>
        <w:spacing w:line="560" w:lineRule="exact"/>
        <w:ind w:firstLine="560"/>
        <w:rPr>
          <w:rFonts w:hint="eastAsia" w:ascii="仿宋" w:hAnsi="仿宋" w:eastAsia="仿宋" w:cs="仿宋"/>
          <w:sz w:val="28"/>
          <w:szCs w:val="28"/>
        </w:rPr>
      </w:pPr>
      <w:r>
        <w:rPr>
          <w:rFonts w:hint="eastAsia" w:ascii="仿宋" w:hAnsi="仿宋" w:eastAsia="仿宋" w:cs="仿宋"/>
          <w:sz w:val="28"/>
          <w:szCs w:val="28"/>
        </w:rPr>
        <w:t xml:space="preserve">国家标准： </w:t>
      </w:r>
    </w:p>
    <w:p w14:paraId="3708D742">
      <w:pPr>
        <w:pStyle w:val="11"/>
        <w:spacing w:line="560" w:lineRule="exact"/>
        <w:ind w:firstLine="560"/>
        <w:rPr>
          <w:rFonts w:hint="eastAsia" w:ascii="仿宋" w:hAnsi="仿宋" w:eastAsia="仿宋" w:cs="仿宋"/>
          <w:sz w:val="28"/>
          <w:szCs w:val="28"/>
        </w:rPr>
      </w:pPr>
      <w:r>
        <w:rPr>
          <w:rFonts w:hint="eastAsia" w:ascii="仿宋" w:hAnsi="仿宋" w:eastAsia="仿宋" w:cs="仿宋"/>
          <w:sz w:val="28"/>
          <w:szCs w:val="28"/>
        </w:rPr>
        <w:t xml:space="preserve">1、 GB/T 20984-2022《信息安全技术 信息安全风险评估方法》 </w:t>
      </w:r>
    </w:p>
    <w:p w14:paraId="45F4F131">
      <w:pPr>
        <w:pStyle w:val="11"/>
        <w:spacing w:line="560" w:lineRule="exact"/>
        <w:ind w:firstLine="560"/>
        <w:rPr>
          <w:rFonts w:hint="eastAsia" w:ascii="仿宋" w:hAnsi="仿宋" w:eastAsia="仿宋" w:cs="仿宋"/>
          <w:sz w:val="28"/>
          <w:szCs w:val="28"/>
        </w:rPr>
      </w:pPr>
      <w:r>
        <w:rPr>
          <w:rFonts w:hint="eastAsia" w:ascii="仿宋" w:hAnsi="仿宋" w:eastAsia="仿宋" w:cs="仿宋"/>
          <w:sz w:val="28"/>
          <w:szCs w:val="28"/>
        </w:rPr>
        <w:t xml:space="preserve">2、 GB/T 39786-2021《信息安全技术 信息系统密码应用基本要求》 </w:t>
      </w:r>
    </w:p>
    <w:p w14:paraId="170AC190">
      <w:pPr>
        <w:pStyle w:val="11"/>
        <w:spacing w:line="560" w:lineRule="exact"/>
        <w:ind w:firstLine="560"/>
        <w:rPr>
          <w:rFonts w:hint="eastAsia" w:ascii="仿宋" w:hAnsi="仿宋" w:eastAsia="仿宋" w:cs="仿宋"/>
          <w:sz w:val="28"/>
          <w:szCs w:val="28"/>
        </w:rPr>
      </w:pPr>
      <w:r>
        <w:rPr>
          <w:rFonts w:hint="eastAsia" w:ascii="仿宋" w:hAnsi="仿宋" w:eastAsia="仿宋" w:cs="仿宋"/>
          <w:sz w:val="28"/>
          <w:szCs w:val="28"/>
        </w:rPr>
        <w:t xml:space="preserve">3、 GB/T 22239-2019《信息安全技术 网络安全等级保护基本要求》 </w:t>
      </w:r>
    </w:p>
    <w:p w14:paraId="490EDC80">
      <w:pPr>
        <w:pStyle w:val="11"/>
        <w:spacing w:line="560" w:lineRule="exact"/>
        <w:ind w:firstLine="560"/>
        <w:rPr>
          <w:rFonts w:hint="eastAsia" w:ascii="仿宋" w:hAnsi="仿宋" w:eastAsia="仿宋" w:cs="仿宋"/>
          <w:sz w:val="28"/>
          <w:szCs w:val="28"/>
        </w:rPr>
      </w:pPr>
      <w:r>
        <w:rPr>
          <w:rFonts w:hint="eastAsia" w:ascii="仿宋" w:hAnsi="仿宋" w:eastAsia="仿宋" w:cs="仿宋"/>
          <w:sz w:val="28"/>
          <w:szCs w:val="28"/>
        </w:rPr>
        <w:t xml:space="preserve">4、 GB/T 25070-2019《信息安全技术 网络安全等级保护设计技术要求》 </w:t>
      </w:r>
    </w:p>
    <w:p w14:paraId="1A7C82C2">
      <w:pPr>
        <w:pStyle w:val="11"/>
        <w:spacing w:line="560" w:lineRule="exact"/>
        <w:ind w:firstLine="560"/>
        <w:rPr>
          <w:rFonts w:hint="eastAsia" w:ascii="仿宋" w:hAnsi="仿宋" w:eastAsia="仿宋" w:cs="仿宋"/>
          <w:sz w:val="28"/>
          <w:szCs w:val="28"/>
        </w:rPr>
      </w:pPr>
      <w:r>
        <w:rPr>
          <w:rFonts w:hint="eastAsia" w:ascii="仿宋" w:hAnsi="仿宋" w:eastAsia="仿宋" w:cs="仿宋"/>
          <w:sz w:val="28"/>
          <w:szCs w:val="28"/>
        </w:rPr>
        <w:t xml:space="preserve">5、 GB/T 31722-2015《信息技术 安全技术 信息安全风险管理》 </w:t>
      </w:r>
    </w:p>
    <w:p w14:paraId="7473245C">
      <w:pPr>
        <w:pStyle w:val="11"/>
        <w:spacing w:line="560" w:lineRule="exact"/>
        <w:ind w:firstLine="560"/>
        <w:rPr>
          <w:rFonts w:hint="eastAsia" w:ascii="仿宋" w:hAnsi="仿宋" w:eastAsia="仿宋" w:cs="仿宋"/>
          <w:sz w:val="28"/>
          <w:szCs w:val="28"/>
        </w:rPr>
      </w:pPr>
      <w:r>
        <w:rPr>
          <w:rFonts w:hint="eastAsia" w:ascii="仿宋" w:hAnsi="仿宋" w:eastAsia="仿宋" w:cs="仿宋"/>
          <w:sz w:val="28"/>
          <w:szCs w:val="28"/>
        </w:rPr>
        <w:t xml:space="preserve">6、 GB/Z 24364-2009《信息安全技术 信息安全风险管理指南》 </w:t>
      </w:r>
    </w:p>
    <w:p w14:paraId="55E9878C">
      <w:pPr>
        <w:pStyle w:val="11"/>
        <w:spacing w:line="560" w:lineRule="exact"/>
        <w:ind w:firstLine="560"/>
        <w:rPr>
          <w:rFonts w:hint="eastAsia" w:ascii="仿宋" w:hAnsi="仿宋" w:eastAsia="仿宋" w:cs="仿宋"/>
          <w:sz w:val="28"/>
          <w:szCs w:val="28"/>
        </w:rPr>
      </w:pPr>
      <w:r>
        <w:rPr>
          <w:rFonts w:hint="eastAsia" w:ascii="仿宋" w:hAnsi="仿宋" w:eastAsia="仿宋" w:cs="仿宋"/>
          <w:sz w:val="28"/>
          <w:szCs w:val="28"/>
        </w:rPr>
        <w:t xml:space="preserve">行业标准： </w:t>
      </w:r>
    </w:p>
    <w:p w14:paraId="399E5268">
      <w:pPr>
        <w:pStyle w:val="11"/>
        <w:spacing w:line="560" w:lineRule="exact"/>
        <w:ind w:firstLine="560"/>
        <w:rPr>
          <w:rFonts w:hint="eastAsia" w:ascii="仿宋" w:hAnsi="仿宋" w:eastAsia="仿宋" w:cs="仿宋"/>
          <w:sz w:val="28"/>
          <w:szCs w:val="28"/>
        </w:rPr>
      </w:pPr>
      <w:r>
        <w:rPr>
          <w:rFonts w:hint="eastAsia" w:ascii="仿宋" w:hAnsi="仿宋" w:eastAsia="仿宋" w:cs="仿宋"/>
          <w:sz w:val="28"/>
          <w:szCs w:val="28"/>
        </w:rPr>
        <w:t xml:space="preserve">1、 GM/T 0052-2016 《密码设备管理 VPN 设备监察管理规范》 </w:t>
      </w:r>
    </w:p>
    <w:p w14:paraId="23360FCE">
      <w:pPr>
        <w:pStyle w:val="11"/>
        <w:spacing w:line="560" w:lineRule="exact"/>
        <w:ind w:firstLine="560"/>
        <w:rPr>
          <w:rFonts w:hint="eastAsia" w:ascii="仿宋" w:hAnsi="仿宋" w:eastAsia="仿宋" w:cs="仿宋"/>
          <w:sz w:val="28"/>
          <w:szCs w:val="28"/>
        </w:rPr>
      </w:pPr>
      <w:r>
        <w:rPr>
          <w:rFonts w:hint="eastAsia" w:ascii="仿宋" w:hAnsi="仿宋" w:eastAsia="仿宋" w:cs="仿宋"/>
          <w:sz w:val="28"/>
          <w:szCs w:val="28"/>
        </w:rPr>
        <w:t xml:space="preserve">2 、GM/T 0051-2016 《密码设备管理 对称密钥管理技术规范》 </w:t>
      </w:r>
    </w:p>
    <w:p w14:paraId="6EF9C9E2">
      <w:pPr>
        <w:pStyle w:val="11"/>
        <w:spacing w:line="560" w:lineRule="exact"/>
        <w:ind w:firstLine="560"/>
        <w:rPr>
          <w:rFonts w:hint="eastAsia" w:ascii="仿宋" w:hAnsi="仿宋" w:eastAsia="仿宋" w:cs="仿宋"/>
          <w:sz w:val="28"/>
          <w:szCs w:val="28"/>
        </w:rPr>
      </w:pPr>
      <w:r>
        <w:rPr>
          <w:rFonts w:hint="eastAsia" w:ascii="仿宋" w:hAnsi="仿宋" w:eastAsia="仿宋" w:cs="仿宋"/>
          <w:sz w:val="28"/>
          <w:szCs w:val="28"/>
        </w:rPr>
        <w:t xml:space="preserve">3 、GM/T 0050-2016 《密码设备管理 设备管理技术规范》 </w:t>
      </w:r>
    </w:p>
    <w:p w14:paraId="4F5C6C01">
      <w:pPr>
        <w:pStyle w:val="11"/>
        <w:spacing w:line="560" w:lineRule="exact"/>
        <w:ind w:firstLine="560"/>
        <w:rPr>
          <w:rFonts w:hint="eastAsia" w:ascii="仿宋" w:hAnsi="仿宋" w:eastAsia="仿宋" w:cs="仿宋"/>
          <w:sz w:val="28"/>
          <w:szCs w:val="28"/>
        </w:rPr>
      </w:pPr>
      <w:r>
        <w:rPr>
          <w:rFonts w:hint="eastAsia" w:ascii="仿宋" w:hAnsi="仿宋" w:eastAsia="仿宋" w:cs="仿宋"/>
          <w:sz w:val="28"/>
          <w:szCs w:val="28"/>
        </w:rPr>
        <w:t xml:space="preserve">4 、GM/T 0048-2016 《智能密码钥匙密码检测规范》 </w:t>
      </w:r>
    </w:p>
    <w:p w14:paraId="22F70867">
      <w:pPr>
        <w:pStyle w:val="11"/>
        <w:spacing w:line="560" w:lineRule="exact"/>
        <w:ind w:firstLine="560"/>
        <w:rPr>
          <w:rFonts w:hint="eastAsia" w:ascii="仿宋" w:hAnsi="仿宋" w:eastAsia="仿宋" w:cs="仿宋"/>
          <w:sz w:val="28"/>
          <w:szCs w:val="28"/>
        </w:rPr>
      </w:pPr>
      <w:r>
        <w:rPr>
          <w:rFonts w:hint="eastAsia" w:ascii="仿宋" w:hAnsi="仿宋" w:eastAsia="仿宋" w:cs="仿宋"/>
          <w:sz w:val="28"/>
          <w:szCs w:val="28"/>
        </w:rPr>
        <w:t xml:space="preserve">5、GM/T 0047-2016 《安全电子签章密码检测规范》 </w:t>
      </w:r>
    </w:p>
    <w:p w14:paraId="61B22183">
      <w:pPr>
        <w:pStyle w:val="11"/>
        <w:spacing w:line="560" w:lineRule="exact"/>
        <w:ind w:firstLine="560"/>
        <w:rPr>
          <w:rFonts w:hint="eastAsia" w:ascii="仿宋" w:hAnsi="仿宋" w:eastAsia="仿宋" w:cs="仿宋"/>
          <w:sz w:val="28"/>
          <w:szCs w:val="28"/>
        </w:rPr>
      </w:pPr>
      <w:r>
        <w:rPr>
          <w:rFonts w:hint="eastAsia" w:ascii="仿宋" w:hAnsi="仿宋" w:eastAsia="仿宋" w:cs="仿宋"/>
          <w:sz w:val="28"/>
          <w:szCs w:val="28"/>
        </w:rPr>
        <w:t xml:space="preserve">6、GM/T 0041-2015 《智能 IC 卡密码检测规范》 </w:t>
      </w:r>
    </w:p>
    <w:p w14:paraId="3FDC1BB6">
      <w:pPr>
        <w:pStyle w:val="11"/>
        <w:spacing w:line="560" w:lineRule="exact"/>
        <w:ind w:firstLine="560"/>
        <w:rPr>
          <w:rFonts w:hint="eastAsia" w:ascii="仿宋" w:hAnsi="仿宋" w:eastAsia="仿宋" w:cs="仿宋"/>
          <w:sz w:val="28"/>
          <w:szCs w:val="28"/>
        </w:rPr>
      </w:pPr>
      <w:r>
        <w:rPr>
          <w:rFonts w:hint="eastAsia" w:ascii="仿宋" w:hAnsi="仿宋" w:eastAsia="仿宋" w:cs="仿宋"/>
          <w:sz w:val="28"/>
          <w:szCs w:val="28"/>
        </w:rPr>
        <w:t xml:space="preserve">7、GM/T 0039-2015《密码模块安全检测要求》 </w:t>
      </w:r>
    </w:p>
    <w:p w14:paraId="32B820EF">
      <w:pPr>
        <w:pStyle w:val="11"/>
        <w:spacing w:line="560" w:lineRule="exact"/>
        <w:ind w:firstLine="560"/>
        <w:rPr>
          <w:rFonts w:hint="eastAsia" w:ascii="仿宋" w:hAnsi="仿宋" w:eastAsia="仿宋" w:cs="仿宋"/>
          <w:sz w:val="28"/>
          <w:szCs w:val="28"/>
        </w:rPr>
      </w:pPr>
      <w:r>
        <w:rPr>
          <w:rFonts w:hint="eastAsia" w:ascii="仿宋" w:hAnsi="仿宋" w:eastAsia="仿宋" w:cs="仿宋"/>
          <w:sz w:val="28"/>
          <w:szCs w:val="28"/>
        </w:rPr>
        <w:t xml:space="preserve">8、GM/T 0038-2014《证书认证密钥管理系统检测规范》 </w:t>
      </w:r>
    </w:p>
    <w:p w14:paraId="7BA0E360">
      <w:pPr>
        <w:pStyle w:val="11"/>
        <w:spacing w:line="560" w:lineRule="exact"/>
        <w:ind w:firstLine="560"/>
        <w:rPr>
          <w:rFonts w:hint="eastAsia" w:ascii="仿宋" w:hAnsi="仿宋" w:eastAsia="仿宋" w:cs="仿宋"/>
          <w:sz w:val="28"/>
          <w:szCs w:val="28"/>
        </w:rPr>
      </w:pPr>
      <w:r>
        <w:rPr>
          <w:rFonts w:hint="eastAsia" w:ascii="仿宋" w:hAnsi="仿宋" w:eastAsia="仿宋" w:cs="仿宋"/>
          <w:sz w:val="28"/>
          <w:szCs w:val="28"/>
        </w:rPr>
        <w:t xml:space="preserve">9、GM/T 0037-2014《证书认证系统检测规范》 </w:t>
      </w:r>
    </w:p>
    <w:p w14:paraId="1790BDC2">
      <w:pPr>
        <w:pStyle w:val="11"/>
        <w:spacing w:line="560" w:lineRule="exact"/>
        <w:ind w:firstLine="560"/>
        <w:rPr>
          <w:rFonts w:hint="eastAsia" w:ascii="仿宋" w:hAnsi="仿宋" w:eastAsia="仿宋" w:cs="仿宋"/>
          <w:sz w:val="28"/>
          <w:szCs w:val="28"/>
        </w:rPr>
      </w:pPr>
      <w:r>
        <w:rPr>
          <w:rFonts w:hint="eastAsia" w:ascii="仿宋" w:hAnsi="仿宋" w:eastAsia="仿宋" w:cs="仿宋"/>
          <w:sz w:val="28"/>
          <w:szCs w:val="28"/>
        </w:rPr>
        <w:t xml:space="preserve">10 、GM/T 0036-2014《采用非接触卡的门禁系统密码应用指南》 </w:t>
      </w:r>
    </w:p>
    <w:p w14:paraId="706C2F0B">
      <w:pPr>
        <w:pStyle w:val="11"/>
        <w:spacing w:line="560" w:lineRule="exact"/>
        <w:ind w:firstLine="560"/>
        <w:rPr>
          <w:rFonts w:hint="eastAsia" w:ascii="仿宋" w:hAnsi="仿宋" w:eastAsia="仿宋" w:cs="仿宋"/>
          <w:sz w:val="28"/>
          <w:szCs w:val="28"/>
        </w:rPr>
      </w:pPr>
      <w:r>
        <w:rPr>
          <w:rFonts w:hint="eastAsia" w:ascii="仿宋" w:hAnsi="仿宋" w:eastAsia="仿宋" w:cs="仿宋"/>
          <w:sz w:val="28"/>
          <w:szCs w:val="28"/>
        </w:rPr>
        <w:t xml:space="preserve">11、 GM/T 0031-2014《安全电子签章密码应用技术规范》 </w:t>
      </w:r>
    </w:p>
    <w:p w14:paraId="73366642">
      <w:pPr>
        <w:pStyle w:val="11"/>
        <w:spacing w:line="560" w:lineRule="exact"/>
        <w:ind w:firstLine="560"/>
        <w:rPr>
          <w:rFonts w:hint="eastAsia" w:ascii="仿宋" w:hAnsi="仿宋" w:eastAsia="仿宋" w:cs="仿宋"/>
          <w:sz w:val="28"/>
          <w:szCs w:val="28"/>
        </w:rPr>
      </w:pPr>
      <w:r>
        <w:rPr>
          <w:rFonts w:hint="eastAsia" w:ascii="仿宋" w:hAnsi="仿宋" w:eastAsia="仿宋" w:cs="仿宋"/>
          <w:sz w:val="28"/>
          <w:szCs w:val="28"/>
        </w:rPr>
        <w:t xml:space="preserve">12、 GM/T 0030-2014《服务器密码机技术规范》 </w:t>
      </w:r>
    </w:p>
    <w:p w14:paraId="11658378">
      <w:pPr>
        <w:pStyle w:val="11"/>
        <w:spacing w:line="560" w:lineRule="exact"/>
        <w:ind w:firstLine="560"/>
        <w:rPr>
          <w:rFonts w:hint="eastAsia" w:ascii="仿宋" w:hAnsi="仿宋" w:eastAsia="仿宋" w:cs="仿宋"/>
          <w:sz w:val="28"/>
          <w:szCs w:val="28"/>
        </w:rPr>
      </w:pPr>
      <w:r>
        <w:rPr>
          <w:rFonts w:hint="eastAsia" w:ascii="仿宋" w:hAnsi="仿宋" w:eastAsia="仿宋" w:cs="仿宋"/>
          <w:sz w:val="28"/>
          <w:szCs w:val="28"/>
        </w:rPr>
        <w:t xml:space="preserve">13、 GM/T 0029-2014《签名验签服务器技术规范》 </w:t>
      </w:r>
    </w:p>
    <w:p w14:paraId="198CA5A5">
      <w:pPr>
        <w:pStyle w:val="11"/>
        <w:spacing w:line="560" w:lineRule="exact"/>
        <w:ind w:firstLine="560"/>
        <w:rPr>
          <w:rFonts w:hint="eastAsia" w:ascii="仿宋" w:hAnsi="仿宋" w:eastAsia="仿宋" w:cs="仿宋"/>
          <w:sz w:val="28"/>
          <w:szCs w:val="28"/>
        </w:rPr>
      </w:pPr>
      <w:r>
        <w:rPr>
          <w:rFonts w:hint="eastAsia" w:ascii="仿宋" w:hAnsi="仿宋" w:eastAsia="仿宋" w:cs="仿宋"/>
          <w:sz w:val="28"/>
          <w:szCs w:val="28"/>
        </w:rPr>
        <w:t xml:space="preserve">14、GM/T 0028-2014《密码模块安全技术要求》 </w:t>
      </w:r>
    </w:p>
    <w:p w14:paraId="4A4B797A">
      <w:pPr>
        <w:pStyle w:val="11"/>
        <w:spacing w:line="560" w:lineRule="exact"/>
        <w:ind w:firstLine="560"/>
        <w:rPr>
          <w:rFonts w:hint="eastAsia" w:ascii="仿宋" w:hAnsi="仿宋" w:eastAsia="仿宋" w:cs="仿宋"/>
          <w:sz w:val="28"/>
          <w:szCs w:val="28"/>
        </w:rPr>
      </w:pPr>
      <w:r>
        <w:rPr>
          <w:rFonts w:hint="eastAsia" w:ascii="仿宋" w:hAnsi="仿宋" w:eastAsia="仿宋" w:cs="仿宋"/>
          <w:sz w:val="28"/>
          <w:szCs w:val="28"/>
        </w:rPr>
        <w:t xml:space="preserve">15 、GM/T 0027-2014《智能密码钥匙技术规范》 </w:t>
      </w:r>
    </w:p>
    <w:p w14:paraId="7F7DCD86">
      <w:pPr>
        <w:pStyle w:val="11"/>
        <w:spacing w:line="560" w:lineRule="exact"/>
        <w:ind w:firstLine="560"/>
        <w:rPr>
          <w:rFonts w:hint="eastAsia" w:ascii="仿宋" w:hAnsi="仿宋" w:eastAsia="仿宋" w:cs="仿宋"/>
          <w:sz w:val="28"/>
          <w:szCs w:val="28"/>
        </w:rPr>
      </w:pPr>
      <w:r>
        <w:rPr>
          <w:rFonts w:hint="eastAsia" w:ascii="仿宋" w:hAnsi="仿宋" w:eastAsia="仿宋" w:cs="仿宋"/>
          <w:sz w:val="28"/>
          <w:szCs w:val="28"/>
        </w:rPr>
        <w:t xml:space="preserve">16、 GM/T 0026-2014《安全认证网关产品规范》 </w:t>
      </w:r>
    </w:p>
    <w:p w14:paraId="60F54840">
      <w:pPr>
        <w:pStyle w:val="11"/>
        <w:spacing w:line="560" w:lineRule="exact"/>
        <w:ind w:firstLine="560"/>
        <w:rPr>
          <w:rFonts w:hint="eastAsia" w:ascii="仿宋" w:hAnsi="仿宋" w:eastAsia="仿宋" w:cs="仿宋"/>
          <w:sz w:val="28"/>
          <w:szCs w:val="28"/>
        </w:rPr>
      </w:pPr>
      <w:r>
        <w:rPr>
          <w:rFonts w:hint="eastAsia" w:ascii="仿宋" w:hAnsi="仿宋" w:eastAsia="仿宋" w:cs="仿宋"/>
          <w:sz w:val="28"/>
          <w:szCs w:val="28"/>
        </w:rPr>
        <w:t xml:space="preserve">17、 GM/T 0025-2014《SSL VPN 网关产品规范》 </w:t>
      </w:r>
    </w:p>
    <w:p w14:paraId="3F64F9D9">
      <w:pPr>
        <w:pStyle w:val="11"/>
        <w:spacing w:line="560" w:lineRule="exact"/>
        <w:ind w:firstLine="560"/>
        <w:rPr>
          <w:rFonts w:hint="eastAsia" w:ascii="仿宋" w:hAnsi="仿宋" w:eastAsia="仿宋" w:cs="仿宋"/>
          <w:sz w:val="28"/>
          <w:szCs w:val="28"/>
        </w:rPr>
      </w:pPr>
      <w:r>
        <w:rPr>
          <w:rFonts w:hint="eastAsia" w:ascii="仿宋" w:hAnsi="仿宋" w:eastAsia="仿宋" w:cs="仿宋"/>
          <w:sz w:val="28"/>
          <w:szCs w:val="28"/>
        </w:rPr>
        <w:t xml:space="preserve">18、 GM/T 0024-2014《SSL VPN 技术规范》 </w:t>
      </w:r>
    </w:p>
    <w:p w14:paraId="1611A008">
      <w:pPr>
        <w:pStyle w:val="11"/>
        <w:spacing w:line="560" w:lineRule="exact"/>
        <w:ind w:firstLine="560"/>
        <w:rPr>
          <w:rFonts w:hint="eastAsia" w:ascii="仿宋" w:hAnsi="仿宋" w:eastAsia="仿宋" w:cs="仿宋"/>
          <w:b w:val="0"/>
          <w:bCs w:val="0"/>
          <w:kern w:val="2"/>
          <w:sz w:val="28"/>
          <w:szCs w:val="28"/>
          <w:highlight w:val="none"/>
          <w:lang w:val="en-US" w:eastAsia="zh-CN" w:bidi="ar-SA"/>
        </w:rPr>
      </w:pPr>
      <w:r>
        <w:rPr>
          <w:rFonts w:hint="eastAsia" w:ascii="仿宋" w:hAnsi="仿宋" w:eastAsia="仿宋" w:cs="仿宋"/>
          <w:sz w:val="28"/>
          <w:szCs w:val="28"/>
        </w:rPr>
        <w:t xml:space="preserve">19、 GM/T 0023-2014《IPSec VPN 网关产品规范》 </w:t>
      </w:r>
    </w:p>
    <w:p w14:paraId="253C8672">
      <w:pPr>
        <w:pageBreakBefore w:val="0"/>
        <w:numPr>
          <w:ilvl w:val="0"/>
          <w:numId w:val="0"/>
        </w:numPr>
        <w:kinsoku/>
        <w:wordWrap/>
        <w:overflowPunct/>
        <w:topLinePunct w:val="0"/>
        <w:autoSpaceDE/>
        <w:autoSpaceDN/>
        <w:bidi w:val="0"/>
        <w:adjustRightInd/>
        <w:snapToGrid/>
        <w:spacing w:beforeLines="50" w:afterLines="50" w:line="560" w:lineRule="exact"/>
        <w:ind w:firstLine="562" w:firstLineChars="200"/>
        <w:outlineLvl w:val="1"/>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四、商务要求</w:t>
      </w:r>
      <w:r>
        <w:rPr>
          <w:rFonts w:hint="eastAsia" w:ascii="仿宋" w:hAnsi="仿宋" w:eastAsia="仿宋" w:cs="仿宋"/>
          <w:b/>
          <w:bCs/>
          <w:color w:val="auto"/>
          <w:sz w:val="28"/>
          <w:szCs w:val="28"/>
          <w:lang w:eastAsia="zh-CN"/>
        </w:rPr>
        <w:t>（</w:t>
      </w:r>
      <w:r>
        <w:rPr>
          <w:rFonts w:hint="eastAsia" w:ascii="仿宋" w:hAnsi="仿宋" w:eastAsia="仿宋" w:cs="仿宋"/>
          <w:b/>
          <w:bCs/>
          <w:color w:val="auto"/>
          <w:sz w:val="28"/>
          <w:szCs w:val="28"/>
          <w:lang w:val="en-US" w:eastAsia="zh-CN"/>
        </w:rPr>
        <w:t>此节内容供应商在商务</w:t>
      </w:r>
      <w:r>
        <w:rPr>
          <w:rFonts w:hint="eastAsia" w:ascii="仿宋" w:hAnsi="仿宋" w:eastAsia="仿宋" w:cs="仿宋"/>
          <w:b/>
          <w:bCs/>
          <w:color w:val="auto"/>
          <w:sz w:val="28"/>
          <w:szCs w:val="28"/>
          <w:lang w:eastAsia="zh-CN"/>
        </w:rPr>
        <w:t>要求应答表</w:t>
      </w:r>
      <w:r>
        <w:rPr>
          <w:rFonts w:hint="eastAsia" w:ascii="仿宋" w:hAnsi="仿宋" w:eastAsia="仿宋" w:cs="仿宋"/>
          <w:b/>
          <w:bCs/>
          <w:color w:val="auto"/>
          <w:sz w:val="28"/>
          <w:szCs w:val="28"/>
          <w:lang w:val="en-US" w:eastAsia="zh-CN"/>
        </w:rPr>
        <w:t>中响应</w:t>
      </w:r>
      <w:r>
        <w:rPr>
          <w:rFonts w:hint="eastAsia" w:ascii="仿宋" w:hAnsi="仿宋" w:eastAsia="仿宋" w:cs="仿宋"/>
          <w:b/>
          <w:bCs/>
          <w:color w:val="auto"/>
          <w:sz w:val="28"/>
          <w:szCs w:val="28"/>
          <w:lang w:eastAsia="zh-CN"/>
        </w:rPr>
        <w:t>）</w:t>
      </w:r>
    </w:p>
    <w:p w14:paraId="1F412EF1">
      <w:pPr>
        <w:pStyle w:val="11"/>
        <w:spacing w:line="560" w:lineRule="exact"/>
        <w:ind w:firstLine="560"/>
        <w:rPr>
          <w:rFonts w:hint="eastAsia" w:ascii="仿宋" w:hAnsi="仿宋" w:eastAsia="仿宋" w:cs="仿宋"/>
          <w:sz w:val="28"/>
          <w:szCs w:val="28"/>
        </w:rPr>
      </w:pPr>
      <w:r>
        <w:rPr>
          <w:rFonts w:hint="eastAsia" w:ascii="仿宋" w:hAnsi="仿宋" w:eastAsia="仿宋" w:cs="仿宋"/>
          <w:sz w:val="28"/>
          <w:szCs w:val="28"/>
        </w:rPr>
        <w:t>（一）项目的完成时限</w:t>
      </w:r>
    </w:p>
    <w:p w14:paraId="6F98BB55">
      <w:pPr>
        <w:pStyle w:val="11"/>
        <w:spacing w:line="560" w:lineRule="exact"/>
        <w:ind w:firstLine="560"/>
        <w:rPr>
          <w:rFonts w:hint="eastAsia" w:ascii="仿宋" w:hAnsi="仿宋" w:eastAsia="仿宋" w:cs="仿宋"/>
          <w:sz w:val="28"/>
          <w:szCs w:val="28"/>
        </w:rPr>
      </w:pPr>
      <w:r>
        <w:rPr>
          <w:rFonts w:hint="eastAsia" w:ascii="仿宋" w:hAnsi="仿宋" w:eastAsia="仿宋" w:cs="仿宋"/>
          <w:sz w:val="28"/>
          <w:szCs w:val="28"/>
        </w:rPr>
        <w:t>自双方签订采购合同生效之日起，要求供应商在2025年</w:t>
      </w:r>
      <w:r>
        <w:rPr>
          <w:rFonts w:hint="eastAsia" w:ascii="仿宋" w:hAnsi="仿宋" w:eastAsia="仿宋" w:cs="仿宋"/>
          <w:color w:val="EE0000"/>
          <w:sz w:val="28"/>
          <w:szCs w:val="28"/>
          <w:lang w:val="en-US" w:eastAsia="zh-CN"/>
        </w:rPr>
        <w:t>12</w:t>
      </w:r>
      <w:r>
        <w:rPr>
          <w:rFonts w:hint="eastAsia" w:ascii="仿宋" w:hAnsi="仿宋" w:eastAsia="仿宋" w:cs="仿宋"/>
          <w:sz w:val="28"/>
          <w:szCs w:val="28"/>
        </w:rPr>
        <w:t>月</w:t>
      </w:r>
      <w:r>
        <w:rPr>
          <w:rFonts w:hint="eastAsia" w:ascii="仿宋" w:hAnsi="仿宋" w:eastAsia="仿宋" w:cs="仿宋"/>
          <w:color w:val="EE0000"/>
          <w:sz w:val="28"/>
          <w:szCs w:val="28"/>
          <w:lang w:val="en-US" w:eastAsia="zh-CN"/>
        </w:rPr>
        <w:t>25</w:t>
      </w:r>
      <w:r>
        <w:rPr>
          <w:rFonts w:hint="eastAsia" w:ascii="仿宋" w:hAnsi="仿宋" w:eastAsia="仿宋" w:cs="仿宋"/>
          <w:sz w:val="28"/>
          <w:szCs w:val="28"/>
        </w:rPr>
        <w:t>日前完成本项目全部内容。</w:t>
      </w:r>
    </w:p>
    <w:p w14:paraId="18391B23">
      <w:pPr>
        <w:pStyle w:val="5"/>
        <w:spacing w:line="560" w:lineRule="exact"/>
        <w:ind w:firstLine="560" w:firstLineChars="200"/>
        <w:rPr>
          <w:rFonts w:hint="eastAsia" w:ascii="仿宋" w:hAnsi="仿宋" w:eastAsia="仿宋" w:cs="仿宋"/>
          <w:sz w:val="28"/>
          <w:szCs w:val="28"/>
        </w:rPr>
      </w:pPr>
      <w:r>
        <w:rPr>
          <w:rFonts w:hint="eastAsia" w:ascii="仿宋" w:hAnsi="仿宋" w:eastAsia="仿宋" w:cs="仿宋"/>
          <w:b w:val="0"/>
          <w:bCs/>
          <w:sz w:val="28"/>
          <w:szCs w:val="28"/>
        </w:rPr>
        <w:t>（二）项目履行地点：大竹县人民医院院内指定地点。</w:t>
      </w:r>
    </w:p>
    <w:p w14:paraId="5C231834">
      <w:pPr>
        <w:pStyle w:val="13"/>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（三）项目付款方式</w:t>
      </w:r>
    </w:p>
    <w:p w14:paraId="7E5676C7">
      <w:pPr>
        <w:pStyle w:val="13"/>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1、采购人付款采用银行转账支付方式，采购人付款前，供应商必须出具有效的足额发票，否则采购人有权拒绝付款。</w:t>
      </w:r>
    </w:p>
    <w:p w14:paraId="3BD54049">
      <w:pPr>
        <w:pStyle w:val="13"/>
        <w:spacing w:line="560" w:lineRule="exact"/>
        <w:ind w:firstLine="560" w:firstLineChars="200"/>
        <w:rPr>
          <w:rFonts w:hint="default" w:eastAsia="仿宋"/>
          <w:lang w:val="en-US" w:eastAsia="zh-CN"/>
        </w:rPr>
      </w:pPr>
      <w:r>
        <w:rPr>
          <w:rFonts w:hint="eastAsia" w:ascii="仿宋" w:hAnsi="仿宋" w:eastAsia="仿宋" w:cs="仿宋"/>
          <w:sz w:val="28"/>
          <w:szCs w:val="28"/>
        </w:rPr>
        <w:t>2、采购人与供应商双方签订合同生效后，供应商完成全部服务内容，并向采购人交付合格的成果后，项目履约验收合格后，采购人在收到供应商有效发票后</w:t>
      </w:r>
      <w:r>
        <w:rPr>
          <w:rFonts w:hint="eastAsia" w:ascii="仿宋" w:hAnsi="仿宋" w:eastAsia="仿宋" w:cs="仿宋"/>
          <w:sz w:val="28"/>
          <w:szCs w:val="28"/>
          <w:lang w:val="en-US" w:eastAsia="zh-CN"/>
        </w:rPr>
        <w:t>9</w:t>
      </w:r>
      <w:r>
        <w:rPr>
          <w:rFonts w:hint="eastAsia" w:ascii="仿宋" w:hAnsi="仿宋" w:eastAsia="仿宋" w:cs="仿宋"/>
          <w:sz w:val="28"/>
          <w:szCs w:val="28"/>
        </w:rPr>
        <w:t>0日内，一次性转账支付供应商成交总金额。</w:t>
      </w:r>
      <w:r>
        <w:rPr>
          <w:rFonts w:hint="eastAsia" w:ascii="仿宋" w:hAnsi="仿宋" w:eastAsia="仿宋" w:cs="仿宋"/>
          <w:sz w:val="28"/>
          <w:szCs w:val="28"/>
          <w:lang w:val="en-US" w:eastAsia="zh-CN"/>
        </w:rPr>
        <w:t>一般纳税人应开具增值税发票。</w:t>
      </w:r>
    </w:p>
    <w:p w14:paraId="6B37599A">
      <w:pPr>
        <w:pStyle w:val="13"/>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（四）履约验收要求</w:t>
      </w:r>
    </w:p>
    <w:p w14:paraId="13956FC7">
      <w:pPr>
        <w:pStyle w:val="13"/>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1、采购人按照达州市密码管理局文件要求及国家、行业等相关要求、双方合同的要求等组织验收。</w:t>
      </w:r>
    </w:p>
    <w:p w14:paraId="4F40F9FD">
      <w:pPr>
        <w:pStyle w:val="13"/>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2、供应商提供的服务不符合本文件要求的，采购人有权拒绝验收并要求供应商进行整改。供应商拒不整改的采购人有权无条件解除合同，并追究供应商相关责任。</w:t>
      </w:r>
    </w:p>
    <w:p w14:paraId="6269A686">
      <w:pPr>
        <w:pStyle w:val="13"/>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3、履约期间，如供应商不能履行合同或采购人发现成交供应商虚假响应中标，立即取消供应商中标资格；采购人可以与排位在成交供应商之后第一位的中标候选人签订采购合同，以此类推。</w:t>
      </w:r>
    </w:p>
    <w:p w14:paraId="32B513E1">
      <w:pPr>
        <w:pStyle w:val="2"/>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（五）供应商售后服务</w:t>
      </w:r>
    </w:p>
    <w:p w14:paraId="4209F5AF">
      <w:pPr>
        <w:spacing w:line="560" w:lineRule="exact"/>
        <w:ind w:firstLine="560"/>
        <w:rPr>
          <w:rFonts w:hint="eastAsia" w:ascii="仿宋" w:hAnsi="仿宋" w:eastAsia="仿宋"/>
          <w:sz w:val="28"/>
          <w:szCs w:val="28"/>
        </w:rPr>
      </w:pPr>
      <w:r>
        <w:rPr>
          <w:rFonts w:hint="eastAsia" w:ascii="仿宋" w:hAnsi="仿宋" w:eastAsia="仿宋"/>
          <w:sz w:val="28"/>
          <w:szCs w:val="28"/>
        </w:rPr>
        <w:t>1、供应商维保服务期限：自验收合格之日起</w:t>
      </w:r>
      <w:r>
        <w:rPr>
          <w:rFonts w:ascii="仿宋" w:hAnsi="仿宋" w:eastAsia="仿宋"/>
          <w:sz w:val="28"/>
          <w:szCs w:val="28"/>
        </w:rPr>
        <w:t>1</w:t>
      </w:r>
      <w:r>
        <w:rPr>
          <w:rFonts w:hint="eastAsia" w:ascii="仿宋" w:hAnsi="仿宋" w:eastAsia="仿宋"/>
          <w:sz w:val="28"/>
          <w:szCs w:val="28"/>
        </w:rPr>
        <w:t>年。</w:t>
      </w:r>
    </w:p>
    <w:p w14:paraId="35F43DE1">
      <w:pPr>
        <w:spacing w:line="560" w:lineRule="exact"/>
        <w:ind w:firstLine="560"/>
        <w:rPr>
          <w:rFonts w:hint="eastAsia" w:ascii="仿宋" w:hAnsi="仿宋" w:eastAsia="仿宋" w:cs="仿宋"/>
          <w:sz w:val="28"/>
          <w:szCs w:val="28"/>
        </w:rPr>
      </w:pPr>
      <w:r>
        <w:rPr>
          <w:rFonts w:hint="eastAsia" w:ascii="仿宋" w:hAnsi="仿宋" w:eastAsia="仿宋"/>
          <w:sz w:val="28"/>
          <w:szCs w:val="28"/>
        </w:rPr>
        <w:t>2、供应商提供人员现场技术服务，电话咨询服务，必要时上门服务。</w:t>
      </w:r>
    </w:p>
    <w:p w14:paraId="081BE68F">
      <w:pPr>
        <w:pStyle w:val="2"/>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（六）其他要求</w:t>
      </w:r>
    </w:p>
    <w:p w14:paraId="687CFCEA">
      <w:pPr>
        <w:pStyle w:val="2"/>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供应商须遵守采购人规定的院内各项制度和要求，并在指定的区域内进行作业，供应商做好各项安全保障工作和预案，做好员工安全教育工作，确保安全，严格执行国家相关法律法规、安全规章制度，采取有效的安全措施，合同履行过程中由供应商及员工原因造成的一切安全事故、人身伤亡、经济损失均由供应商自行负责承担，其责任与采购人无关。若供应商造成采购人损失的，包括但不限于采购人本身的财产损失或人身伤害或由此而导致的采购人对任何第三方的法律责任等，供应商对此均应承担全部的赔偿责任和法律责任。</w:t>
      </w:r>
    </w:p>
    <w:p w14:paraId="794246C9">
      <w:pPr>
        <w:pStyle w:val="2"/>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供应商在未经采购人许可的情况下，应保证采购人及本项目服务内容涉及的所有相关数据、技术资料等不泄密，更不准将采购人及本项目服务内容涉及的各类信息泄露给他人，否则按照《中华人民共和国保守国家秘密法》等法律规定追究相关人员责任。</w:t>
      </w:r>
    </w:p>
    <w:p w14:paraId="1E046305">
      <w:pPr>
        <w:spacing w:line="560" w:lineRule="exact"/>
        <w:ind w:firstLine="560"/>
      </w:pPr>
      <w:r>
        <w:rPr>
          <w:rFonts w:hint="eastAsia" w:ascii="仿宋" w:hAnsi="仿宋" w:eastAsia="仿宋"/>
          <w:sz w:val="28"/>
          <w:szCs w:val="28"/>
        </w:rPr>
        <w:t>供应商需对其所有参与人员进行保密安全审查，审查结果报采购人备案，供应商所有参与人员必须严格遵守《中华人民共和国保守国家秘密法》等一系列安全保密法规、制度和规定，必须与采购人签署《保密承诺书》，接受保密教育培训。</w:t>
      </w:r>
    </w:p>
    <w:p w14:paraId="6486DE24">
      <w:pPr>
        <w:pStyle w:val="2"/>
        <w:keepNext w:val="0"/>
        <w:keepLines w:val="0"/>
        <w:pageBreakBefore w:val="0"/>
        <w:widowControl w:val="0"/>
        <w:numPr>
          <w:ilvl w:val="0"/>
          <w:numId w:val="1"/>
        </w:numPr>
        <w:kinsoku/>
        <w:wordWrap/>
        <w:overflowPunct/>
        <w:topLinePunct w:val="0"/>
        <w:autoSpaceDE/>
        <w:autoSpaceDN/>
        <w:bidi w:val="0"/>
        <w:adjustRightInd/>
        <w:snapToGrid/>
        <w:spacing w:after="0" w:line="520" w:lineRule="exact"/>
        <w:ind w:left="70" w:leftChars="0" w:firstLine="560" w:firstLineChars="0"/>
        <w:textAlignment w:val="auto"/>
        <w:rPr>
          <w:rFonts w:hint="eastAsia" w:ascii="仿宋" w:hAnsi="仿宋" w:eastAsia="仿宋" w:cs="仿宋"/>
          <w:sz w:val="28"/>
          <w:szCs w:val="28"/>
        </w:rPr>
      </w:pPr>
      <w:r>
        <w:rPr>
          <w:rFonts w:hint="eastAsia" w:ascii="仿宋" w:hAnsi="仿宋" w:eastAsia="仿宋" w:cs="仿宋"/>
          <w:sz w:val="28"/>
          <w:szCs w:val="28"/>
        </w:rPr>
        <w:t>保密期限：长期（包括合同履行期限届满后）。</w:t>
      </w:r>
    </w:p>
    <w:p w14:paraId="4A11B515">
      <w:pPr>
        <w:pStyle w:val="2"/>
        <w:keepNext w:val="0"/>
        <w:keepLines w:val="0"/>
        <w:pageBreakBefore w:val="0"/>
        <w:widowControl w:val="0"/>
        <w:numPr>
          <w:ilvl w:val="0"/>
          <w:numId w:val="0"/>
        </w:numPr>
        <w:kinsoku/>
        <w:wordWrap/>
        <w:overflowPunct/>
        <w:topLinePunct w:val="0"/>
        <w:autoSpaceDE/>
        <w:autoSpaceDN/>
        <w:bidi w:val="0"/>
        <w:adjustRightInd/>
        <w:snapToGrid/>
        <w:spacing w:after="0" w:line="520" w:lineRule="exact"/>
        <w:ind w:left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（七）违约责任</w:t>
      </w:r>
    </w:p>
    <w:p w14:paraId="7E9FEC0A">
      <w:pPr>
        <w:pStyle w:val="2"/>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供应商必须严格按照国家相关法律法规和本采购文件要求及供应商提交的响应文件约定履行合同，按时全面履行本项目的各项义务，供应商不履行本项目义务或瑕疵履行本项目义务或延迟履行本项目义务或履行合同义务不符合合同约定的，则供应商违约。</w:t>
      </w:r>
    </w:p>
    <w:p w14:paraId="0AACBFC1">
      <w:pPr>
        <w:pStyle w:val="2"/>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根据《中华人民共和国民法典》合同篇的法律规定，采购人有权解除合同，并要求供应商承担相应违约责任并支付相应金额的违约金。采购人有权直接从供应商的合同货款中扣除违约金，供应商因违约行为偿付的违约金不足以弥补采购人损失的，还应按采购人损失尚未弥补的部分，支付赔偿金全额赔偿采购人损失。</w:t>
      </w:r>
    </w:p>
    <w:p w14:paraId="406BCBF0">
      <w:pPr>
        <w:pStyle w:val="2"/>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有下列情形之一行为视为供应商违约，采购人有权按照以下条款要求供应商承担违约金及违约责任：</w:t>
      </w:r>
    </w:p>
    <w:p w14:paraId="70AA2EF4">
      <w:pPr>
        <w:pStyle w:val="2"/>
        <w:keepNext w:val="0"/>
        <w:keepLines w:val="0"/>
        <w:pageBreakBefore w:val="0"/>
        <w:widowControl w:val="0"/>
        <w:numPr>
          <w:ilvl w:val="0"/>
          <w:numId w:val="0"/>
        </w:numPr>
        <w:kinsoku/>
        <w:wordWrap/>
        <w:overflowPunct/>
        <w:topLinePunct w:val="0"/>
        <w:autoSpaceDE/>
        <w:autoSpaceDN/>
        <w:bidi w:val="0"/>
        <w:adjustRightInd/>
        <w:snapToGrid/>
        <w:spacing w:after="0" w:line="52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（1）项目履行期限内，供应商明确表示或者以自己的行为表明不履行本项目合同的主要义务，则供应商违约，供应商应向采购人缴纳合同总价款20%的违约金，同时采购人有权解除合同。</w:t>
      </w:r>
    </w:p>
    <w:p w14:paraId="440DCD01">
      <w:pPr>
        <w:pStyle w:val="2"/>
        <w:keepNext w:val="0"/>
        <w:keepLines w:val="0"/>
        <w:pageBreakBefore w:val="0"/>
        <w:widowControl w:val="0"/>
        <w:numPr>
          <w:ilvl w:val="0"/>
          <w:numId w:val="0"/>
        </w:numPr>
        <w:kinsoku/>
        <w:wordWrap/>
        <w:overflowPunct/>
        <w:topLinePunct w:val="0"/>
        <w:autoSpaceDE/>
        <w:autoSpaceDN/>
        <w:bidi w:val="0"/>
        <w:adjustRightInd/>
        <w:snapToGrid/>
        <w:spacing w:after="0" w:line="52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（2）供应商提供的货物或服务根本违约（例如提供假冒伪劣产品或以次充好），致使合同的目的不能实现的，供应商应向采购人缴纳合同总价款20%的违约金，同时采购人有权解除合同。</w:t>
      </w:r>
    </w:p>
    <w:p w14:paraId="33664E3B">
      <w:pPr>
        <w:pStyle w:val="2"/>
        <w:keepNext w:val="0"/>
        <w:keepLines w:val="0"/>
        <w:pageBreakBefore w:val="0"/>
        <w:widowControl w:val="0"/>
        <w:numPr>
          <w:ilvl w:val="0"/>
          <w:numId w:val="0"/>
        </w:numPr>
        <w:kinsoku/>
        <w:wordWrap/>
        <w:overflowPunct/>
        <w:topLinePunct w:val="0"/>
        <w:autoSpaceDE/>
        <w:autoSpaceDN/>
        <w:bidi w:val="0"/>
        <w:adjustRightInd/>
        <w:snapToGrid/>
        <w:spacing w:after="0" w:line="52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供应商延迟履约，即供应商应向采购人提供的货物及服务未按合同约定时间达成的，供应商每有一次违约行为，采购人将扣除供应商当月结算货款200元，供应商经采购人催告后应继续按合同约定履行合同。若供应商一年内5次延迟履约，则供应商应向采购人缴纳合同总价款5%的违约金，同时采购人有权解除合同。</w:t>
      </w:r>
    </w:p>
    <w:p w14:paraId="44A075B8">
      <w:pPr>
        <w:pStyle w:val="2"/>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供应商所供的货物或服务瑕疵违约，与采购文件要求或采购人采购需求不符的，供应商应承担修理、重作、更换、退货、减少价款或者报酬等违约责任。同时供应商每有一次违约行为，采购人将扣除供应商当月结算货款200元，供应商出现5次本款所列违约行为，供应商应向采购人支付合同总价款5%的违约金，同时采购人有权解除合同。经采购人同意后，供应商更正瑕疵违约行为后，可以继续按合同约定履行合同。</w:t>
      </w:r>
    </w:p>
    <w:p w14:paraId="22A5C3F7">
      <w:pPr>
        <w:pStyle w:val="2"/>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2、合同履行过程中因供应商及员工原因造成的一切安全事故、人身伤亡、经济损失均由供应商自行负责承担，其责任与采购人无关。</w:t>
      </w:r>
      <w:bookmarkStart w:id="0" w:name="★4.4_违约处理"/>
      <w:bookmarkEnd w:id="0"/>
      <w:r>
        <w:rPr>
          <w:rFonts w:hint="eastAsia" w:ascii="仿宋" w:hAnsi="仿宋" w:eastAsia="仿宋" w:cs="仿宋"/>
          <w:sz w:val="28"/>
          <w:szCs w:val="28"/>
          <w:lang w:val="en-US" w:eastAsia="zh-CN"/>
        </w:rPr>
        <w:t>如因供应商及其工作人员在项目实施过程中的疏忽、失职、过错等故意或者过失原因或货物问题给采购人造成损失或侵害，包括但不限于采购人本身的财产损失或人身伤害、由此而导致的采购人对任何第三方的法律责任等，供应商对此均应承担全部的赔偿责任和法律责任。</w:t>
      </w:r>
    </w:p>
    <w:p w14:paraId="29C08C67">
      <w:pPr>
        <w:pStyle w:val="2"/>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default"/>
          <w:lang w:val="en-US" w:eastAsia="zh-CN"/>
        </w:rPr>
      </w:pPr>
      <w:r>
        <w:rPr>
          <w:rFonts w:hint="eastAsia" w:ascii="仿宋" w:hAnsi="仿宋" w:eastAsia="仿宋" w:cs="仿宋"/>
          <w:sz w:val="28"/>
          <w:szCs w:val="28"/>
          <w:lang w:val="en-US" w:eastAsia="zh-CN"/>
        </w:rPr>
        <w:t>3、</w:t>
      </w:r>
      <w:r>
        <w:rPr>
          <w:rFonts w:hint="eastAsia" w:ascii="仿宋" w:hAnsi="仿宋" w:eastAsia="仿宋" w:cs="仿宋"/>
          <w:color w:val="auto"/>
          <w:sz w:val="28"/>
          <w:szCs w:val="28"/>
          <w:lang w:val="en-US" w:eastAsia="zh-CN"/>
        </w:rPr>
        <w:t>其他条款</w:t>
      </w:r>
      <w:r>
        <w:rPr>
          <w:rFonts w:hint="eastAsia" w:ascii="仿宋" w:hAnsi="仿宋" w:eastAsia="仿宋" w:cs="仿宋"/>
          <w:sz w:val="28"/>
          <w:szCs w:val="28"/>
          <w:highlight w:val="none"/>
          <w:lang w:val="en-US" w:eastAsia="zh-CN"/>
        </w:rPr>
        <w:t>按合同约定执行。</w:t>
      </w:r>
    </w:p>
    <w:p w14:paraId="5B0846B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rPr>
          <w:rFonts w:hint="eastAsia" w:ascii="仿宋" w:hAnsi="仿宋" w:eastAsia="仿宋" w:cs="仿宋"/>
          <w:b/>
          <w:bCs/>
          <w:sz w:val="28"/>
          <w:szCs w:val="28"/>
          <w:lang w:val="en-US" w:eastAsia="zh-CN"/>
        </w:rPr>
      </w:pPr>
    </w:p>
    <w:p w14:paraId="4562794E">
      <w:pPr>
        <w:pStyle w:val="2"/>
        <w:rPr>
          <w:rFonts w:hint="eastAsia" w:ascii="仿宋" w:hAnsi="仿宋" w:eastAsia="仿宋" w:cs="仿宋"/>
          <w:b/>
          <w:bCs/>
          <w:sz w:val="28"/>
          <w:szCs w:val="28"/>
          <w:lang w:val="en-US" w:eastAsia="zh-CN"/>
        </w:rPr>
      </w:pPr>
    </w:p>
    <w:p w14:paraId="53EC2EFA">
      <w:pPr>
        <w:pStyle w:val="3"/>
        <w:rPr>
          <w:rFonts w:hint="eastAsia" w:ascii="仿宋" w:hAnsi="仿宋" w:eastAsia="仿宋" w:cs="仿宋"/>
          <w:b/>
          <w:bCs/>
          <w:sz w:val="28"/>
          <w:szCs w:val="28"/>
          <w:lang w:val="en-US" w:eastAsia="zh-CN"/>
        </w:rPr>
      </w:pPr>
    </w:p>
    <w:p w14:paraId="18DE1D11">
      <w:pPr>
        <w:rPr>
          <w:rFonts w:hint="eastAsia" w:ascii="仿宋" w:hAnsi="仿宋" w:eastAsia="仿宋" w:cs="仿宋"/>
          <w:b/>
          <w:bCs/>
          <w:sz w:val="28"/>
          <w:szCs w:val="28"/>
          <w:lang w:val="en-US" w:eastAsia="zh-CN"/>
        </w:rPr>
      </w:pPr>
    </w:p>
    <w:p w14:paraId="7A336BA3">
      <w:pPr>
        <w:pStyle w:val="2"/>
        <w:rPr>
          <w:rFonts w:hint="eastAsia" w:ascii="仿宋" w:hAnsi="仿宋" w:eastAsia="仿宋" w:cs="仿宋"/>
          <w:b/>
          <w:bCs/>
          <w:sz w:val="28"/>
          <w:szCs w:val="28"/>
          <w:lang w:val="en-US" w:eastAsia="zh-CN"/>
        </w:rPr>
      </w:pPr>
    </w:p>
    <w:p w14:paraId="726653D1">
      <w:pPr>
        <w:pStyle w:val="3"/>
        <w:rPr>
          <w:rFonts w:hint="eastAsia" w:ascii="仿宋" w:hAnsi="仿宋" w:eastAsia="仿宋" w:cs="仿宋"/>
          <w:b/>
          <w:bCs/>
          <w:sz w:val="28"/>
          <w:szCs w:val="28"/>
          <w:lang w:val="en-US" w:eastAsia="zh-CN"/>
        </w:rPr>
      </w:pPr>
    </w:p>
    <w:p w14:paraId="2D5F4872">
      <w:pPr>
        <w:rPr>
          <w:rFonts w:hint="eastAsia"/>
          <w:lang w:val="en-US" w:eastAsia="zh-CN"/>
        </w:rPr>
      </w:pPr>
    </w:p>
    <w:p w14:paraId="34043543">
      <w:pPr>
        <w:pStyle w:val="11"/>
        <w:keepNext w:val="0"/>
        <w:keepLines w:val="0"/>
        <w:pageBreakBefore w:val="0"/>
        <w:widowControl w:val="0"/>
        <w:kinsoku/>
        <w:wordWrap/>
        <w:overflowPunct/>
        <w:topLinePunct w:val="0"/>
        <w:autoSpaceDE/>
        <w:autoSpaceDN/>
        <w:bidi w:val="0"/>
        <w:adjustRightInd/>
        <w:snapToGrid/>
        <w:spacing w:after="287" w:afterLines="100" w:line="560" w:lineRule="exact"/>
        <w:ind w:left="0" w:leftChars="0" w:firstLine="0" w:firstLineChars="0"/>
        <w:jc w:val="both"/>
        <w:textAlignment w:val="auto"/>
        <w:rPr>
          <w:rFonts w:hint="eastAsia" w:ascii="黑体" w:hAnsi="黑体" w:eastAsia="黑体" w:cs="黑体"/>
          <w:b/>
          <w:sz w:val="28"/>
          <w:szCs w:val="28"/>
          <w:highlight w:val="none"/>
        </w:rPr>
      </w:pPr>
      <w:bookmarkStart w:id="1" w:name="★4.4 违约处理"/>
      <w:bookmarkEnd w:id="1"/>
    </w:p>
    <w:p w14:paraId="1021056B">
      <w:pPr>
        <w:pStyle w:val="11"/>
        <w:keepNext w:val="0"/>
        <w:keepLines w:val="0"/>
        <w:pageBreakBefore w:val="0"/>
        <w:widowControl w:val="0"/>
        <w:kinsoku/>
        <w:wordWrap/>
        <w:overflowPunct/>
        <w:topLinePunct w:val="0"/>
        <w:autoSpaceDE/>
        <w:autoSpaceDN/>
        <w:bidi w:val="0"/>
        <w:adjustRightInd/>
        <w:snapToGrid/>
        <w:spacing w:after="287" w:afterLines="100" w:line="560" w:lineRule="exact"/>
        <w:ind w:left="0" w:leftChars="0" w:firstLine="0" w:firstLineChars="0"/>
        <w:jc w:val="center"/>
        <w:textAlignment w:val="auto"/>
        <w:rPr>
          <w:rFonts w:hint="eastAsia" w:ascii="黑体" w:hAnsi="黑体" w:eastAsia="黑体" w:cs="黑体"/>
          <w:b/>
          <w:sz w:val="28"/>
          <w:szCs w:val="28"/>
          <w:highlight w:val="none"/>
        </w:rPr>
      </w:pPr>
    </w:p>
    <w:p w14:paraId="3F0992E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5946062"/>
    <w:multiLevelType w:val="singleLevel"/>
    <w:tmpl w:val="45946062"/>
    <w:lvl w:ilvl="0" w:tentative="0">
      <w:start w:val="1"/>
      <w:numFmt w:val="decimal"/>
      <w:suff w:val="nothing"/>
      <w:lvlText w:val="%1、"/>
      <w:lvlJc w:val="left"/>
      <w:pPr>
        <w:ind w:left="70"/>
      </w:pPr>
      <w:rPr>
        <w:rFonts w:hint="default"/>
        <w:b w:val="0"/>
        <w:bCs w:val="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2982D06"/>
    <w:rsid w:val="03D86515"/>
    <w:rsid w:val="42982D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Subtitle"/>
    <w:basedOn w:val="1"/>
    <w:next w:val="1"/>
    <w:qFormat/>
    <w:uiPriority w:val="0"/>
    <w:pPr>
      <w:spacing w:before="240" w:after="60" w:line="312" w:lineRule="auto"/>
      <w:jc w:val="center"/>
      <w:outlineLvl w:val="1"/>
    </w:pPr>
    <w:rPr>
      <w:rFonts w:ascii="Cambria" w:hAnsi="Cambria"/>
      <w:b/>
      <w:bCs/>
      <w:color w:val="000000"/>
      <w:kern w:val="28"/>
      <w:sz w:val="32"/>
      <w:szCs w:val="32"/>
    </w:rPr>
  </w:style>
  <w:style w:type="paragraph" w:styleId="5">
    <w:name w:val="Normal Indent"/>
    <w:basedOn w:val="1"/>
    <w:qFormat/>
    <w:uiPriority w:val="0"/>
    <w:pPr>
      <w:spacing w:line="360" w:lineRule="auto"/>
      <w:ind w:right="25" w:rightChars="12" w:firstLine="487" w:firstLineChars="202"/>
    </w:pPr>
    <w:rPr>
      <w:rFonts w:ascii="宋体" w:hAnsi="宋体"/>
      <w:b/>
      <w:kern w:val="0"/>
      <w:sz w:val="24"/>
      <w:szCs w:val="24"/>
    </w:rPr>
  </w:style>
  <w:style w:type="paragraph" w:styleId="6">
    <w:name w:val="Normal (Web)"/>
    <w:basedOn w:val="1"/>
    <w:unhideWhenUsed/>
    <w:qFormat/>
    <w:uiPriority w:val="0"/>
    <w:pPr>
      <w:widowControl/>
      <w:spacing w:before="100" w:beforeAutospacing="1" w:after="100" w:afterAutospacing="1"/>
      <w:jc w:val="left"/>
    </w:pPr>
    <w:rPr>
      <w:rFonts w:ascii="宋体" w:hAnsi="宋体"/>
      <w:kern w:val="0"/>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rPr>
  </w:style>
  <w:style w:type="paragraph" w:styleId="11">
    <w:name w:val="List Paragraph"/>
    <w:basedOn w:val="1"/>
    <w:autoRedefine/>
    <w:qFormat/>
    <w:uiPriority w:val="0"/>
    <w:pPr>
      <w:ind w:firstLine="420" w:firstLineChars="200"/>
    </w:pPr>
    <w:rPr>
      <w:szCs w:val="24"/>
    </w:rPr>
  </w:style>
  <w:style w:type="paragraph" w:customStyle="1" w:styleId="12">
    <w:name w:val="null3"/>
    <w:hidden/>
    <w:qFormat/>
    <w:uiPriority w:val="0"/>
    <w:rPr>
      <w:rFonts w:hint="eastAsia" w:asciiTheme="minorHAnsi" w:hAnsiTheme="minorHAnsi" w:eastAsiaTheme="minorEastAsia" w:cstheme="minorBidi"/>
      <w:lang w:val="en-US" w:eastAsia="zh-Hans"/>
    </w:rPr>
  </w:style>
  <w:style w:type="paragraph" w:customStyle="1" w:styleId="13">
    <w:name w:val="正文_1"/>
    <w:autoRedefine/>
    <w:qFormat/>
    <w:uiPriority w:val="0"/>
    <w:pPr>
      <w:widowControl w:val="0"/>
      <w:spacing w:line="480" w:lineRule="exact"/>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4078</Words>
  <Characters>4460</Characters>
  <Lines>0</Lines>
  <Paragraphs>0</Paragraphs>
  <TotalTime>6</TotalTime>
  <ScaleCrop>false</ScaleCrop>
  <LinksUpToDate>false</LinksUpToDate>
  <CharactersWithSpaces>4583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2025-11-12T09:24:00Z</dcterms:created>
  <dc:creator>周云霞</dc:creator>
  <cp:lastModifiedBy>周云霞</cp:lastModifiedBy>
  <dcterms:modified xsi:type="dcterms:W3CDTF">2025-11-18T07:57:39Z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0C10CFB3425642FA95DC0A4916D8E79B_11</vt:lpwstr>
  </property>
  <property fmtid="{D5CDD505-2E9C-101B-9397-08002B2CF9AE}" pid="4" name="KSOTemplateDocerSaveRecord">
    <vt:lpwstr>eyJoZGlkIjoiYzlkMmZkYmE5MjIyMjVmOTNjMjM2NjBkYzIyMmEyMDUiLCJ1c2VySWQiOiIzNTI2ODc0MzAifQ==</vt:lpwstr>
  </property>
</Properties>
</file>