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090CC">
      <w:pPr>
        <w:pStyle w:val="8"/>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台式电脑维修采购项目采购需求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本项目采购的货物为采购人自有的工业设备、电气设备在使用过程中会发生故障需要维修所需的金属件、机电配件、辅材等，</w:t>
      </w:r>
      <w:r>
        <w:rPr>
          <w:rFonts w:hint="eastAsia" w:ascii="仿宋" w:hAnsi="仿宋" w:eastAsia="仿宋" w:cs="仿宋"/>
          <w:color w:val="auto"/>
          <w:sz w:val="28"/>
          <w:szCs w:val="28"/>
          <w:highlight w:val="none"/>
        </w:rPr>
        <w:t>本项目履约期内采购人不会一次性大批量购买</w:t>
      </w:r>
      <w:r>
        <w:rPr>
          <w:rFonts w:hint="eastAsia" w:ascii="仿宋" w:hAnsi="仿宋" w:eastAsia="仿宋" w:cs="仿宋"/>
          <w:color w:val="auto"/>
          <w:sz w:val="28"/>
          <w:szCs w:val="28"/>
          <w:highlight w:val="none"/>
          <w:lang w:val="en-US" w:eastAsia="zh-CN"/>
        </w:rPr>
        <w:t>采购货物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均为采购人</w:t>
      </w:r>
      <w:r>
        <w:rPr>
          <w:rFonts w:hint="eastAsia" w:ascii="仿宋" w:hAnsi="仿宋" w:eastAsia="仿宋" w:cs="仿宋"/>
          <w:color w:val="auto"/>
          <w:sz w:val="28"/>
          <w:szCs w:val="28"/>
          <w:highlight w:val="none"/>
        </w:rPr>
        <w:t>日常</w:t>
      </w:r>
      <w:r>
        <w:rPr>
          <w:rFonts w:hint="eastAsia" w:ascii="仿宋" w:hAnsi="仿宋" w:eastAsia="仿宋" w:cs="仿宋"/>
          <w:color w:val="auto"/>
          <w:sz w:val="28"/>
          <w:szCs w:val="28"/>
          <w:highlight w:val="none"/>
          <w:lang w:val="en-US" w:eastAsia="zh-CN"/>
        </w:rPr>
        <w:t>维修等</w:t>
      </w:r>
      <w:r>
        <w:rPr>
          <w:rFonts w:hint="eastAsia" w:ascii="仿宋" w:hAnsi="仿宋" w:eastAsia="仿宋" w:cs="仿宋"/>
          <w:color w:val="auto"/>
          <w:sz w:val="28"/>
          <w:szCs w:val="28"/>
          <w:highlight w:val="none"/>
        </w:rPr>
        <w:t>需求产生的每月零星</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购置。</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9"/>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9"/>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74100.00</w:t>
      </w:r>
    </w:p>
    <w:p w14:paraId="0EBA0B39">
      <w:pPr>
        <w:pStyle w:val="9"/>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74100.00</w:t>
      </w:r>
    </w:p>
    <w:tbl>
      <w:tblPr>
        <w:tblStyle w:val="6"/>
        <w:tblpPr w:leftFromText="180" w:rightFromText="180" w:vertAnchor="text" w:tblpXSpec="center" w:tblpY="1"/>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549"/>
        <w:gridCol w:w="6801"/>
        <w:gridCol w:w="1612"/>
      </w:tblGrid>
      <w:tr w14:paraId="71C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616" w:hRule="atLeast"/>
          <w:tblHeader/>
        </w:trPr>
        <w:tc>
          <w:tcPr>
            <w:tcW w:w="1549" w:type="dxa"/>
            <w:tcBorders>
              <w:top w:val="single" w:color="auto" w:sz="12" w:space="0"/>
              <w:left w:val="single" w:color="auto" w:sz="12" w:space="0"/>
              <w:bottom w:val="single" w:color="auto" w:sz="4" w:space="0"/>
              <w:right w:val="single" w:color="auto" w:sz="4" w:space="0"/>
            </w:tcBorders>
            <w:vAlign w:val="center"/>
          </w:tcPr>
          <w:p w14:paraId="44696806">
            <w:pPr>
              <w:pStyle w:val="10"/>
              <w:keepNext/>
              <w:keepLines w:val="0"/>
              <w:pageBreakBefore w:val="0"/>
              <w:tabs>
                <w:tab w:val="left" w:pos="0"/>
              </w:tabs>
              <w:kinsoku/>
              <w:wordWrap/>
              <w:overflowPunct/>
              <w:topLinePunct w:val="0"/>
              <w:autoSpaceDE/>
              <w:autoSpaceDN/>
              <w:bidi w:val="0"/>
              <w:adjustRightInd/>
              <w:snapToGrid w:val="0"/>
              <w:spacing w:line="30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品名</w:t>
            </w:r>
          </w:p>
        </w:tc>
        <w:tc>
          <w:tcPr>
            <w:tcW w:w="6801" w:type="dxa"/>
            <w:tcBorders>
              <w:top w:val="single" w:color="auto" w:sz="12" w:space="0"/>
              <w:left w:val="single" w:color="auto" w:sz="4" w:space="0"/>
              <w:bottom w:val="single" w:color="auto" w:sz="4" w:space="0"/>
              <w:right w:val="single" w:color="auto" w:sz="4" w:space="0"/>
            </w:tcBorders>
            <w:vAlign w:val="center"/>
          </w:tcPr>
          <w:p w14:paraId="1D9C9A1D">
            <w:pPr>
              <w:pStyle w:val="10"/>
              <w:keepNext/>
              <w:keepLines w:val="0"/>
              <w:pageBreakBefore w:val="0"/>
              <w:tabs>
                <w:tab w:val="left" w:pos="0"/>
              </w:tabs>
              <w:kinsoku/>
              <w:wordWrap/>
              <w:overflowPunct/>
              <w:topLinePunct w:val="0"/>
              <w:autoSpaceDE/>
              <w:autoSpaceDN/>
              <w:bidi w:val="0"/>
              <w:adjustRightInd/>
              <w:snapToGrid w:val="0"/>
              <w:spacing w:line="30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型号</w:t>
            </w:r>
          </w:p>
        </w:tc>
        <w:tc>
          <w:tcPr>
            <w:tcW w:w="1612" w:type="dxa"/>
            <w:tcBorders>
              <w:top w:val="single" w:color="auto" w:sz="12" w:space="0"/>
              <w:left w:val="single" w:color="auto" w:sz="4" w:space="0"/>
              <w:bottom w:val="single" w:color="auto" w:sz="4" w:space="0"/>
              <w:right w:val="single" w:color="auto" w:sz="12" w:space="0"/>
            </w:tcBorders>
            <w:vAlign w:val="center"/>
          </w:tcPr>
          <w:p w14:paraId="6F5CEE82">
            <w:pPr>
              <w:pStyle w:val="10"/>
              <w:keepNext/>
              <w:keepLines w:val="0"/>
              <w:pageBreakBefore w:val="0"/>
              <w:tabs>
                <w:tab w:val="left" w:pos="0"/>
              </w:tabs>
              <w:kinsoku/>
              <w:wordWrap/>
              <w:overflowPunct/>
              <w:topLinePunct w:val="0"/>
              <w:autoSpaceDE/>
              <w:autoSpaceDN/>
              <w:bidi w:val="0"/>
              <w:adjustRightInd/>
              <w:snapToGrid w:val="0"/>
              <w:spacing w:line="30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最高限价</w:t>
            </w:r>
          </w:p>
          <w:p w14:paraId="3BF4B904">
            <w:pPr>
              <w:pStyle w:val="10"/>
              <w:keepNext/>
              <w:keepLines w:val="0"/>
              <w:pageBreakBefore w:val="0"/>
              <w:tabs>
                <w:tab w:val="left" w:pos="0"/>
              </w:tabs>
              <w:kinsoku/>
              <w:wordWrap/>
              <w:overflowPunct/>
              <w:topLinePunct w:val="0"/>
              <w:autoSpaceDE/>
              <w:autoSpaceDN/>
              <w:bidi w:val="0"/>
              <w:adjustRightInd/>
              <w:snapToGrid w:val="0"/>
              <w:spacing w:line="30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(元)</w:t>
            </w:r>
          </w:p>
        </w:tc>
      </w:tr>
      <w:tr w14:paraId="41C1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08E0DE56">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处理器：I3-10105散片+风扇</w:t>
            </w:r>
          </w:p>
        </w:tc>
        <w:tc>
          <w:tcPr>
            <w:tcW w:w="6801" w:type="dxa"/>
            <w:tcBorders>
              <w:top w:val="single" w:color="auto" w:sz="4" w:space="0"/>
              <w:left w:val="single" w:color="auto" w:sz="4" w:space="0"/>
              <w:bottom w:val="single" w:color="auto" w:sz="4" w:space="0"/>
              <w:right w:val="single" w:color="auto" w:sz="4" w:space="0"/>
            </w:tcBorders>
            <w:vAlign w:val="center"/>
          </w:tcPr>
          <w:p w14:paraId="480DCB84">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CPU制作工艺：14纳米 </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CPU型号：酷睿i3 10代，64位处理器</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CPU频率：3.7—4.4GHz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核心/线程：四核心/八线程</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核心类型：Comet Lake</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三级缓存：6MB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总线规格：DMI3 8GT/s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支持内存频率：DDR4 2666MHz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支持最大内存通道数：2</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最大内存带宽：41.6GB/s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显卡参数：集成英特尔 超核芯显卡630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显卡基本频率：350MHz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显卡最大动态频率：1.10GHz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显卡视频最大内存：64GB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OpenGL支持：4.5</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DirectX支持：12</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插槽类型：LGA 1200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TDP(热功耗设计）：65W</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支持睿频加速技术，支持超线程技术</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含适配CPU散热器</w:t>
            </w:r>
          </w:p>
        </w:tc>
        <w:tc>
          <w:tcPr>
            <w:tcW w:w="1612" w:type="dxa"/>
            <w:tcBorders>
              <w:top w:val="single" w:color="auto" w:sz="4" w:space="0"/>
              <w:left w:val="single" w:color="auto" w:sz="4" w:space="0"/>
              <w:bottom w:val="single" w:color="auto" w:sz="4" w:space="0"/>
              <w:right w:val="single" w:color="auto" w:sz="12" w:space="0"/>
            </w:tcBorders>
            <w:vAlign w:val="center"/>
          </w:tcPr>
          <w:p w14:paraId="4BCF754A">
            <w:pPr>
              <w:keepNext/>
              <w:keepLines w:val="0"/>
              <w:widowControl/>
              <w:suppressLineNumbers w:val="0"/>
              <w:snapToGrid w:val="0"/>
              <w:jc w:val="center"/>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878</w:t>
            </w:r>
          </w:p>
        </w:tc>
      </w:tr>
      <w:tr w14:paraId="3B4A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234E30A0">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主 板：H510</w:t>
            </w:r>
          </w:p>
        </w:tc>
        <w:tc>
          <w:tcPr>
            <w:tcW w:w="6801" w:type="dxa"/>
            <w:tcBorders>
              <w:top w:val="single" w:color="auto" w:sz="4" w:space="0"/>
              <w:left w:val="single" w:color="auto" w:sz="4" w:space="0"/>
              <w:bottom w:val="single" w:color="auto" w:sz="4" w:space="0"/>
              <w:right w:val="single" w:color="auto" w:sz="4" w:space="0"/>
            </w:tcBorders>
            <w:vAlign w:val="center"/>
          </w:tcPr>
          <w:p w14:paraId="3123F87F">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主板芯片组：Intel H510,支持Intel第十代与十一代处理器</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CPU插槽：LGA1200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内存支持：双通道2×DDR4 DIMM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网卡芯片：板载千兆网卡</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USB接口：4个USB2.0,2个USB3.0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扩展插针：1组USB2.0,1组USB3.0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音频接口：5.1声道音频</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视频接口：VGA+HDMI</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电源接口：24针+8针</w:t>
            </w:r>
          </w:p>
        </w:tc>
        <w:tc>
          <w:tcPr>
            <w:tcW w:w="1612" w:type="dxa"/>
            <w:tcBorders>
              <w:top w:val="single" w:color="auto" w:sz="4" w:space="0"/>
              <w:left w:val="single" w:color="auto" w:sz="4" w:space="0"/>
              <w:bottom w:val="single" w:color="auto" w:sz="4" w:space="0"/>
              <w:right w:val="single" w:color="auto" w:sz="12" w:space="0"/>
            </w:tcBorders>
            <w:vAlign w:val="center"/>
          </w:tcPr>
          <w:p w14:paraId="6B5247A9">
            <w:pPr>
              <w:keepNext/>
              <w:keepLines w:val="0"/>
              <w:widowControl/>
              <w:suppressLineNumbers w:val="0"/>
              <w:snapToGrid w:val="0"/>
              <w:jc w:val="center"/>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550</w:t>
            </w:r>
          </w:p>
        </w:tc>
      </w:tr>
      <w:tr w14:paraId="0F25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5F138C0F">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内 存：8G 2666</w:t>
            </w:r>
          </w:p>
        </w:tc>
        <w:tc>
          <w:tcPr>
            <w:tcW w:w="6801" w:type="dxa"/>
            <w:tcBorders>
              <w:top w:val="single" w:color="auto" w:sz="4" w:space="0"/>
              <w:left w:val="single" w:color="auto" w:sz="4" w:space="0"/>
              <w:bottom w:val="single" w:color="auto" w:sz="4" w:space="0"/>
              <w:right w:val="single" w:color="auto" w:sz="4" w:space="0"/>
            </w:tcBorders>
            <w:vAlign w:val="center"/>
          </w:tcPr>
          <w:p w14:paraId="6BBE6686">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容量描述：单条8GB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内存类型：DDR4</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内存主频：2666MHz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针脚数：288pin</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插槽类型：DIMM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CL延迟： 19</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工作电压：1.2V</w:t>
            </w:r>
          </w:p>
        </w:tc>
        <w:tc>
          <w:tcPr>
            <w:tcW w:w="1612" w:type="dxa"/>
            <w:tcBorders>
              <w:top w:val="single" w:color="auto" w:sz="4" w:space="0"/>
              <w:left w:val="single" w:color="auto" w:sz="4" w:space="0"/>
              <w:bottom w:val="single" w:color="auto" w:sz="4" w:space="0"/>
              <w:right w:val="single" w:color="auto" w:sz="12" w:space="0"/>
            </w:tcBorders>
            <w:vAlign w:val="center"/>
          </w:tcPr>
          <w:p w14:paraId="7DC5146D">
            <w:pPr>
              <w:keepNext/>
              <w:keepLines w:val="0"/>
              <w:widowControl/>
              <w:suppressLineNumbers w:val="0"/>
              <w:snapToGrid w:val="0"/>
              <w:jc w:val="center"/>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288</w:t>
            </w:r>
          </w:p>
        </w:tc>
      </w:tr>
      <w:tr w14:paraId="7E8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7444D9A4">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内 存：16G 2666</w:t>
            </w:r>
          </w:p>
        </w:tc>
        <w:tc>
          <w:tcPr>
            <w:tcW w:w="6801" w:type="dxa"/>
            <w:tcBorders>
              <w:top w:val="single" w:color="auto" w:sz="4" w:space="0"/>
              <w:left w:val="single" w:color="auto" w:sz="4" w:space="0"/>
              <w:bottom w:val="single" w:color="auto" w:sz="4" w:space="0"/>
              <w:right w:val="single" w:color="auto" w:sz="4" w:space="0"/>
            </w:tcBorders>
            <w:vAlign w:val="center"/>
          </w:tcPr>
          <w:p w14:paraId="15F3D55E">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容量描述：单条16GB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内存类型：DDR4</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内存主频：2666MHz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针脚数：288pin</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插槽类型：DIMM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CL延迟： 19</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工作电压：1.2V</w:t>
            </w:r>
          </w:p>
        </w:tc>
        <w:tc>
          <w:tcPr>
            <w:tcW w:w="1612" w:type="dxa"/>
            <w:tcBorders>
              <w:top w:val="single" w:color="auto" w:sz="4" w:space="0"/>
              <w:left w:val="single" w:color="auto" w:sz="4" w:space="0"/>
              <w:bottom w:val="single" w:color="auto" w:sz="4" w:space="0"/>
              <w:right w:val="single" w:color="auto" w:sz="12" w:space="0"/>
            </w:tcBorders>
            <w:vAlign w:val="center"/>
          </w:tcPr>
          <w:p w14:paraId="01AEB483">
            <w:pPr>
              <w:keepNext/>
              <w:keepLines w:val="0"/>
              <w:widowControl/>
              <w:suppressLineNumbers w:val="0"/>
              <w:snapToGrid w:val="0"/>
              <w:jc w:val="center"/>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417</w:t>
            </w:r>
          </w:p>
        </w:tc>
      </w:tr>
      <w:tr w14:paraId="2CEB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09731717">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固态硬盘：240G</w:t>
            </w:r>
          </w:p>
        </w:tc>
        <w:tc>
          <w:tcPr>
            <w:tcW w:w="6801" w:type="dxa"/>
            <w:tcBorders>
              <w:top w:val="single" w:color="auto" w:sz="4" w:space="0"/>
              <w:left w:val="single" w:color="auto" w:sz="4" w:space="0"/>
              <w:bottom w:val="single" w:color="auto" w:sz="4" w:space="0"/>
              <w:right w:val="single" w:color="auto" w:sz="4" w:space="0"/>
            </w:tcBorders>
            <w:vAlign w:val="center"/>
          </w:tcPr>
          <w:p w14:paraId="79770BCC">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存储容量：240GB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适用类型：台式机硬盘</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接口类型：SATA REV3.0（6Gbps）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外形尺寸：2.5英寸</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闪存架构：TLC三层单元</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读取速度：520MB/s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写入速度：450MB/s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其他参数：支持TRIM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TBW：120TBW</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工作温度：0-70℃</w:t>
            </w:r>
          </w:p>
        </w:tc>
        <w:tc>
          <w:tcPr>
            <w:tcW w:w="1612" w:type="dxa"/>
            <w:tcBorders>
              <w:top w:val="single" w:color="auto" w:sz="4" w:space="0"/>
              <w:left w:val="single" w:color="auto" w:sz="4" w:space="0"/>
              <w:bottom w:val="single" w:color="auto" w:sz="4" w:space="0"/>
              <w:right w:val="single" w:color="auto" w:sz="12" w:space="0"/>
            </w:tcBorders>
            <w:vAlign w:val="center"/>
          </w:tcPr>
          <w:p w14:paraId="3A20781B">
            <w:pPr>
              <w:keepNext/>
              <w:keepLines w:val="0"/>
              <w:widowControl/>
              <w:suppressLineNumbers w:val="0"/>
              <w:snapToGrid w:val="0"/>
              <w:jc w:val="center"/>
              <w:textAlignment w:val="top"/>
              <w:rPr>
                <w:rFonts w:hint="default"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357</w:t>
            </w:r>
          </w:p>
        </w:tc>
      </w:tr>
      <w:tr w14:paraId="0DF0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16F4489D">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机械硬盘：1TB</w:t>
            </w:r>
          </w:p>
        </w:tc>
        <w:tc>
          <w:tcPr>
            <w:tcW w:w="6801" w:type="dxa"/>
            <w:tcBorders>
              <w:top w:val="single" w:color="auto" w:sz="4" w:space="0"/>
              <w:left w:val="single" w:color="auto" w:sz="4" w:space="0"/>
              <w:bottom w:val="single" w:color="auto" w:sz="4" w:space="0"/>
              <w:right w:val="single" w:color="auto" w:sz="4" w:space="0"/>
            </w:tcBorders>
            <w:vAlign w:val="center"/>
          </w:tcPr>
          <w:p w14:paraId="06E3225A">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存储容量：1000GB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适用类型：台式机硬盘</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外形尺寸：3.5 英寸</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接口类型：SATA 3.0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接口速率：6Gb/s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盘片数量：1片</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转速：7200rpm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缓存：64MB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接口传输速率：150MB/s</w:t>
            </w:r>
          </w:p>
        </w:tc>
        <w:tc>
          <w:tcPr>
            <w:tcW w:w="1612" w:type="dxa"/>
            <w:tcBorders>
              <w:top w:val="single" w:color="auto" w:sz="4" w:space="0"/>
              <w:left w:val="single" w:color="auto" w:sz="4" w:space="0"/>
              <w:bottom w:val="single" w:color="auto" w:sz="4" w:space="0"/>
              <w:right w:val="single" w:color="auto" w:sz="12" w:space="0"/>
            </w:tcBorders>
            <w:vAlign w:val="center"/>
          </w:tcPr>
          <w:p w14:paraId="52587E05">
            <w:pPr>
              <w:keepNext/>
              <w:keepLines w:val="0"/>
              <w:widowControl/>
              <w:suppressLineNumbers w:val="0"/>
              <w:snapToGrid w:val="0"/>
              <w:jc w:val="center"/>
              <w:textAlignment w:val="top"/>
              <w:rPr>
                <w:rFonts w:hint="default"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617</w:t>
            </w:r>
          </w:p>
        </w:tc>
      </w:tr>
      <w:tr w14:paraId="29A1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0FB11EF2">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台式机电源</w:t>
            </w:r>
          </w:p>
        </w:tc>
        <w:tc>
          <w:tcPr>
            <w:tcW w:w="6801" w:type="dxa"/>
            <w:tcBorders>
              <w:top w:val="single" w:color="auto" w:sz="4" w:space="0"/>
              <w:left w:val="single" w:color="auto" w:sz="4" w:space="0"/>
              <w:bottom w:val="single" w:color="auto" w:sz="4" w:space="0"/>
              <w:right w:val="single" w:color="auto" w:sz="4" w:space="0"/>
            </w:tcBorders>
            <w:shd w:val="clear" w:color="auto" w:fill="auto"/>
            <w:vAlign w:val="center"/>
          </w:tcPr>
          <w:p w14:paraId="3AB58AD3">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额定功率：180W</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电源版本:ATX 12V 2.3</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主板接口：适应主板</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电源接口：CPU接口*1、显卡接口*2、硬盘接口*2</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电源尺寸：适应台式机内部结构</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电源性能：交流输入220-240V,50-60Hz</w:t>
            </w:r>
          </w:p>
        </w:tc>
        <w:tc>
          <w:tcPr>
            <w:tcW w:w="1612" w:type="dxa"/>
            <w:tcBorders>
              <w:top w:val="single" w:color="auto" w:sz="4" w:space="0"/>
              <w:left w:val="single" w:color="auto" w:sz="4" w:space="0"/>
              <w:bottom w:val="single" w:color="auto" w:sz="4" w:space="0"/>
              <w:right w:val="single" w:color="auto" w:sz="12" w:space="0"/>
            </w:tcBorders>
            <w:vAlign w:val="center"/>
          </w:tcPr>
          <w:p w14:paraId="4B037159">
            <w:pPr>
              <w:keepNext/>
              <w:keepLines w:val="0"/>
              <w:widowControl/>
              <w:suppressLineNumbers w:val="0"/>
              <w:snapToGrid w:val="0"/>
              <w:jc w:val="center"/>
              <w:textAlignment w:val="top"/>
              <w:rPr>
                <w:rFonts w:hint="default"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177</w:t>
            </w:r>
          </w:p>
        </w:tc>
      </w:tr>
      <w:tr w14:paraId="3D03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799" w:hRule="atLeast"/>
        </w:trPr>
        <w:tc>
          <w:tcPr>
            <w:tcW w:w="1549" w:type="dxa"/>
            <w:tcBorders>
              <w:top w:val="single" w:color="auto" w:sz="4" w:space="0"/>
              <w:left w:val="single" w:color="auto" w:sz="12" w:space="0"/>
              <w:bottom w:val="single" w:color="auto" w:sz="12" w:space="0"/>
              <w:right w:val="single" w:color="auto" w:sz="4" w:space="0"/>
            </w:tcBorders>
            <w:vAlign w:val="center"/>
          </w:tcPr>
          <w:p w14:paraId="3F4FBBF0">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维修装机费</w:t>
            </w:r>
          </w:p>
        </w:tc>
        <w:tc>
          <w:tcPr>
            <w:tcW w:w="6801" w:type="dxa"/>
            <w:tcBorders>
              <w:top w:val="single" w:color="auto" w:sz="4" w:space="0"/>
              <w:left w:val="single" w:color="auto" w:sz="4" w:space="0"/>
              <w:bottom w:val="single" w:color="auto" w:sz="12" w:space="0"/>
              <w:right w:val="single" w:color="auto" w:sz="4" w:space="0"/>
            </w:tcBorders>
            <w:vAlign w:val="center"/>
          </w:tcPr>
          <w:p w14:paraId="1715A8AA">
            <w:pPr>
              <w:pStyle w:val="10"/>
              <w:keepNext/>
              <w:keepLines w:val="0"/>
              <w:pageBreakBefore w:val="0"/>
              <w:tabs>
                <w:tab w:val="left" w:pos="0"/>
              </w:tabs>
              <w:kinsoku/>
              <w:wordWrap/>
              <w:overflowPunct/>
              <w:topLinePunct w:val="0"/>
              <w:autoSpaceDE/>
              <w:autoSpaceDN/>
              <w:bidi w:val="0"/>
              <w:adjustRightInd/>
              <w:snapToGrid w:val="0"/>
              <w:spacing w:line="300" w:lineRule="exact"/>
              <w:ind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项目指的维修装机内容仅包含完本次采购配件货物的安装调试及售后，包含每台电脑更换配件及所需的系统安装费用，不含原有台式电脑的软硬件的维修，供应商应确保新配件安装时不得造成原有台式电脑配件损坏。</w:t>
            </w:r>
          </w:p>
          <w:p w14:paraId="113BE2E4">
            <w:pPr>
              <w:pStyle w:val="10"/>
              <w:keepNext/>
              <w:keepLines w:val="0"/>
              <w:pageBreakBefore w:val="0"/>
              <w:tabs>
                <w:tab w:val="left" w:pos="0"/>
              </w:tabs>
              <w:kinsoku/>
              <w:wordWrap/>
              <w:overflowPunct/>
              <w:topLinePunct w:val="0"/>
              <w:autoSpaceDE/>
              <w:autoSpaceDN/>
              <w:bidi w:val="0"/>
              <w:adjustRightInd/>
              <w:snapToGrid w:val="0"/>
              <w:spacing w:line="300" w:lineRule="exact"/>
              <w:ind w:firstLineChars="200"/>
              <w:jc w:val="left"/>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每台电脑的</w:t>
            </w:r>
            <w:r>
              <w:rPr>
                <w:rFonts w:hint="eastAsia" w:ascii="仿宋" w:hAnsi="仿宋" w:eastAsia="仿宋" w:cs="仿宋"/>
                <w:kern w:val="2"/>
                <w:sz w:val="24"/>
                <w:szCs w:val="24"/>
                <w:highlight w:val="none"/>
                <w:lang w:val="en-US" w:eastAsia="zh-CN" w:bidi="ar-SA"/>
              </w:rPr>
              <w:t>维修</w:t>
            </w:r>
            <w:r>
              <w:rPr>
                <w:rFonts w:hint="default" w:ascii="仿宋" w:hAnsi="仿宋" w:eastAsia="仿宋" w:cs="仿宋"/>
                <w:kern w:val="2"/>
                <w:sz w:val="24"/>
                <w:szCs w:val="24"/>
                <w:highlight w:val="none"/>
                <w:lang w:val="en-US" w:eastAsia="zh-CN" w:bidi="ar-SA"/>
              </w:rPr>
              <w:t>费是由每台电脑维修</w:t>
            </w:r>
            <w:r>
              <w:rPr>
                <w:rFonts w:hint="eastAsia" w:ascii="仿宋" w:hAnsi="仿宋" w:eastAsia="仿宋" w:cs="仿宋"/>
                <w:kern w:val="2"/>
                <w:sz w:val="24"/>
                <w:szCs w:val="24"/>
                <w:highlight w:val="none"/>
                <w:lang w:val="en-US" w:eastAsia="zh-CN" w:bidi="ar-SA"/>
              </w:rPr>
              <w:t>更换的</w:t>
            </w:r>
            <w:r>
              <w:rPr>
                <w:rFonts w:hint="default" w:ascii="仿宋" w:hAnsi="仿宋" w:eastAsia="仿宋" w:cs="仿宋"/>
                <w:kern w:val="2"/>
                <w:sz w:val="24"/>
                <w:szCs w:val="24"/>
                <w:highlight w:val="none"/>
                <w:lang w:val="en-US" w:eastAsia="zh-CN" w:bidi="ar-SA"/>
              </w:rPr>
              <w:t>配件费用和</w:t>
            </w:r>
            <w:r>
              <w:rPr>
                <w:rFonts w:hint="eastAsia" w:ascii="仿宋" w:hAnsi="仿宋" w:eastAsia="仿宋" w:cs="仿宋"/>
                <w:kern w:val="2"/>
                <w:sz w:val="24"/>
                <w:szCs w:val="24"/>
                <w:highlight w:val="none"/>
                <w:lang w:val="en-US" w:eastAsia="zh-CN" w:bidi="ar-SA"/>
              </w:rPr>
              <w:t>维修装机</w:t>
            </w:r>
            <w:r>
              <w:rPr>
                <w:rFonts w:hint="default" w:ascii="仿宋" w:hAnsi="仿宋" w:eastAsia="仿宋" w:cs="仿宋"/>
                <w:kern w:val="2"/>
                <w:sz w:val="24"/>
                <w:szCs w:val="24"/>
                <w:highlight w:val="none"/>
                <w:lang w:val="en-US" w:eastAsia="zh-CN" w:bidi="ar-SA"/>
              </w:rPr>
              <w:t>费合计组成，</w:t>
            </w:r>
            <w:r>
              <w:rPr>
                <w:rFonts w:hint="eastAsia" w:ascii="仿宋" w:hAnsi="仿宋" w:eastAsia="仿宋" w:cs="仿宋"/>
                <w:kern w:val="2"/>
                <w:sz w:val="24"/>
                <w:szCs w:val="24"/>
                <w:highlight w:val="none"/>
                <w:lang w:val="en-US" w:eastAsia="zh-CN" w:bidi="ar-SA"/>
              </w:rPr>
              <w:t>同一台</w:t>
            </w:r>
            <w:r>
              <w:rPr>
                <w:rFonts w:hint="default" w:ascii="仿宋" w:hAnsi="仿宋" w:eastAsia="仿宋" w:cs="仿宋"/>
                <w:kern w:val="2"/>
                <w:sz w:val="24"/>
                <w:szCs w:val="24"/>
                <w:highlight w:val="none"/>
                <w:lang w:val="en-US" w:eastAsia="zh-CN" w:bidi="ar-SA"/>
              </w:rPr>
              <w:t>电脑</w:t>
            </w:r>
            <w:r>
              <w:rPr>
                <w:rFonts w:hint="eastAsia" w:ascii="仿宋" w:hAnsi="仿宋" w:eastAsia="仿宋" w:cs="仿宋"/>
                <w:kern w:val="2"/>
                <w:sz w:val="24"/>
                <w:szCs w:val="24"/>
                <w:highlight w:val="none"/>
                <w:lang w:val="en-US" w:eastAsia="zh-CN" w:bidi="ar-SA"/>
              </w:rPr>
              <w:t>若每一次</w:t>
            </w:r>
            <w:r>
              <w:rPr>
                <w:rFonts w:hint="default" w:ascii="仿宋" w:hAnsi="仿宋" w:eastAsia="仿宋" w:cs="仿宋"/>
                <w:kern w:val="2"/>
                <w:sz w:val="24"/>
                <w:szCs w:val="24"/>
                <w:highlight w:val="none"/>
                <w:lang w:val="en-US" w:eastAsia="zh-CN" w:bidi="ar-SA"/>
              </w:rPr>
              <w:t>存在多个</w:t>
            </w:r>
            <w:r>
              <w:rPr>
                <w:rFonts w:hint="eastAsia" w:ascii="仿宋" w:hAnsi="仿宋" w:eastAsia="仿宋" w:cs="仿宋"/>
                <w:kern w:val="2"/>
                <w:sz w:val="24"/>
                <w:szCs w:val="24"/>
                <w:highlight w:val="none"/>
                <w:lang w:val="en-US" w:eastAsia="zh-CN" w:bidi="ar-SA"/>
              </w:rPr>
              <w:t>配件需要安装时，</w:t>
            </w:r>
            <w:r>
              <w:rPr>
                <w:rFonts w:hint="default" w:ascii="仿宋" w:hAnsi="仿宋" w:eastAsia="仿宋" w:cs="仿宋"/>
                <w:kern w:val="2"/>
                <w:sz w:val="24"/>
                <w:szCs w:val="24"/>
                <w:highlight w:val="none"/>
                <w:lang w:val="en-US" w:eastAsia="zh-CN" w:bidi="ar-SA"/>
              </w:rPr>
              <w:t>维修</w:t>
            </w:r>
            <w:r>
              <w:rPr>
                <w:rFonts w:hint="eastAsia" w:ascii="仿宋" w:hAnsi="仿宋" w:eastAsia="仿宋" w:cs="仿宋"/>
                <w:kern w:val="2"/>
                <w:sz w:val="24"/>
                <w:szCs w:val="24"/>
                <w:highlight w:val="none"/>
                <w:lang w:val="en-US" w:eastAsia="zh-CN" w:bidi="ar-SA"/>
              </w:rPr>
              <w:t>装机费只能收取一次。</w:t>
            </w:r>
          </w:p>
        </w:tc>
        <w:tc>
          <w:tcPr>
            <w:tcW w:w="1612" w:type="dxa"/>
            <w:tcBorders>
              <w:top w:val="single" w:color="auto" w:sz="4" w:space="0"/>
              <w:left w:val="single" w:color="auto" w:sz="4" w:space="0"/>
              <w:bottom w:val="single" w:color="auto" w:sz="12" w:space="0"/>
              <w:right w:val="single" w:color="auto" w:sz="12" w:space="0"/>
            </w:tcBorders>
            <w:vAlign w:val="center"/>
          </w:tcPr>
          <w:p w14:paraId="0E42F27C">
            <w:pPr>
              <w:keepNext/>
              <w:keepLines w:val="0"/>
              <w:widowControl/>
              <w:suppressLineNumbers w:val="0"/>
              <w:snapToGrid w:val="0"/>
              <w:jc w:val="center"/>
              <w:textAlignment w:val="top"/>
              <w:rPr>
                <w:rFonts w:hint="default"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50</w:t>
            </w:r>
          </w:p>
        </w:tc>
      </w:tr>
    </w:tbl>
    <w:p w14:paraId="410F6B66">
      <w:pPr>
        <w:pStyle w:val="10"/>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r>
        <w:rPr>
          <w:rFonts w:hint="default" w:ascii="仿宋" w:hAnsi="仿宋" w:eastAsia="仿宋" w:cs="仿宋"/>
          <w:kern w:val="2"/>
          <w:sz w:val="28"/>
          <w:szCs w:val="28"/>
          <w:lang w:val="en-US" w:eastAsia="zh-CN" w:bidi="ar-SA"/>
        </w:rPr>
        <w:t>每台电脑的维修装机费是由每台电脑维修产生的零配件费用和维修工时费合计组成，同时每台电脑当次存在多个维修项目的维修工时费不得进行累加，只能收取一次。在完成每台电脑维修的一个月内对同一台电脑的相同维修项目多次维修，即只能收取一次维修工时费。</w:t>
      </w:r>
    </w:p>
    <w:p w14:paraId="5760304E">
      <w:pPr>
        <w:pStyle w:val="10"/>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即单台电脑单次的维修总费用=该台电脑所有维修更换零配件费用+该台电脑本次维修的工时费。</w:t>
      </w:r>
    </w:p>
    <w:p w14:paraId="6021CD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kern w:val="2"/>
          <w:sz w:val="28"/>
          <w:szCs w:val="28"/>
          <w:lang w:val="en-US" w:eastAsia="zh-CN" w:bidi="ar-SA"/>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F84960F">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报价为</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采购文件第八章第二条“采购内容”表中品目</w:t>
      </w:r>
      <w:r>
        <w:rPr>
          <w:rFonts w:hint="eastAsia" w:ascii="仿宋" w:hAnsi="仿宋" w:eastAsia="仿宋" w:cs="仿宋"/>
          <w:sz w:val="28"/>
          <w:szCs w:val="28"/>
          <w:lang w:eastAsia="zh-CN"/>
        </w:rPr>
        <w:t>单价</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最高限价的</w:t>
      </w:r>
      <w:r>
        <w:rPr>
          <w:rFonts w:hint="eastAsia" w:ascii="仿宋" w:hAnsi="仿宋" w:eastAsia="仿宋" w:cs="仿宋"/>
          <w:b/>
          <w:bCs/>
          <w:color w:val="FF0000"/>
          <w:sz w:val="28"/>
          <w:szCs w:val="28"/>
          <w:lang w:val="en-US" w:eastAsia="zh-CN"/>
        </w:rPr>
        <w:t>统一</w:t>
      </w:r>
      <w:r>
        <w:rPr>
          <w:rFonts w:hint="eastAsia" w:ascii="仿宋" w:hAnsi="仿宋" w:eastAsia="仿宋" w:cs="仿宋"/>
          <w:sz w:val="28"/>
          <w:szCs w:val="28"/>
          <w:lang w:eastAsia="zh-CN"/>
        </w:rPr>
        <w:t>折扣率。</w:t>
      </w:r>
      <w:r>
        <w:rPr>
          <w:rFonts w:hint="eastAsia" w:ascii="仿宋" w:hAnsi="仿宋" w:eastAsia="仿宋" w:cs="仿宋"/>
          <w:b/>
          <w:bCs/>
          <w:color w:val="auto"/>
          <w:sz w:val="28"/>
          <w:szCs w:val="28"/>
          <w:lang w:val="en-US" w:eastAsia="zh-CN"/>
        </w:rPr>
        <w:t>供应商报价只报一个</w:t>
      </w:r>
      <w:r>
        <w:rPr>
          <w:rFonts w:hint="eastAsia" w:ascii="仿宋" w:hAnsi="仿宋" w:eastAsia="仿宋" w:cs="仿宋"/>
          <w:b/>
          <w:bCs/>
          <w:color w:val="FF0000"/>
          <w:sz w:val="28"/>
          <w:szCs w:val="28"/>
          <w:lang w:val="en-US" w:eastAsia="zh-CN"/>
        </w:rPr>
        <w:t>唯一</w:t>
      </w:r>
      <w:r>
        <w:rPr>
          <w:rFonts w:hint="eastAsia" w:ascii="仿宋" w:hAnsi="仿宋" w:eastAsia="仿宋" w:cs="仿宋"/>
          <w:b/>
          <w:bCs/>
          <w:color w:val="auto"/>
          <w:sz w:val="28"/>
          <w:szCs w:val="28"/>
          <w:lang w:val="en-US" w:eastAsia="zh-CN"/>
        </w:rPr>
        <w:t>折扣率，</w:t>
      </w:r>
      <w:r>
        <w:rPr>
          <w:rFonts w:hint="eastAsia" w:ascii="仿宋" w:hAnsi="仿宋" w:eastAsia="仿宋" w:cs="仿宋"/>
          <w:b/>
          <w:bCs/>
          <w:color w:val="auto"/>
          <w:sz w:val="28"/>
          <w:szCs w:val="28"/>
          <w:lang w:eastAsia="zh-CN"/>
        </w:rPr>
        <w:t>本项目所有货物采购价格</w:t>
      </w:r>
      <w:r>
        <w:rPr>
          <w:rFonts w:hint="eastAsia" w:ascii="仿宋" w:hAnsi="仿宋" w:eastAsia="仿宋" w:cs="仿宋"/>
          <w:b/>
          <w:bCs/>
          <w:color w:val="auto"/>
          <w:sz w:val="28"/>
          <w:szCs w:val="28"/>
          <w:lang w:val="en-US" w:eastAsia="zh-CN"/>
        </w:rPr>
        <w:t>和维修装机费</w:t>
      </w:r>
      <w:r>
        <w:rPr>
          <w:rFonts w:hint="eastAsia" w:ascii="仿宋" w:hAnsi="仿宋" w:eastAsia="仿宋" w:cs="仿宋"/>
          <w:b/>
          <w:bCs/>
          <w:color w:val="auto"/>
          <w:sz w:val="28"/>
          <w:szCs w:val="28"/>
          <w:lang w:eastAsia="zh-CN"/>
        </w:rPr>
        <w:t>均按此</w:t>
      </w:r>
      <w:r>
        <w:rPr>
          <w:rFonts w:hint="eastAsia" w:ascii="仿宋" w:hAnsi="仿宋" w:eastAsia="仿宋" w:cs="仿宋"/>
          <w:b/>
          <w:bCs/>
          <w:color w:val="FF0000"/>
          <w:sz w:val="28"/>
          <w:szCs w:val="28"/>
          <w:lang w:val="en-US" w:eastAsia="zh-CN"/>
        </w:rPr>
        <w:t>唯一</w:t>
      </w:r>
      <w:r>
        <w:rPr>
          <w:rFonts w:hint="eastAsia" w:ascii="仿宋" w:hAnsi="仿宋" w:eastAsia="仿宋" w:cs="仿宋"/>
          <w:b/>
          <w:bCs/>
          <w:color w:val="FF0000"/>
          <w:sz w:val="28"/>
          <w:szCs w:val="28"/>
          <w:lang w:eastAsia="zh-CN"/>
        </w:rPr>
        <w:t>折扣率</w:t>
      </w:r>
      <w:r>
        <w:rPr>
          <w:rFonts w:hint="eastAsia" w:ascii="仿宋" w:hAnsi="仿宋" w:eastAsia="仿宋" w:cs="仿宋"/>
          <w:b/>
          <w:bCs/>
          <w:color w:val="auto"/>
          <w:sz w:val="28"/>
          <w:szCs w:val="28"/>
          <w:lang w:eastAsia="zh-CN"/>
        </w:rPr>
        <w:t>执行，</w:t>
      </w:r>
      <w:r>
        <w:rPr>
          <w:rFonts w:hint="eastAsia" w:ascii="仿宋" w:hAnsi="仿宋" w:eastAsia="仿宋" w:cs="仿宋"/>
          <w:b/>
          <w:bCs/>
          <w:sz w:val="28"/>
          <w:szCs w:val="28"/>
          <w:lang w:eastAsia="zh-CN"/>
        </w:rPr>
        <w:t>项目合同履行期内折扣率不</w:t>
      </w:r>
      <w:r>
        <w:rPr>
          <w:rFonts w:hint="eastAsia" w:ascii="仿宋" w:hAnsi="仿宋" w:eastAsia="仿宋" w:cs="仿宋"/>
          <w:b/>
          <w:bCs/>
          <w:sz w:val="28"/>
          <w:szCs w:val="28"/>
          <w:lang w:val="en-US" w:eastAsia="zh-CN"/>
        </w:rPr>
        <w:t>能</w:t>
      </w:r>
      <w:r>
        <w:rPr>
          <w:rFonts w:hint="eastAsia" w:ascii="仿宋" w:hAnsi="仿宋" w:eastAsia="仿宋" w:cs="仿宋"/>
          <w:b/>
          <w:bCs/>
          <w:sz w:val="28"/>
          <w:szCs w:val="28"/>
          <w:lang w:eastAsia="zh-CN"/>
        </w:rPr>
        <w:t>变动。</w:t>
      </w:r>
      <w:r>
        <w:rPr>
          <w:rFonts w:hint="eastAsia" w:ascii="仿宋" w:hAnsi="仿宋" w:eastAsia="仿宋" w:cs="仿宋"/>
          <w:sz w:val="28"/>
          <w:szCs w:val="28"/>
          <w:lang w:val="en-US" w:eastAsia="zh-CN"/>
        </w:rPr>
        <w:t>供应商本次报价，折扣率必须小于或等于100%，否则视为无效报价。（</w:t>
      </w:r>
      <w:r>
        <w:rPr>
          <w:rFonts w:hint="eastAsia" w:ascii="仿宋" w:hAnsi="仿宋" w:eastAsia="仿宋" w:cs="仿宋"/>
          <w:sz w:val="28"/>
          <w:szCs w:val="28"/>
          <w:lang w:eastAsia="zh-CN"/>
        </w:rPr>
        <w:t>注：折扣率</w:t>
      </w:r>
      <w:r>
        <w:rPr>
          <w:rFonts w:hint="eastAsia" w:ascii="仿宋" w:hAnsi="仿宋" w:eastAsia="仿宋" w:cs="仿宋"/>
          <w:sz w:val="28"/>
          <w:szCs w:val="28"/>
          <w:lang w:val="en-US" w:eastAsia="zh-CN"/>
        </w:rPr>
        <w:t>必须是一个固定整数值，如92%；</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不得含小数点，如92.5%；</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不得为区间值，如以“92.5%～94%”进行报价，否则均将视为无效报价</w:t>
      </w:r>
      <w:r>
        <w:rPr>
          <w:rFonts w:hint="eastAsia" w:ascii="仿宋" w:hAnsi="仿宋" w:eastAsia="仿宋" w:cs="仿宋"/>
          <w:sz w:val="28"/>
          <w:szCs w:val="28"/>
          <w:lang w:eastAsia="zh-CN"/>
        </w:rPr>
        <w:t>）。</w:t>
      </w:r>
    </w:p>
    <w:p w14:paraId="4239A326">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jc w:val="left"/>
        <w:textAlignment w:val="auto"/>
        <w:outlineLvl w:val="1"/>
        <w:rPr>
          <w:rFonts w:hint="eastAsia" w:ascii="仿宋" w:hAnsi="仿宋" w:eastAsia="仿宋" w:cs="仿宋"/>
          <w:color w:val="auto"/>
          <w:spacing w:val="-14"/>
          <w:sz w:val="28"/>
          <w:szCs w:val="28"/>
        </w:rPr>
      </w:pPr>
      <w:r>
        <w:rPr>
          <w:rFonts w:hint="eastAsia" w:ascii="仿宋" w:hAnsi="仿宋" w:eastAsia="仿宋" w:cs="仿宋"/>
          <w:sz w:val="28"/>
          <w:szCs w:val="28"/>
        </w:rPr>
        <w:t>若成交供应商报价折扣率为92%，则成交供应商单台维修费用结算金额为=维修配件</w:t>
      </w:r>
      <w:r>
        <w:rPr>
          <w:rFonts w:hint="eastAsia" w:ascii="仿宋" w:hAnsi="仿宋" w:eastAsia="仿宋" w:cs="仿宋"/>
          <w:sz w:val="28"/>
          <w:szCs w:val="28"/>
          <w:lang w:val="en-US" w:eastAsia="zh-CN"/>
        </w:rPr>
        <w:t>X</w:t>
      </w:r>
      <w:r>
        <w:rPr>
          <w:rFonts w:hint="eastAsia" w:ascii="仿宋" w:hAnsi="仿宋" w:eastAsia="仿宋" w:cs="仿宋"/>
          <w:sz w:val="28"/>
          <w:szCs w:val="28"/>
        </w:rPr>
        <w:t>元/个（单价最高限价）</w:t>
      </w:r>
      <w:r>
        <w:rPr>
          <w:rFonts w:hint="eastAsia" w:ascii="仿宋" w:hAnsi="仿宋" w:eastAsia="仿宋" w:cs="仿宋"/>
          <w:spacing w:val="-14"/>
          <w:sz w:val="28"/>
          <w:szCs w:val="28"/>
        </w:rPr>
        <w:t>×92%（成交供应商报价折扣率）×采购人实际需要数量 +......+</w:t>
      </w:r>
      <w:r>
        <w:rPr>
          <w:rFonts w:hint="eastAsia" w:ascii="仿宋" w:hAnsi="仿宋" w:eastAsia="仿宋" w:cs="仿宋"/>
          <w:spacing w:val="-14"/>
          <w:sz w:val="28"/>
          <w:szCs w:val="28"/>
          <w:lang w:val="en-US" w:eastAsia="zh-CN"/>
        </w:rPr>
        <w:t>维修装机费</w:t>
      </w:r>
      <w:r>
        <w:rPr>
          <w:rFonts w:hint="eastAsia" w:ascii="仿宋" w:hAnsi="仿宋" w:eastAsia="仿宋" w:cs="仿宋"/>
          <w:sz w:val="28"/>
          <w:szCs w:val="28"/>
        </w:rPr>
        <w:t>X元/项（单项最高限价）</w:t>
      </w:r>
      <w:r>
        <w:rPr>
          <w:rFonts w:hint="eastAsia" w:ascii="仿宋" w:hAnsi="仿宋" w:eastAsia="仿宋" w:cs="仿宋"/>
          <w:spacing w:val="-14"/>
          <w:sz w:val="28"/>
          <w:szCs w:val="28"/>
        </w:rPr>
        <w:t>×92%（成交供应商报价折扣率）。</w:t>
      </w:r>
    </w:p>
    <w:p w14:paraId="7787EAE0">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包含货物安装完毕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14:paraId="716C90CF">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的维修或配件等内容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14:paraId="6B2655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1B8541A7">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color w:val="auto"/>
          <w:sz w:val="28"/>
          <w:szCs w:val="28"/>
          <w:u w:val="none"/>
        </w:rPr>
        <w:t>本项目</w:t>
      </w:r>
      <w:r>
        <w:rPr>
          <w:rFonts w:hint="eastAsia" w:ascii="仿宋" w:hAnsi="仿宋" w:eastAsia="仿宋" w:cs="仿宋"/>
          <w:color w:val="auto"/>
          <w:sz w:val="28"/>
          <w:szCs w:val="28"/>
          <w:u w:val="none"/>
          <w:lang w:val="en-US" w:eastAsia="zh-CN"/>
        </w:rPr>
        <w:t>货物</w:t>
      </w:r>
      <w:r>
        <w:rPr>
          <w:rFonts w:hint="eastAsia" w:ascii="仿宋" w:hAnsi="仿宋" w:eastAsia="仿宋" w:cs="仿宋"/>
          <w:color w:val="auto"/>
          <w:sz w:val="28"/>
          <w:szCs w:val="28"/>
          <w:u w:val="none"/>
        </w:rPr>
        <w:t>购置数量采购人当前无法确定，供应商成交后，根据采购人的需求进行供货，最终</w:t>
      </w:r>
      <w:r>
        <w:rPr>
          <w:rFonts w:hint="eastAsia" w:ascii="仿宋" w:hAnsi="仿宋" w:eastAsia="仿宋" w:cs="仿宋"/>
          <w:color w:val="auto"/>
          <w:sz w:val="28"/>
          <w:szCs w:val="28"/>
          <w:u w:val="none"/>
          <w:lang w:eastAsia="zh-CN"/>
        </w:rPr>
        <w:t>货物</w:t>
      </w:r>
      <w:r>
        <w:rPr>
          <w:rFonts w:hint="eastAsia" w:ascii="仿宋" w:hAnsi="仿宋" w:eastAsia="仿宋" w:cs="仿宋"/>
          <w:color w:val="auto"/>
          <w:sz w:val="28"/>
          <w:szCs w:val="28"/>
          <w:u w:val="none"/>
        </w:rPr>
        <w:t>采购数量以合同履行期内采购人实际需求为准。</w:t>
      </w:r>
    </w:p>
    <w:p w14:paraId="47D6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实际</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采购总金额不超过本项目预算金额。</w:t>
      </w:r>
      <w:r>
        <w:rPr>
          <w:rFonts w:hint="eastAsia" w:ascii="仿宋" w:hAnsi="仿宋" w:eastAsia="仿宋" w:cs="仿宋"/>
          <w:color w:val="auto"/>
          <w:sz w:val="28"/>
          <w:szCs w:val="28"/>
          <w:lang w:val="en-US" w:eastAsia="zh-CN"/>
        </w:rPr>
        <w:t>项目预算金额详见本采购文件第二章 采购文件须知。</w:t>
      </w:r>
    </w:p>
    <w:p w14:paraId="38DFAF3C">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25A75D5">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供应商所提供的维修配件应为全新配件，若相关配件因厂家停产或不可抗力因素等因素导致市场已无对应型号全新配件销售的，需使用非采购标的配件时供应商应提前告知采购人，且非采购标的配件的价格应不得高于本项目对应的维修配件成交价，并符合当地市场价。供应商提供的所有配件若采购文件中的技术要求无明确说明，则按国家有关部门及生产企业最新颁布的要求为准，包括货物售后质保期时间。</w:t>
      </w:r>
    </w:p>
    <w:p w14:paraId="4E39848A">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供应商所提供的维修零配件须是全新、未使用过的厂家合格产品，不得提供样品配件、翻新配件等。并完全符合国家有关质量标准和采购文件要求，货物应无明显划伤、无碰撞痕迹、无损坏。货物包装应为出厂时的原包装，包装在装卸、运输和仓储过程中能够对货物提供足够保护，防止货物受潮、腐蚀、被冲击等产生损坏。货物包装应干净、结实、无破损、封口严密、方便储存、运输和使用。每件包装上须注明品名、规格、生产厂家、生产日期、质量合格标志等。</w:t>
      </w:r>
    </w:p>
    <w:p w14:paraId="0BDC50E7">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供应商提供至少一名专职维修人员负责我院电脑维修业务，维修人员电话要求7*24小时保持畅通，在接到院方通知后0.5小时内能到达维修现场，并提供维修检查服务，应急维修在接到院方通知后及时到达维修现场。一年内供应商三次不能按时响应院方维修需求，或因维修延误造成院方科室投诉，院方有权终止合同。</w:t>
      </w:r>
    </w:p>
    <w:p w14:paraId="43FFFD7E">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供应商到达维修现场后应立即对故障位置的电脑进行检查，检查后将维修方案及维修费用告知采购人电脑管理人员，在接到电脑管理人员的维修派工单后，应尽快完成电脑维修，维修完成后及时反馈给使用科室，并在使用科室测试维修合格后，由使用科室签字同意后视为维修过程结束。维修过程中不会对采购人其它设施设备的使用造成影响，供应商不得随意变更专职维修人员。</w:t>
      </w:r>
    </w:p>
    <w:p w14:paraId="31D455E3">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供应商做好电脑维修的安全相关工作，确保电脑数据安全。若造成业主设施、设备的损坏，由供应商负责赔偿；供应商在运输、安装、调试电脑过程中造成人身伤害或财产损失，其全部责任均由供应商承担，院方概不负责。</w:t>
      </w:r>
    </w:p>
    <w:p w14:paraId="508822A6">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供应商派遣的专职维修人员应具有丰富的电脑维修经验，对于电脑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p>
    <w:p w14:paraId="46D294D5">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7、提供合同履约期间维修数据统计工作，每月以电子文档形式将当月所有维修内容、更换配件内容发送至采购人相关工作人员存档。</w:t>
      </w:r>
    </w:p>
    <w:p w14:paraId="4A0E918E">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8、供应商需要根据采购人的日常工作使用情况做好维修配件的备品工作，确保货源稳定，不能断供。</w:t>
      </w:r>
    </w:p>
    <w:p w14:paraId="4C0452F7">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供应商提供服务时，应到采购人指定的院内地点和采购人指定人员对接，按采购人工作人员诉求按时提供服务态度良好，不得与采购人工作人员发生争执。供应商对现场不能提供的服务，要做好解释工作，并告知具体服务时间。供应商在履约过程中，不得引起采购人工作人员投诉，经采购人核实确为供应商原因造成的采购人工作人员投诉的，视为供应商违约。</w:t>
      </w:r>
    </w:p>
    <w:p w14:paraId="55CB402B">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供应商必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14:paraId="3A593274">
      <w:pPr>
        <w:spacing w:line="360" w:lineRule="auto"/>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w:t>
      </w:r>
      <w:r>
        <w:rPr>
          <w:rFonts w:hint="eastAsia" w:ascii="仿宋" w:hAnsi="仿宋" w:eastAsia="仿宋" w:cs="仿宋"/>
          <w:color w:val="auto"/>
          <w:sz w:val="28"/>
          <w:szCs w:val="28"/>
          <w:highlight w:val="none"/>
        </w:rPr>
        <w:t>采购人对供应商提供的维修服务质量进行监督，维修后的电脑应能正常使用，确保电脑无问题后与使用科室进行交接，并完成维修台账的确认签字。有更换维修零配件的，替换下来的故障维修配件应交付</w:t>
      </w:r>
      <w:r>
        <w:rPr>
          <w:rFonts w:hint="eastAsia" w:ascii="仿宋" w:hAnsi="仿宋" w:eastAsia="仿宋" w:cs="仿宋"/>
          <w:color w:val="auto"/>
          <w:sz w:val="28"/>
          <w:szCs w:val="28"/>
          <w:highlight w:val="none"/>
          <w:lang w:eastAsia="zh-CN"/>
        </w:rPr>
        <w:t>予</w:t>
      </w:r>
      <w:r>
        <w:rPr>
          <w:rFonts w:hint="eastAsia" w:ascii="仿宋" w:hAnsi="仿宋" w:eastAsia="仿宋" w:cs="仿宋"/>
          <w:color w:val="auto"/>
          <w:sz w:val="28"/>
          <w:szCs w:val="28"/>
          <w:highlight w:val="none"/>
        </w:rPr>
        <w:t>采购人管理人员，供应商不得私自带走。</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（一）合同履约期限（以下任一条件先达到即合同终止）</w:t>
      </w:r>
    </w:p>
    <w:p w14:paraId="0C7FD15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w:t>
      </w:r>
      <w:r>
        <w:rPr>
          <w:rFonts w:hint="eastAsia" w:ascii="仿宋" w:hAnsi="仿宋" w:eastAsia="仿宋" w:cs="仿宋"/>
          <w:color w:val="FF0000"/>
          <w:sz w:val="28"/>
          <w:szCs w:val="28"/>
          <w:lang w:val="en-US" w:eastAsia="zh-CN"/>
        </w:rPr>
        <w:t>壹年</w:t>
      </w:r>
      <w:r>
        <w:rPr>
          <w:rFonts w:hint="eastAsia" w:ascii="仿宋" w:hAnsi="仿宋" w:eastAsia="仿宋" w:cs="仿宋"/>
          <w:color w:val="auto"/>
          <w:sz w:val="28"/>
          <w:szCs w:val="28"/>
          <w:lang w:val="en-US" w:eastAsia="zh-CN"/>
        </w:rPr>
        <w:t>，合同履约期限届满后，合同自然终止；合同履行金额达到合同金额</w:t>
      </w:r>
      <w:r>
        <w:rPr>
          <w:rFonts w:hint="eastAsia" w:ascii="仿宋" w:hAnsi="仿宋" w:eastAsia="仿宋" w:cs="仿宋"/>
          <w:b w:val="0"/>
          <w:bCs w:val="0"/>
          <w:color w:val="auto"/>
          <w:sz w:val="28"/>
          <w:szCs w:val="28"/>
          <w:lang w:val="en-US" w:eastAsia="zh-CN"/>
        </w:rPr>
        <w:t>（合同金额为项目预算金额，具体详见本采购文件第二章 采购文件须知</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sz w:val="28"/>
          <w:szCs w:val="28"/>
          <w:lang w:val="en-US" w:eastAsia="zh-CN"/>
        </w:rPr>
        <w:t>，</w:t>
      </w:r>
      <w:r>
        <w:rPr>
          <w:rFonts w:hint="eastAsia" w:ascii="仿宋" w:hAnsi="仿宋" w:eastAsia="仿宋" w:cs="仿宋"/>
          <w:color w:val="auto"/>
          <w:sz w:val="28"/>
          <w:szCs w:val="28"/>
          <w:lang w:val="en-US" w:eastAsia="zh-CN"/>
        </w:rPr>
        <w:t xml:space="preserve">合同自然终止。 </w:t>
      </w:r>
    </w:p>
    <w:p w14:paraId="181429D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093C959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（二）项目履行地点：大竹县人民医院院内指定地点。货物交付采购人之前，货物的损毁、灭失风险由供应商承担。</w:t>
      </w:r>
    </w:p>
    <w:p w14:paraId="3A653F79">
      <w:pPr>
        <w:pStyle w:val="8"/>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5B5E2E6C">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1、合同履行期间，本项目采购总金额在达到项目成交总金额前，采购人和成交供应商每季度核算一次成交供应商所提供的维修配件及维修工费。</w:t>
      </w:r>
    </w:p>
    <w:p w14:paraId="6793A10C">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成交供应商应完成与采购人当季度的维修台账统计工作。成交供应商提供合同履约期间科室签字确认的维修派工单给采购人。</w:t>
      </w:r>
    </w:p>
    <w:p w14:paraId="25D3E865">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highlight w:val="none"/>
        </w:rPr>
        <w:t>2、采购人采用银行转账方式付款，采购人付款前，成交供应商必须提供维修季度的维修台账交于采购人核对，成交供应商的结算维</w:t>
      </w:r>
      <w:r>
        <w:rPr>
          <w:rFonts w:hint="eastAsia" w:ascii="仿宋" w:hAnsi="仿宋" w:eastAsia="仿宋" w:cs="仿宋"/>
          <w:kern w:val="2"/>
          <w:sz w:val="28"/>
          <w:szCs w:val="28"/>
          <w:lang w:val="en-US" w:eastAsia="zh-CN" w:bidi="ar-SA"/>
        </w:rPr>
        <w:t>修台账应清楚、准确、明晰，每项维修完成应有使用科室负责人签字依据，成交供应商必须出具国家认可的足额有效发票，否则采购人有权拒绝付款。成交供应商为一般纳税人的，应当提供增值税专用发票。</w:t>
      </w:r>
    </w:p>
    <w:p w14:paraId="4D46645A">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3、双方核对一致后，成交供应商才可开具发票。每季度采购人在收到成交供应商前款所述有效票据后，90日内转账支付成交供应商该批次服务费。</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（四）验收方式和标准</w:t>
      </w:r>
    </w:p>
    <w:p w14:paraId="405915E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2"/>
          <w:sz w:val="28"/>
          <w:szCs w:val="28"/>
          <w:lang w:val="en-US" w:eastAsia="zh-CN" w:bidi="ar-SA"/>
        </w:rPr>
        <w:t>1、验收方式：由采购人组织验收，供应商配合、协助提供验收所需资料及功能演示，</w:t>
      </w:r>
      <w:r>
        <w:rPr>
          <w:rFonts w:hint="eastAsia" w:ascii="仿宋" w:hAnsi="仿宋" w:eastAsia="仿宋" w:cs="仿宋"/>
          <w:kern w:val="0"/>
          <w:sz w:val="28"/>
          <w:szCs w:val="28"/>
          <w:lang w:val="en-US" w:eastAsia="zh-CN"/>
        </w:rPr>
        <w:t>按照《大竹县人民医院采购管理制度》要求</w:t>
      </w:r>
      <w:r>
        <w:rPr>
          <w:rFonts w:hint="eastAsia" w:ascii="仿宋" w:hAnsi="仿宋" w:eastAsia="仿宋" w:cs="仿宋"/>
          <w:kern w:val="0"/>
          <w:sz w:val="28"/>
          <w:szCs w:val="28"/>
        </w:rPr>
        <w:t>进行验收。</w:t>
      </w:r>
    </w:p>
    <w:p w14:paraId="6C2041D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乙方应将货物送到甲方指定的院内地点接受甲方入库验收，并交付货物合格证、说明书、保修卡等。乙方应随货附销售单据。销售单据所记录的数据应与实际供货的品名、规格型号、数量、单价、金额等一致。</w:t>
      </w:r>
    </w:p>
    <w:p w14:paraId="3FCBB488">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甲方有权要求乙方提供每批次货物的合格资料和质量证明材料，并核实材料真实性，如乙方无正当理由不予配合或证实实际货物与合同约定的要求不符，视为乙方违约，甲方有权拒收货物并要求乙方承担违约责任。</w:t>
      </w:r>
    </w:p>
    <w:p w14:paraId="517E6A8F">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鉴于本项目为分批次供货，每批次货物自乙方交付给甲方2个工作日内，甲方书面签收销售单据视为对该批次货物数量和外观验收合格。甲方应当在2个工作日内将标的物的数量或者外观不符合约定的情形通知乙方。</w:t>
      </w:r>
    </w:p>
    <w:p w14:paraId="518B7AC8">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atLeast"/>
        <w:ind w:firstLine="560" w:firstLineChars="200"/>
        <w:textAlignment w:val="auto"/>
        <w:rPr>
          <w:rFonts w:hint="eastAsia"/>
          <w:lang w:val="en-US" w:eastAsia="zh-CN"/>
        </w:rPr>
      </w:pPr>
      <w:r>
        <w:rPr>
          <w:rFonts w:hint="eastAsia" w:ascii="仿宋" w:hAnsi="仿宋" w:eastAsia="仿宋" w:cs="仿宋"/>
          <w:kern w:val="2"/>
          <w:sz w:val="28"/>
          <w:szCs w:val="28"/>
          <w:lang w:val="en-US" w:eastAsia="zh-CN" w:bidi="ar-SA"/>
        </w:rPr>
        <w:t>本项目货物属于耐用品，甲方在2个工作日内无法全面检验货物的质量，故入库验收仅视作甲方认为货物的数量和外观验收合格。质量检验根据《民法典》相关规定，在货物质保期内，甲方未发现或未通知乙方质量不符合国家有关强制性规定以及本项目的技术要求和合同约定的，视为甲方对货物质量验收合格。甲方在货物质保期内（质保期从甲方签收销售单据之日起计算）发现质量问题，乙方应执行合同约定的售后服务要求。</w:t>
      </w:r>
    </w:p>
    <w:p w14:paraId="2B98E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2、验收标准：</w:t>
      </w:r>
      <w:r>
        <w:rPr>
          <w:rFonts w:hint="eastAsia" w:ascii="仿宋" w:hAnsi="仿宋" w:eastAsia="仿宋" w:cs="仿宋"/>
          <w:color w:val="auto"/>
          <w:kern w:val="2"/>
          <w:sz w:val="28"/>
          <w:szCs w:val="28"/>
          <w:highlight w:val="none"/>
        </w:rPr>
        <w:t>国家相关法律法规、行业标准、技术规范；</w:t>
      </w:r>
      <w:r>
        <w:rPr>
          <w:rFonts w:hint="eastAsia" w:ascii="仿宋" w:hAnsi="仿宋" w:eastAsia="仿宋" w:cs="仿宋"/>
          <w:kern w:val="2"/>
          <w:sz w:val="28"/>
          <w:szCs w:val="28"/>
          <w:lang w:val="en-US" w:eastAsia="zh-CN" w:bidi="ar-SA"/>
        </w:rPr>
        <w:t>采购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FF82E2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（六）售后服务要求</w:t>
      </w:r>
    </w:p>
    <w:p w14:paraId="31D33AB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t>成交供应商所更换的维修零配件应具有符合国家标准及行业标准的质保期，质保期内，更换的维修零配件再次出现故障，供应商应无条件进行修复或重新更换，</w:t>
      </w:r>
      <w:r>
        <w:rPr>
          <w:rFonts w:hint="eastAsia" w:ascii="仿宋" w:hAnsi="仿宋" w:eastAsia="仿宋" w:cs="仿宋"/>
          <w:color w:val="auto"/>
          <w:sz w:val="28"/>
          <w:szCs w:val="28"/>
          <w:highlight w:val="none"/>
          <w:lang w:val="en-US" w:eastAsia="zh-CN"/>
        </w:rPr>
        <w:t>供应商完成售后服务的维修处置时间不超过7天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供应商不得再另行收取费用，若更换的维修零配件在质保期内出现两次以上相同故障，成交供应商应无偿更换新的零配件。</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8"/>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1476163B">
      <w:pPr>
        <w:pStyle w:val="8"/>
        <w:spacing w:line="560" w:lineRule="exact"/>
        <w:ind w:firstLine="560"/>
        <w:rPr>
          <w:rFonts w:hint="eastAsia" w:ascii="黑体" w:hAnsi="黑体" w:eastAsia="黑体" w:cs="黑体"/>
          <w:b/>
          <w:sz w:val="28"/>
          <w:szCs w:val="28"/>
          <w:highlight w:val="none"/>
        </w:rPr>
      </w:pPr>
      <w:r>
        <w:rPr>
          <w:rFonts w:hint="eastAsia" w:ascii="仿宋" w:hAnsi="仿宋" w:eastAsia="仿宋" w:cs="仿宋"/>
          <w:sz w:val="28"/>
          <w:szCs w:val="28"/>
          <w:highlight w:val="none"/>
          <w:lang w:val="en-US" w:eastAsia="zh-CN"/>
        </w:rPr>
        <w:t>2、本章内容中有明确的证明材料要求的应提供对应证明材料，否则视为负偏离。</w:t>
      </w:r>
      <w:bookmarkStart w:id="2" w:name="_GoBack"/>
      <w:bookmarkEnd w:id="2"/>
      <w:bookmarkStart w:id="1" w:name="★4.4 违约处理"/>
      <w:bookmarkEnd w:id="1"/>
    </w:p>
    <w:p w14:paraId="21A1155E">
      <w:pPr>
        <w:pStyle w:val="8"/>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4926219D">
      <w:pPr>
        <w:pStyle w:val="8"/>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11CF99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altName w:val="DejaVu Math TeX Gyre"/>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0"/>
    <w:pPr>
      <w:ind w:firstLine="420" w:firstLineChars="200"/>
    </w:pPr>
    <w:rPr>
      <w:szCs w:val="24"/>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1"/>
    <w:next w:val="1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2025-11-05T09:51:44Z</dcterms:created>
  <dc:creator>Administrator</dc:creator>
  <cp:lastModifiedBy>杨渊</cp:lastModifiedBy>
  <dcterms:modified xsi:type="dcterms:W3CDTF">2025-11-05T09:53:23Z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eyJoZGlkIjoiMmEzMjQwODg2MTUxYWRjZDRkZTVlNzExODVjYThlMzQiLCJ1c2VySWQiOiIyMzM3NTg3OTYifQ==</vt:lpwstr>
  </property>
  <property fmtid="{D5CDD505-2E9C-101B-9397-08002B2CF9AE}" pid="4" name="ICV">
    <vt:lpwstr>DC41956BB4664223B3DF21C3A71B1E27_12</vt:lpwstr>
  </property>
</Properties>
</file>