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大竹县人民医院环境卫生学指标第三方检测服务项目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市场调研表</w:t>
      </w:r>
    </w:p>
    <w:p w14:paraId="5555145D">
      <w:pPr>
        <w:pStyle w:val="21"/>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大竹县人民医院环境卫生学指标第三方检测服务项目</w:t>
      </w:r>
    </w:p>
    <w:p w14:paraId="4CC70DD6">
      <w:pPr>
        <w:pStyle w:val="21"/>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竹医总采（遴）【2025-9-15】号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1"/>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1"/>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C56DFE2">
      <w:pPr>
        <w:pStyle w:val="21"/>
        <w:spacing w:line="560" w:lineRule="exact"/>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成交规则：供应商报出一次不可更改的价格，满足本文件要求且报价最低者为成交供应商。</w:t>
      </w:r>
    </w:p>
    <w:p w14:paraId="10579EBA">
      <w:pPr>
        <w:pStyle w:val="21"/>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val="en-US" w:eastAsia="zh-CN"/>
        </w:rPr>
        <w:t>现场报价</w:t>
      </w:r>
      <w:r>
        <w:rPr>
          <w:rFonts w:hint="eastAsia" w:ascii="仿宋" w:hAnsi="仿宋" w:eastAsia="仿宋" w:cs="仿宋"/>
          <w:b/>
          <w:bCs/>
          <w:color w:val="auto"/>
          <w:sz w:val="28"/>
          <w:szCs w:val="28"/>
        </w:rPr>
        <w:t>的供应商应</w:t>
      </w:r>
      <w:r>
        <w:rPr>
          <w:rFonts w:hint="eastAsia" w:ascii="仿宋" w:hAnsi="仿宋" w:eastAsia="仿宋" w:cs="仿宋"/>
          <w:b/>
          <w:bCs/>
          <w:color w:val="auto"/>
          <w:sz w:val="28"/>
          <w:szCs w:val="28"/>
          <w:lang w:val="en-US" w:eastAsia="zh-CN"/>
        </w:rPr>
        <w:t>提供的资料</w:t>
      </w:r>
      <w:r>
        <w:rPr>
          <w:rFonts w:hint="eastAsia" w:ascii="仿宋" w:hAnsi="仿宋" w:eastAsia="仿宋" w:cs="仿宋"/>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有效的营业执照副本复印件加盖鲜章</w:t>
      </w:r>
      <w:r>
        <w:rPr>
          <w:rFonts w:hint="eastAsia" w:ascii="仿宋" w:hAnsi="仿宋" w:eastAsia="仿宋" w:cs="仿宋"/>
          <w:color w:val="auto"/>
          <w:sz w:val="28"/>
          <w:szCs w:val="28"/>
        </w:rPr>
        <w:t>；</w:t>
      </w:r>
      <w:bookmarkEnd w:id="0"/>
      <w:bookmarkStart w:id="4" w:name="_GoBack"/>
      <w:bookmarkEnd w:id="4"/>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w:t>
      </w:r>
      <w:bookmarkEnd w:id="1"/>
      <w:r>
        <w:rPr>
          <w:rFonts w:hint="eastAsia" w:ascii="仿宋" w:hAnsi="仿宋" w:eastAsia="仿宋" w:cs="仿宋"/>
          <w:color w:val="auto"/>
          <w:sz w:val="28"/>
          <w:szCs w:val="28"/>
          <w:lang w:val="en-US" w:eastAsia="zh-CN"/>
        </w:rPr>
        <w:t>营业执照法定代表人的身份证复印件加盖鲜章</w:t>
      </w:r>
      <w:r>
        <w:rPr>
          <w:rFonts w:hint="eastAsia" w:ascii="仿宋" w:hAnsi="仿宋" w:eastAsia="仿宋" w:cs="仿宋"/>
          <w:color w:val="auto"/>
          <w:sz w:val="28"/>
          <w:szCs w:val="28"/>
        </w:rPr>
        <w:t>；</w:t>
      </w:r>
    </w:p>
    <w:p w14:paraId="4AA9283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 w:hAnsi="仿宋" w:eastAsia="仿宋" w:cs="仿宋"/>
          <w:color w:val="auto"/>
          <w:sz w:val="28"/>
          <w:szCs w:val="28"/>
        </w:rPr>
        <w:t>；</w:t>
      </w:r>
      <w:bookmarkEnd w:id="2"/>
    </w:p>
    <w:p w14:paraId="18E36DA5">
      <w:pPr>
        <w:keepNext w:val="0"/>
        <w:keepLines w:val="0"/>
        <w:pageBreakBefore w:val="0"/>
        <w:kinsoku/>
        <w:wordWrap/>
        <w:overflowPunct/>
        <w:topLinePunct w:val="0"/>
        <w:autoSpaceDE/>
        <w:autoSpaceDN/>
        <w:bidi w:val="0"/>
        <w:spacing w:line="560" w:lineRule="exact"/>
        <w:ind w:firstLine="560" w:firstLineChars="200"/>
        <w:jc w:val="left"/>
        <w:rPr>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供应商具备有效期内，国家行政机关颁发的检验检测机构资质认定证书。（提供扫描件加盖供应商鲜章）</w:t>
      </w:r>
    </w:p>
    <w:p w14:paraId="1EFADB71">
      <w:pPr>
        <w:keepNext w:val="0"/>
        <w:keepLines w:val="0"/>
        <w:pageBreakBefore w:val="0"/>
        <w:kinsoku/>
        <w:wordWrap/>
        <w:overflowPunct/>
        <w:topLinePunct w:val="0"/>
        <w:autoSpaceDE/>
        <w:autoSpaceDN/>
        <w:bidi w:val="0"/>
        <w:spacing w:line="560" w:lineRule="exact"/>
        <w:ind w:firstLine="560" w:firstLineChars="200"/>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本项目的特殊要求：供应商提供两份对二级甲等（含二甲）以上医疗机构进行相关监测的类似业绩。（1、提供近三年的合同扫描件加盖供应商鲜章；2、提供合同业主方出具的对供应商检测服务满意的函件加盖业主鲜章或合同履约验收合格资料加盖业主鲜章；3、同一个业主下的多份业绩，仅视为一份业绩）</w:t>
      </w:r>
      <w:r>
        <w:rPr>
          <w:rFonts w:hint="eastAsia" w:ascii="仿宋" w:hAnsi="仿宋" w:eastAsia="仿宋" w:cs="仿宋"/>
          <w:bCs/>
          <w:color w:val="auto"/>
          <w:sz w:val="28"/>
          <w:szCs w:val="28"/>
          <w:lang w:eastAsia="zh-CN"/>
        </w:rPr>
        <w:t>。</w:t>
      </w:r>
    </w:p>
    <w:p w14:paraId="2A9EA753">
      <w:pPr>
        <w:pStyle w:val="2"/>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14:paraId="4FE4F774">
      <w:pPr>
        <w:pStyle w:val="21"/>
        <w:keepNext w:val="0"/>
        <w:keepLines w:val="0"/>
        <w:pageBreakBefore w:val="0"/>
        <w:kinsoku/>
        <w:wordWrap/>
        <w:overflowPunct/>
        <w:topLinePunct w:val="0"/>
        <w:autoSpaceDE/>
        <w:autoSpaceDN/>
        <w:bidi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全院现有需配检测的区域工作业务用房建筑面积82313.13平方米，共计61个科室。供应商服务区域涉及门诊大楼（10层、可用1部电梯）、内科大楼（14层、可用1部电梯搬货）、外科大楼（19层、可用1部电梯搬货）、感染科楼、发热门诊、总务库房（3楼、步梯）等。</w:t>
      </w:r>
    </w:p>
    <w:p w14:paraId="490F5F01">
      <w:pPr>
        <w:pStyle w:val="21"/>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大竹县人民医院院感第三方检测项目是对医院所属院区的</w:t>
      </w:r>
      <w:r>
        <w:rPr>
          <w:rFonts w:ascii="仿宋" w:hAnsi="仿宋" w:eastAsia="仿宋" w:cs="仿宋"/>
          <w:color w:val="auto"/>
          <w:sz w:val="28"/>
          <w:szCs w:val="28"/>
        </w:rPr>
        <w:t>环境卫生学检测、生物安全柜效验检测、血液透析用水、洁净手术间等相关院感第三方检测项目。</w:t>
      </w:r>
    </w:p>
    <w:p w14:paraId="5B0FEFDB">
      <w:pPr>
        <w:pStyle w:val="13"/>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、项目预算</w:t>
      </w:r>
    </w:p>
    <w:p w14:paraId="57389D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55"/>
        <w:jc w:val="both"/>
        <w:textAlignment w:val="baseline"/>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rPr>
        <w:t>（大写：人民币</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rPr>
        <w:t>整）</w:t>
      </w:r>
      <w:r>
        <w:rPr>
          <w:rFonts w:hint="eastAsia" w:ascii="仿宋" w:hAnsi="仿宋" w:eastAsia="仿宋" w:cs="仿宋"/>
          <w:color w:val="auto"/>
          <w:sz w:val="28"/>
          <w:szCs w:val="28"/>
          <w:lang w:eastAsia="zh-CN"/>
        </w:rPr>
        <w:t>。</w:t>
      </w:r>
    </w:p>
    <w:p w14:paraId="72B7B88E">
      <w:pPr>
        <w:pStyle w:val="21"/>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本项目为交钥匙工程，供应商为实现采购人院区相关科室按规定时间完成相应检测项目，费用包含检测费、报告、运费、人工、税费等一切费用，采购人无须另向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支付其他任何费用（采购人要求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在合同标的外的检测服务内容除外）。供应商应将提供的检测服务至采购人指定地点，并满足采购人正常使用需求。 </w:t>
      </w:r>
    </w:p>
    <w:p w14:paraId="6FC2AEA6">
      <w:pPr>
        <w:keepNext w:val="0"/>
        <w:keepLines w:val="0"/>
        <w:pageBreakBefore w:val="0"/>
        <w:kinsoku/>
        <w:wordWrap/>
        <w:overflowPunct/>
        <w:topLinePunct w:val="0"/>
        <w:autoSpaceDE/>
        <w:autoSpaceDN/>
        <w:bidi w:val="0"/>
        <w:spacing w:line="560" w:lineRule="exact"/>
        <w:ind w:firstLine="562" w:firstLineChars="2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四、采购标的</w:t>
      </w:r>
    </w:p>
    <w:p w14:paraId="60439122">
      <w:pPr>
        <w:pStyle w:val="14"/>
        <w:keepNext w:val="0"/>
        <w:keepLines w:val="0"/>
        <w:pageBreakBefore w:val="0"/>
        <w:kinsoku/>
        <w:wordWrap/>
        <w:overflowPunct/>
        <w:topLinePunct w:val="0"/>
        <w:autoSpaceDE/>
        <w:autoSpaceDN/>
        <w:bidi w:val="0"/>
        <w:spacing w:line="560" w:lineRule="exact"/>
        <w:ind w:firstLine="560" w:firstLineChars="200"/>
        <w:rPr>
          <w:rFonts w:hint="default"/>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本项目允许供应商将合同总额不超过30%的服务内容分包给第三方具有资质的监测公司出具有效的监测报告，但供应商对分包服务内容承担连带责任。</w:t>
      </w:r>
    </w:p>
    <w:tbl>
      <w:tblPr>
        <w:tblStyle w:val="10"/>
        <w:tblpPr w:leftFromText="180" w:rightFromText="180" w:vertAnchor="text" w:horzAnchor="page" w:tblpXSpec="center" w:tblpY="330"/>
        <w:tblOverlap w:val="never"/>
        <w:tblW w:w="10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950"/>
        <w:gridCol w:w="1305"/>
        <w:gridCol w:w="3390"/>
        <w:gridCol w:w="1297"/>
        <w:gridCol w:w="1967"/>
      </w:tblGrid>
      <w:tr w14:paraId="3ED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5" w:type="dxa"/>
            <w:gridSpan w:val="2"/>
            <w:vAlign w:val="center"/>
          </w:tcPr>
          <w:p w14:paraId="42CD080E">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检测范围</w:t>
            </w:r>
          </w:p>
        </w:tc>
        <w:tc>
          <w:tcPr>
            <w:tcW w:w="1305" w:type="dxa"/>
            <w:vAlign w:val="center"/>
          </w:tcPr>
          <w:p w14:paraId="450C3F1B">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检测</w:t>
            </w:r>
            <w:r>
              <w:rPr>
                <w:rFonts w:hint="eastAsia" w:asciiTheme="minorEastAsia" w:hAnsiTheme="minorEastAsia" w:eastAsiaTheme="minorEastAsia" w:cstheme="minorEastAsia"/>
                <w:sz w:val="24"/>
                <w:szCs w:val="24"/>
                <w:vertAlign w:val="baseline"/>
                <w:lang w:eastAsia="zh-CN"/>
              </w:rPr>
              <w:t>数量</w:t>
            </w:r>
          </w:p>
        </w:tc>
        <w:tc>
          <w:tcPr>
            <w:tcW w:w="3390" w:type="dxa"/>
            <w:vAlign w:val="center"/>
          </w:tcPr>
          <w:p w14:paraId="54172A4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检测项目</w:t>
            </w:r>
          </w:p>
        </w:tc>
        <w:tc>
          <w:tcPr>
            <w:tcW w:w="1297" w:type="dxa"/>
            <w:vAlign w:val="center"/>
          </w:tcPr>
          <w:p w14:paraId="7BE8B78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检测频次</w:t>
            </w:r>
          </w:p>
        </w:tc>
        <w:tc>
          <w:tcPr>
            <w:tcW w:w="1967" w:type="dxa"/>
            <w:vAlign w:val="center"/>
          </w:tcPr>
          <w:p w14:paraId="6811BEB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检测及评价依据</w:t>
            </w:r>
          </w:p>
        </w:tc>
      </w:tr>
      <w:tr w14:paraId="3A4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22302FA6">
            <w:pPr>
              <w:jc w:val="both"/>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血液透析中心</w:t>
            </w:r>
          </w:p>
        </w:tc>
        <w:tc>
          <w:tcPr>
            <w:tcW w:w="1950" w:type="dxa"/>
            <w:vAlign w:val="center"/>
          </w:tcPr>
          <w:p w14:paraId="5DEFBB5A">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eastAsia="zh-CN"/>
              </w:rPr>
              <w:t>透析用水</w:t>
            </w:r>
            <w:r>
              <w:rPr>
                <w:rFonts w:hint="eastAsia" w:asciiTheme="minorEastAsia" w:hAnsiTheme="minorEastAsia" w:cstheme="minorEastAsia"/>
                <w:sz w:val="21"/>
                <w:szCs w:val="21"/>
                <w:vertAlign w:val="baseline"/>
                <w:lang w:eastAsia="zh-CN"/>
              </w:rPr>
              <w:t>：</w:t>
            </w:r>
            <w:r>
              <w:rPr>
                <w:rFonts w:hint="eastAsia" w:asciiTheme="minorEastAsia" w:hAnsiTheme="minorEastAsia" w:cstheme="minorEastAsia"/>
                <w:sz w:val="21"/>
                <w:szCs w:val="21"/>
                <w:vertAlign w:val="baseline"/>
                <w:lang w:val="en-US" w:eastAsia="zh-CN"/>
              </w:rPr>
              <w:t>1号水机、2号水机的出水端和末端</w:t>
            </w:r>
          </w:p>
        </w:tc>
        <w:tc>
          <w:tcPr>
            <w:tcW w:w="1305" w:type="dxa"/>
            <w:vAlign w:val="center"/>
          </w:tcPr>
          <w:p w14:paraId="077A906D">
            <w:pPr>
              <w:jc w:val="both"/>
              <w:rPr>
                <w:rFonts w:hint="eastAsia" w:asciiTheme="minorEastAsia" w:hAnsiTheme="minorEastAsia" w:cstheme="minorEastAsia"/>
                <w:kern w:val="2"/>
                <w:sz w:val="21"/>
                <w:szCs w:val="21"/>
                <w:vertAlign w:val="baseline"/>
                <w:lang w:val="en-US" w:eastAsia="zh-CN" w:bidi="ar-SA"/>
              </w:rPr>
            </w:pPr>
          </w:p>
          <w:p w14:paraId="4BF9346F">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4</w:t>
            </w:r>
          </w:p>
        </w:tc>
        <w:tc>
          <w:tcPr>
            <w:tcW w:w="3390" w:type="dxa"/>
            <w:vAlign w:val="center"/>
          </w:tcPr>
          <w:p w14:paraId="091409A2">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化学污染物</w:t>
            </w:r>
            <w:r>
              <w:rPr>
                <w:rFonts w:hint="eastAsia" w:asciiTheme="minorEastAsia" w:hAnsiTheme="minorEastAsia" w:cstheme="minorEastAsia"/>
                <w:sz w:val="21"/>
                <w:szCs w:val="21"/>
                <w:vertAlign w:val="baseline"/>
                <w:lang w:val="en-US" w:eastAsia="zh-CN"/>
              </w:rPr>
              <w:t>：铝、总氯、铜、氟化物、铅、硝酸盐（氮）、硫酸盐、锌、钙、镁、钾、钠、锑、砷、钡、铍、镉、铬、汞、硒、银、铊</w:t>
            </w:r>
          </w:p>
        </w:tc>
        <w:tc>
          <w:tcPr>
            <w:tcW w:w="1297" w:type="dxa"/>
            <w:vAlign w:val="center"/>
          </w:tcPr>
          <w:p w14:paraId="6A1E35DC">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1次/年</w:t>
            </w:r>
          </w:p>
        </w:tc>
        <w:tc>
          <w:tcPr>
            <w:tcW w:w="1967" w:type="dxa"/>
            <w:vAlign w:val="center"/>
          </w:tcPr>
          <w:p w14:paraId="0B927152">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《血液透析及相关治疗用水》YY0572-2015</w:t>
            </w:r>
          </w:p>
        </w:tc>
      </w:tr>
      <w:tr w14:paraId="7B2A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67495E24">
            <w:pPr>
              <w:jc w:val="center"/>
              <w:rPr>
                <w:rFonts w:hint="eastAsia" w:asciiTheme="minorEastAsia" w:hAnsiTheme="minorEastAsia" w:eastAsiaTheme="minorEastAsia" w:cstheme="minorEastAsia"/>
                <w:sz w:val="21"/>
                <w:szCs w:val="21"/>
                <w:vertAlign w:val="baseline"/>
                <w:lang w:val="en-US" w:eastAsia="zh-CN"/>
              </w:rPr>
            </w:pPr>
          </w:p>
          <w:p w14:paraId="67E63379">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病理科</w:t>
            </w:r>
          </w:p>
        </w:tc>
        <w:tc>
          <w:tcPr>
            <w:tcW w:w="1950" w:type="dxa"/>
            <w:vAlign w:val="center"/>
          </w:tcPr>
          <w:p w14:paraId="777F9605">
            <w:pPr>
              <w:jc w:val="center"/>
              <w:rPr>
                <w:rFonts w:hint="eastAsia" w:asciiTheme="minorEastAsia" w:hAnsiTheme="minorEastAsia" w:eastAsiaTheme="minorEastAsia" w:cstheme="minorEastAsia"/>
                <w:sz w:val="21"/>
                <w:szCs w:val="21"/>
                <w:vertAlign w:val="baseline"/>
                <w:lang w:val="en-US" w:eastAsia="zh-CN"/>
              </w:rPr>
            </w:pPr>
          </w:p>
          <w:p w14:paraId="2321BB2C">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切片室</w:t>
            </w:r>
            <w:r>
              <w:rPr>
                <w:rFonts w:hint="eastAsia" w:asciiTheme="minorEastAsia" w:hAnsiTheme="minorEastAsia" w:cstheme="minorEastAsia"/>
                <w:sz w:val="21"/>
                <w:szCs w:val="21"/>
                <w:vertAlign w:val="baseline"/>
                <w:lang w:val="en-US" w:eastAsia="zh-CN"/>
              </w:rPr>
              <w:t>、取材室</w:t>
            </w:r>
          </w:p>
        </w:tc>
        <w:tc>
          <w:tcPr>
            <w:tcW w:w="1305" w:type="dxa"/>
            <w:vAlign w:val="center"/>
          </w:tcPr>
          <w:p w14:paraId="41C03E83">
            <w:pPr>
              <w:jc w:val="center"/>
              <w:rPr>
                <w:rFonts w:hint="eastAsia" w:asciiTheme="minorEastAsia" w:hAnsiTheme="minorEastAsia" w:cstheme="minorEastAsia"/>
                <w:sz w:val="21"/>
                <w:szCs w:val="21"/>
                <w:vertAlign w:val="baseline"/>
                <w:lang w:val="en-US" w:eastAsia="zh-CN"/>
              </w:rPr>
            </w:pPr>
          </w:p>
          <w:p w14:paraId="54DFE43C">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各</w:t>
            </w:r>
            <w:r>
              <w:rPr>
                <w:rFonts w:hint="eastAsia" w:asciiTheme="minorEastAsia" w:hAnsiTheme="minorEastAsia" w:eastAsiaTheme="minorEastAsia" w:cstheme="minorEastAsia"/>
                <w:sz w:val="21"/>
                <w:szCs w:val="21"/>
                <w:vertAlign w:val="baseline"/>
                <w:lang w:val="en-US" w:eastAsia="zh-CN"/>
              </w:rPr>
              <w:t>1</w:t>
            </w:r>
          </w:p>
        </w:tc>
        <w:tc>
          <w:tcPr>
            <w:tcW w:w="3390" w:type="dxa"/>
            <w:vAlign w:val="center"/>
          </w:tcPr>
          <w:p w14:paraId="63DF7A48">
            <w:pPr>
              <w:jc w:val="center"/>
              <w:rPr>
                <w:rFonts w:hint="eastAsia" w:asciiTheme="minorEastAsia" w:hAnsiTheme="minorEastAsia" w:eastAsiaTheme="minorEastAsia" w:cstheme="minorEastAsia"/>
                <w:sz w:val="21"/>
                <w:szCs w:val="21"/>
                <w:vertAlign w:val="baseline"/>
                <w:lang w:val="en-US" w:eastAsia="zh-CN"/>
              </w:rPr>
            </w:pPr>
          </w:p>
          <w:p w14:paraId="5D7ABD43">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甲醛</w:t>
            </w:r>
          </w:p>
        </w:tc>
        <w:tc>
          <w:tcPr>
            <w:tcW w:w="1297" w:type="dxa"/>
            <w:vAlign w:val="center"/>
          </w:tcPr>
          <w:p w14:paraId="5B4C0EC5">
            <w:pPr>
              <w:jc w:val="center"/>
              <w:rPr>
                <w:rFonts w:hint="eastAsia" w:asciiTheme="minorEastAsia" w:hAnsiTheme="minorEastAsia" w:eastAsiaTheme="minorEastAsia" w:cstheme="minorEastAsia"/>
                <w:sz w:val="21"/>
                <w:szCs w:val="21"/>
                <w:vertAlign w:val="baseline"/>
                <w:lang w:val="en-US" w:eastAsia="zh-CN"/>
              </w:rPr>
            </w:pPr>
          </w:p>
          <w:p w14:paraId="6898A37E">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1次/年</w:t>
            </w:r>
          </w:p>
        </w:tc>
        <w:tc>
          <w:tcPr>
            <w:tcW w:w="1967" w:type="dxa"/>
            <w:vAlign w:val="center"/>
          </w:tcPr>
          <w:p w14:paraId="1231A197">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b w:val="0"/>
                <w:bCs w:val="0"/>
                <w:sz w:val="21"/>
                <w:szCs w:val="21"/>
                <w:lang w:val="en-US" w:eastAsia="zh-CN"/>
              </w:rPr>
              <w:t>《工作场所有害因素职业接触限值 第1部分：化学有害因素》（GBZ 2.1—2019）第2号修改单</w:t>
            </w:r>
          </w:p>
        </w:tc>
      </w:tr>
      <w:tr w14:paraId="2972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586E721E">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医学</w:t>
            </w:r>
          </w:p>
          <w:p w14:paraId="7F3A180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检验科</w:t>
            </w:r>
          </w:p>
        </w:tc>
        <w:tc>
          <w:tcPr>
            <w:tcW w:w="1950" w:type="dxa"/>
            <w:vAlign w:val="center"/>
          </w:tcPr>
          <w:p w14:paraId="76B624F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生物安全柜</w:t>
            </w:r>
          </w:p>
        </w:tc>
        <w:tc>
          <w:tcPr>
            <w:tcW w:w="1305" w:type="dxa"/>
            <w:vAlign w:val="center"/>
          </w:tcPr>
          <w:p w14:paraId="1AB0710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3390" w:type="dxa"/>
            <w:vAlign w:val="center"/>
          </w:tcPr>
          <w:p w14:paraId="31DE958A">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垂直气流平均风速、工作窗口气流流向、工作窗口气流</w:t>
            </w:r>
            <w:r>
              <w:rPr>
                <w:rFonts w:hint="eastAsia" w:asciiTheme="minorEastAsia" w:hAnsiTheme="minorEastAsia" w:cstheme="minorEastAsia"/>
                <w:sz w:val="24"/>
                <w:szCs w:val="24"/>
                <w:vertAlign w:val="baseline"/>
                <w:lang w:val="en-US" w:eastAsia="zh-CN"/>
              </w:rPr>
              <w:t>平均</w:t>
            </w:r>
            <w:r>
              <w:rPr>
                <w:rFonts w:hint="eastAsia" w:asciiTheme="minorEastAsia" w:hAnsiTheme="minorEastAsia" w:eastAsiaTheme="minorEastAsia" w:cstheme="minorEastAsia"/>
                <w:sz w:val="24"/>
                <w:szCs w:val="24"/>
                <w:vertAlign w:val="baseline"/>
                <w:lang w:val="en-US" w:eastAsia="zh-CN"/>
              </w:rPr>
              <w:t>风</w:t>
            </w:r>
            <w:r>
              <w:rPr>
                <w:rFonts w:hint="eastAsia" w:asciiTheme="minorEastAsia" w:hAnsiTheme="minorEastAsia" w:cstheme="minorEastAsia"/>
                <w:sz w:val="24"/>
                <w:szCs w:val="24"/>
                <w:vertAlign w:val="baseline"/>
                <w:lang w:val="en-US" w:eastAsia="zh-CN"/>
              </w:rPr>
              <w:t>速</w:t>
            </w:r>
            <w:r>
              <w:rPr>
                <w:rFonts w:hint="eastAsia" w:asciiTheme="minorEastAsia" w:hAnsiTheme="minorEastAsia" w:eastAsiaTheme="minorEastAsia" w:cstheme="minorEastAsia"/>
                <w:sz w:val="24"/>
                <w:szCs w:val="24"/>
                <w:vertAlign w:val="baseline"/>
                <w:lang w:val="en-US" w:eastAsia="zh-CN"/>
              </w:rPr>
              <w:t>、工作区洁净度、噪声、照度、高效空气过滤器泄露</w:t>
            </w:r>
            <w:r>
              <w:rPr>
                <w:rFonts w:hint="eastAsia" w:asciiTheme="minorEastAsia" w:hAnsiTheme="minorEastAsia" w:cstheme="minorEastAsia"/>
                <w:sz w:val="24"/>
                <w:szCs w:val="24"/>
                <w:vertAlign w:val="baseline"/>
                <w:lang w:val="en-US" w:eastAsia="zh-CN"/>
              </w:rPr>
              <w:t>检测</w:t>
            </w:r>
          </w:p>
        </w:tc>
        <w:tc>
          <w:tcPr>
            <w:tcW w:w="1297" w:type="dxa"/>
            <w:vAlign w:val="center"/>
          </w:tcPr>
          <w:p w14:paraId="52E72C9E">
            <w:pPr>
              <w:jc w:val="center"/>
              <w:rPr>
                <w:rFonts w:hint="eastAsia" w:asciiTheme="minorEastAsia" w:hAnsiTheme="minorEastAsia" w:eastAsiaTheme="minorEastAsia" w:cstheme="minorEastAsia"/>
                <w:sz w:val="24"/>
                <w:szCs w:val="24"/>
                <w:vertAlign w:val="baseline"/>
                <w:lang w:val="en-US" w:eastAsia="zh-CN"/>
              </w:rPr>
            </w:pPr>
          </w:p>
          <w:p w14:paraId="7076AB1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1次/年</w:t>
            </w:r>
          </w:p>
        </w:tc>
        <w:tc>
          <w:tcPr>
            <w:tcW w:w="1967" w:type="dxa"/>
            <w:vMerge w:val="restart"/>
            <w:vAlign w:val="center"/>
          </w:tcPr>
          <w:p w14:paraId="08C2D7F3">
            <w:pPr>
              <w:jc w:val="center"/>
              <w:rPr>
                <w:rFonts w:hint="eastAsia"/>
                <w:sz w:val="21"/>
                <w:szCs w:val="21"/>
                <w:vertAlign w:val="baseline"/>
                <w:lang w:val="en-US" w:eastAsia="zh-CN"/>
              </w:rPr>
            </w:pPr>
          </w:p>
          <w:p w14:paraId="3183108C">
            <w:pPr>
              <w:jc w:val="both"/>
              <w:rPr>
                <w:rFonts w:hint="eastAsia" w:asciiTheme="minorEastAsia" w:hAnsiTheme="minorEastAsia" w:eastAsiaTheme="minorEastAsia" w:cstheme="minorEastAsia"/>
                <w:sz w:val="24"/>
                <w:szCs w:val="24"/>
                <w:vertAlign w:val="baseline"/>
                <w:lang w:val="en-US" w:eastAsia="zh-CN"/>
              </w:rPr>
            </w:pPr>
            <w:r>
              <w:rPr>
                <w:rFonts w:hint="eastAsia"/>
                <w:sz w:val="21"/>
                <w:szCs w:val="21"/>
                <w:vertAlign w:val="baseline"/>
                <w:lang w:val="en-US" w:eastAsia="zh-CN"/>
              </w:rPr>
              <w:t>《生物安全柜使用和管理规范》SN/T3901-2014</w:t>
            </w:r>
          </w:p>
        </w:tc>
      </w:tr>
      <w:tr w14:paraId="397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shd w:val="clear" w:color="auto" w:fill="auto"/>
            <w:vAlign w:val="center"/>
          </w:tcPr>
          <w:p w14:paraId="58F3AA60">
            <w:pPr>
              <w:jc w:val="both"/>
              <w:rPr>
                <w:rFonts w:hint="eastAsia" w:asciiTheme="minorEastAsia" w:hAnsiTheme="minorEastAsia" w:eastAsiaTheme="minorEastAsia" w:cstheme="minorEastAsia"/>
                <w:sz w:val="24"/>
                <w:szCs w:val="24"/>
                <w:vertAlign w:val="baseline"/>
                <w:lang w:val="en-US" w:eastAsia="zh-CN"/>
              </w:rPr>
            </w:pPr>
          </w:p>
          <w:p w14:paraId="67403121">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肿瘤科</w:t>
            </w:r>
          </w:p>
        </w:tc>
        <w:tc>
          <w:tcPr>
            <w:tcW w:w="1950" w:type="dxa"/>
            <w:shd w:val="clear" w:color="auto" w:fill="auto"/>
            <w:vAlign w:val="center"/>
          </w:tcPr>
          <w:p w14:paraId="2FDBDC93">
            <w:pPr>
              <w:jc w:val="both"/>
              <w:rPr>
                <w:rFonts w:hint="eastAsia" w:asciiTheme="minorEastAsia" w:hAnsiTheme="minorEastAsia" w:eastAsiaTheme="minorEastAsia" w:cstheme="minorEastAsia"/>
                <w:sz w:val="24"/>
                <w:szCs w:val="24"/>
                <w:vertAlign w:val="baseline"/>
                <w:lang w:val="en-US" w:eastAsia="zh-CN"/>
              </w:rPr>
            </w:pPr>
          </w:p>
          <w:p w14:paraId="161A94B1">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生物安全柜</w:t>
            </w:r>
          </w:p>
        </w:tc>
        <w:tc>
          <w:tcPr>
            <w:tcW w:w="1305" w:type="dxa"/>
            <w:shd w:val="clear" w:color="auto" w:fill="auto"/>
            <w:vAlign w:val="center"/>
          </w:tcPr>
          <w:p w14:paraId="258249D0">
            <w:pPr>
              <w:jc w:val="both"/>
              <w:rPr>
                <w:rFonts w:hint="eastAsia" w:asciiTheme="minorEastAsia" w:hAnsiTheme="minorEastAsia" w:eastAsiaTheme="minorEastAsia" w:cstheme="minorEastAsia"/>
                <w:sz w:val="24"/>
                <w:szCs w:val="24"/>
                <w:vertAlign w:val="baseline"/>
                <w:lang w:val="en-US" w:eastAsia="zh-CN"/>
              </w:rPr>
            </w:pPr>
          </w:p>
          <w:p w14:paraId="6AEC47CE">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3390" w:type="dxa"/>
            <w:shd w:val="clear" w:color="auto" w:fill="auto"/>
            <w:vAlign w:val="center"/>
          </w:tcPr>
          <w:p w14:paraId="056A5CC1">
            <w:pPr>
              <w:jc w:val="center"/>
              <w:rPr>
                <w:rFonts w:hint="eastAsia" w:asciiTheme="minorEastAsia" w:hAnsiTheme="minorEastAsia" w:eastAsiaTheme="minorEastAsia" w:cstheme="minorEastAsia"/>
                <w:sz w:val="24"/>
                <w:szCs w:val="24"/>
                <w:vertAlign w:val="baseline"/>
                <w:lang w:val="en-US" w:eastAsia="zh-CN"/>
              </w:rPr>
            </w:pPr>
          </w:p>
          <w:p w14:paraId="1EC7F7C2">
            <w:pPr>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垂直气流平均风速、工作窗口气流流向、工作窗口气流</w:t>
            </w:r>
            <w:r>
              <w:rPr>
                <w:rFonts w:hint="eastAsia" w:asciiTheme="minorEastAsia" w:hAnsiTheme="minorEastAsia" w:cstheme="minorEastAsia"/>
                <w:sz w:val="24"/>
                <w:szCs w:val="24"/>
                <w:vertAlign w:val="baseline"/>
                <w:lang w:val="en-US" w:eastAsia="zh-CN"/>
              </w:rPr>
              <w:t>平均</w:t>
            </w:r>
            <w:r>
              <w:rPr>
                <w:rFonts w:hint="eastAsia" w:asciiTheme="minorEastAsia" w:hAnsiTheme="minorEastAsia" w:eastAsiaTheme="minorEastAsia" w:cstheme="minorEastAsia"/>
                <w:sz w:val="24"/>
                <w:szCs w:val="24"/>
                <w:vertAlign w:val="baseline"/>
                <w:lang w:val="en-US" w:eastAsia="zh-CN"/>
              </w:rPr>
              <w:t>风</w:t>
            </w:r>
            <w:r>
              <w:rPr>
                <w:rFonts w:hint="eastAsia" w:asciiTheme="minorEastAsia" w:hAnsiTheme="minorEastAsia" w:cstheme="minorEastAsia"/>
                <w:sz w:val="24"/>
                <w:szCs w:val="24"/>
                <w:vertAlign w:val="baseline"/>
                <w:lang w:val="en-US" w:eastAsia="zh-CN"/>
              </w:rPr>
              <w:t>速</w:t>
            </w:r>
            <w:r>
              <w:rPr>
                <w:rFonts w:hint="eastAsia" w:asciiTheme="minorEastAsia" w:hAnsiTheme="minorEastAsia" w:eastAsiaTheme="minorEastAsia" w:cstheme="minorEastAsia"/>
                <w:sz w:val="24"/>
                <w:szCs w:val="24"/>
                <w:vertAlign w:val="baseline"/>
                <w:lang w:val="en-US" w:eastAsia="zh-CN"/>
              </w:rPr>
              <w:t>、工作区洁净度、噪声、照度、高效空气过滤器泄露</w:t>
            </w:r>
            <w:r>
              <w:rPr>
                <w:rFonts w:hint="eastAsia" w:asciiTheme="minorEastAsia" w:hAnsiTheme="minorEastAsia" w:cstheme="minorEastAsia"/>
                <w:sz w:val="24"/>
                <w:szCs w:val="24"/>
                <w:vertAlign w:val="baseline"/>
                <w:lang w:val="en-US" w:eastAsia="zh-CN"/>
              </w:rPr>
              <w:t>检测</w:t>
            </w:r>
          </w:p>
        </w:tc>
        <w:tc>
          <w:tcPr>
            <w:tcW w:w="1297" w:type="dxa"/>
            <w:shd w:val="clear" w:color="auto" w:fill="auto"/>
            <w:vAlign w:val="center"/>
          </w:tcPr>
          <w:p w14:paraId="2A79FD52">
            <w:pPr>
              <w:jc w:val="center"/>
              <w:rPr>
                <w:rFonts w:hint="eastAsia" w:asciiTheme="minorEastAsia" w:hAnsiTheme="minorEastAsia" w:eastAsiaTheme="minorEastAsia" w:cstheme="minorEastAsia"/>
                <w:sz w:val="24"/>
                <w:szCs w:val="24"/>
                <w:vertAlign w:val="baseline"/>
                <w:lang w:val="en-US" w:eastAsia="zh-CN"/>
              </w:rPr>
            </w:pPr>
          </w:p>
          <w:p w14:paraId="4D079A82">
            <w:pPr>
              <w:jc w:val="center"/>
              <w:rPr>
                <w:rFonts w:hint="eastAsia" w:asciiTheme="minorEastAsia" w:hAnsiTheme="minorEastAsia" w:eastAsiaTheme="minorEastAsia" w:cstheme="minorEastAsia"/>
                <w:sz w:val="24"/>
                <w:szCs w:val="24"/>
                <w:vertAlign w:val="baseline"/>
                <w:lang w:val="en-US" w:eastAsia="zh-CN"/>
              </w:rPr>
            </w:pPr>
          </w:p>
          <w:p w14:paraId="282D6255">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1次/年</w:t>
            </w:r>
          </w:p>
        </w:tc>
        <w:tc>
          <w:tcPr>
            <w:tcW w:w="1967" w:type="dxa"/>
            <w:vMerge w:val="continue"/>
            <w:shd w:val="clear" w:color="auto" w:fill="auto"/>
            <w:vAlign w:val="center"/>
          </w:tcPr>
          <w:p w14:paraId="327BF222">
            <w:pPr>
              <w:jc w:val="center"/>
              <w:rPr>
                <w:rFonts w:hint="eastAsia" w:asciiTheme="minorEastAsia" w:hAnsiTheme="minorEastAsia" w:eastAsiaTheme="minorEastAsia" w:cstheme="minorEastAsia"/>
                <w:kern w:val="2"/>
                <w:sz w:val="24"/>
                <w:szCs w:val="24"/>
                <w:vertAlign w:val="baseline"/>
                <w:lang w:val="en-US" w:eastAsia="zh-CN" w:bidi="ar-SA"/>
              </w:rPr>
            </w:pPr>
          </w:p>
        </w:tc>
      </w:tr>
      <w:tr w14:paraId="4F71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7A310E3B">
            <w:pPr>
              <w:jc w:val="center"/>
              <w:rPr>
                <w:rFonts w:hint="eastAsia" w:asciiTheme="minorEastAsia" w:hAnsiTheme="minorEastAsia" w:eastAsiaTheme="minorEastAsia" w:cstheme="minorEastAsia"/>
                <w:sz w:val="24"/>
                <w:szCs w:val="24"/>
                <w:vertAlign w:val="baseline"/>
                <w:lang w:val="en-US" w:eastAsia="zh-CN"/>
              </w:rPr>
            </w:pPr>
          </w:p>
          <w:p w14:paraId="1E2C453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公共</w:t>
            </w:r>
          </w:p>
          <w:p w14:paraId="3E1F02D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场所</w:t>
            </w:r>
          </w:p>
        </w:tc>
        <w:tc>
          <w:tcPr>
            <w:tcW w:w="1950" w:type="dxa"/>
            <w:vAlign w:val="center"/>
          </w:tcPr>
          <w:p w14:paraId="7CE672C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门诊大楼1-3楼和外科大楼1-4楼的候诊大厅或候厅室</w:t>
            </w:r>
          </w:p>
        </w:tc>
        <w:tc>
          <w:tcPr>
            <w:tcW w:w="1305" w:type="dxa"/>
            <w:vAlign w:val="center"/>
          </w:tcPr>
          <w:p w14:paraId="071459A9">
            <w:pPr>
              <w:ind w:firstLine="480" w:firstLineChars="200"/>
              <w:jc w:val="center"/>
              <w:rPr>
                <w:rFonts w:hint="eastAsia" w:asciiTheme="minorEastAsia" w:hAnsiTheme="minorEastAsia" w:eastAsiaTheme="minorEastAsia" w:cstheme="minorEastAsia"/>
                <w:sz w:val="24"/>
                <w:szCs w:val="24"/>
                <w:vertAlign w:val="baseline"/>
                <w:lang w:val="en-US" w:eastAsia="zh-CN"/>
              </w:rPr>
            </w:pPr>
          </w:p>
          <w:p w14:paraId="424812B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各1</w:t>
            </w:r>
          </w:p>
          <w:p w14:paraId="74261FF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（共7）</w:t>
            </w:r>
          </w:p>
        </w:tc>
        <w:tc>
          <w:tcPr>
            <w:tcW w:w="3390" w:type="dxa"/>
            <w:vAlign w:val="center"/>
          </w:tcPr>
          <w:p w14:paraId="0D24917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照度、湿度、噪声、温度、可吸入颗粒物PM</w:t>
            </w:r>
            <w:r>
              <w:rPr>
                <w:rFonts w:hint="eastAsia" w:asciiTheme="minorEastAsia" w:hAnsiTheme="minorEastAsia" w:eastAsiaTheme="minorEastAsia" w:cstheme="minorEastAsia"/>
                <w:sz w:val="24"/>
                <w:szCs w:val="24"/>
                <w:vertAlign w:val="subscript"/>
                <w:lang w:val="en-US" w:eastAsia="zh-CN"/>
              </w:rPr>
              <w:t>10</w:t>
            </w:r>
            <w:r>
              <w:rPr>
                <w:rFonts w:hint="eastAsia" w:asciiTheme="minorEastAsia" w:hAnsiTheme="minorEastAsia" w:eastAsiaTheme="minorEastAsia" w:cstheme="minorEastAsia"/>
                <w:sz w:val="24"/>
                <w:szCs w:val="24"/>
                <w:vertAlign w:val="baseline"/>
                <w:lang w:val="en-US" w:eastAsia="zh-CN"/>
              </w:rPr>
              <w:t>、二氧化碳、一氧化碳、甲醛、氨、甲苯、二甲苯、苯、空气细菌总数</w:t>
            </w:r>
          </w:p>
        </w:tc>
        <w:tc>
          <w:tcPr>
            <w:tcW w:w="1297" w:type="dxa"/>
            <w:vAlign w:val="center"/>
          </w:tcPr>
          <w:p w14:paraId="1D4FEBB0">
            <w:pPr>
              <w:jc w:val="center"/>
              <w:rPr>
                <w:rFonts w:hint="eastAsia" w:asciiTheme="minorEastAsia" w:hAnsiTheme="minorEastAsia" w:eastAsiaTheme="minorEastAsia" w:cstheme="minorEastAsia"/>
                <w:sz w:val="24"/>
                <w:szCs w:val="24"/>
                <w:vertAlign w:val="baseline"/>
                <w:lang w:val="en-US" w:eastAsia="zh-CN"/>
              </w:rPr>
            </w:pPr>
          </w:p>
          <w:p w14:paraId="0DB492A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1次/年</w:t>
            </w:r>
          </w:p>
        </w:tc>
        <w:tc>
          <w:tcPr>
            <w:tcW w:w="1967" w:type="dxa"/>
            <w:vAlign w:val="center"/>
          </w:tcPr>
          <w:p w14:paraId="1F4EA400">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《公共场所卫生指标及限值要求》GB37488-2019</w:t>
            </w:r>
          </w:p>
        </w:tc>
      </w:tr>
    </w:tbl>
    <w:p w14:paraId="5C5A2007">
      <w:pPr>
        <w:keepNext w:val="0"/>
        <w:keepLines w:val="0"/>
        <w:pageBreakBefore w:val="0"/>
        <w:widowControl w:val="0"/>
        <w:numPr>
          <w:ilvl w:val="0"/>
          <w:numId w:val="2"/>
        </w:numPr>
        <w:tabs>
          <w:tab w:val="left" w:pos="3120"/>
        </w:tabs>
        <w:kinsoku/>
        <w:wordWrap/>
        <w:overflowPunct/>
        <w:topLinePunct w:val="0"/>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kern w:val="0"/>
          <w:sz w:val="28"/>
          <w:szCs w:val="28"/>
          <w:lang w:val="en-US" w:eastAsia="zh-CN"/>
        </w:rPr>
      </w:pPr>
      <w:r>
        <w:rPr>
          <w:rFonts w:hint="eastAsia" w:ascii="方正仿宋_GB2312" w:hAnsi="方正仿宋_GB2312" w:eastAsia="方正仿宋_GB2312" w:cs="方正仿宋_GB2312"/>
          <w:b/>
          <w:bCs/>
          <w:color w:val="auto"/>
          <w:kern w:val="0"/>
          <w:sz w:val="28"/>
          <w:szCs w:val="28"/>
          <w:lang w:val="en-US" w:eastAsia="zh-CN"/>
        </w:rPr>
        <w:t>技术要求</w:t>
      </w:r>
    </w:p>
    <w:p w14:paraId="0D9AA047">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1、采样、检测均需符合国家及行业相关标准。</w:t>
      </w:r>
    </w:p>
    <w:p w14:paraId="7547C455">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、供应商须具有二级微生物实验室；所有检测项目需保证从样品采集到实验室分析的有效性，特别是微生物样品保存期限为6小时。</w:t>
      </w:r>
    </w:p>
    <w:p w14:paraId="09D0D1C3">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、供应商应建立有采（取）样、实验室检测、报告出具全流程可追溯查询的管理系统，并对采（取）样、实验室检测、报告出具全流程的合法性负责。</w:t>
      </w:r>
      <w:r>
        <w:rPr>
          <w:rFonts w:hint="eastAsia" w:ascii="方正仿宋_GB2312" w:hAnsi="方正仿宋_GB2312" w:eastAsia="方正仿宋_GB2312" w:cs="方正仿宋_GB2312"/>
          <w:color w:val="auto"/>
          <w:sz w:val="28"/>
          <w:szCs w:val="28"/>
          <w:lang w:val="en-US" w:eastAsia="zh-CN"/>
        </w:rPr>
        <w:t>并及时将检测报告上传至四川政务网相关环保部门网站。</w:t>
      </w:r>
    </w:p>
    <w:p w14:paraId="2726A700">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、供应商用于本项目的实验室应符合RB/T 214-2017《检验检测机构资质认定能力评价检验检测机构通用要求》中对实验场地的规定。</w:t>
      </w:r>
    </w:p>
    <w:p w14:paraId="4C6D509E">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、具备固定的实验室和监测工作条件，采用经依法检定合格的监测仪器设备，有经过环境监测专业技术培训的工作人员。</w:t>
      </w:r>
    </w:p>
    <w:p w14:paraId="70795B01">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各类污染物采用国家及相关污染物排放标准、现行的环境保护部发布的国家或行业环境监测方法标准和技术规范规定的监测方法开展监测，所使用的仪器设备通过检定或校准，仪器设备操作遵守操作规程，保证监测结果的代表性、准确性和可比性，检测报告真实可靠。</w:t>
      </w:r>
    </w:p>
    <w:p w14:paraId="10BD9A68">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、监测相关数据记录规范、完整，包括采样记录、样品保存与交接、样品分析记录、监测报告等。</w:t>
      </w:r>
    </w:p>
    <w:p w14:paraId="3709D446">
      <w:pPr>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8</w:t>
      </w:r>
      <w:r>
        <w:rPr>
          <w:rFonts w:hint="eastAsia" w:ascii="方正仿宋_GB2312" w:hAnsi="方正仿宋_GB2312" w:eastAsia="方正仿宋_GB2312" w:cs="方正仿宋_GB2312"/>
          <w:color w:val="auto"/>
          <w:sz w:val="28"/>
          <w:szCs w:val="28"/>
        </w:rPr>
        <w:t>、供应商须按采购人要求的指标项目及频次开展检测工作，接采购人通知后24小时内应派人员到采购人院区指定地点进行现场取样或检测，供应商每检测一次，向采购人出具检测报告两份。</w:t>
      </w:r>
      <w:r>
        <w:rPr>
          <w:rFonts w:hint="eastAsia" w:ascii="方正仿宋_GB2312" w:hAnsi="方正仿宋_GB2312" w:eastAsia="方正仿宋_GB2312" w:cs="方正仿宋_GB2312"/>
          <w:color w:val="auto"/>
          <w:sz w:val="28"/>
          <w:szCs w:val="28"/>
          <w:lang w:val="en-US" w:eastAsia="zh-CN"/>
        </w:rPr>
        <w:t>所有检测项目均需按照表格中标准规范的要求进行采样、检测和评价，出具的检测报告均需具备相应资质并加盖CMA章。同一检测范围内的检测项目均需出具在同一份报告中（血液透析中心、病理科、医学检验科、肿瘤科、公共场所各1份报告），不同检测范围的检测项目不得混合出具在同一份报告中。若违反上述任一要求，则整份视为无效报告，扣除该份报告所对应金额的1.5倍。</w:t>
      </w:r>
    </w:p>
    <w:p w14:paraId="78F7F452">
      <w:pPr>
        <w:ind w:firstLine="48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9</w:t>
      </w:r>
      <w:r>
        <w:rPr>
          <w:rFonts w:hint="eastAsia" w:ascii="方正仿宋_GB2312" w:hAnsi="方正仿宋_GB2312" w:eastAsia="方正仿宋_GB2312" w:cs="方正仿宋_GB2312"/>
          <w:color w:val="auto"/>
          <w:sz w:val="28"/>
          <w:szCs w:val="28"/>
        </w:rPr>
        <w:t>、供应商应按照</w:t>
      </w:r>
      <w:r>
        <w:rPr>
          <w:rFonts w:hint="eastAsia" w:ascii="方正仿宋_GB2312" w:hAnsi="方正仿宋_GB2312" w:eastAsia="方正仿宋_GB2312" w:cs="方正仿宋_GB2312"/>
          <w:color w:val="auto"/>
          <w:sz w:val="28"/>
          <w:szCs w:val="28"/>
          <w:lang w:val="en-US" w:eastAsia="zh-CN"/>
        </w:rPr>
        <w:t>采购人</w:t>
      </w:r>
      <w:r>
        <w:rPr>
          <w:rFonts w:hint="eastAsia" w:ascii="方正仿宋_GB2312" w:hAnsi="方正仿宋_GB2312" w:eastAsia="方正仿宋_GB2312" w:cs="方正仿宋_GB2312"/>
          <w:color w:val="auto"/>
          <w:sz w:val="28"/>
          <w:szCs w:val="28"/>
        </w:rPr>
        <w:t>院感</w:t>
      </w:r>
      <w:r>
        <w:rPr>
          <w:rFonts w:hint="eastAsia" w:ascii="方正仿宋_GB2312" w:hAnsi="方正仿宋_GB2312" w:eastAsia="方正仿宋_GB2312" w:cs="方正仿宋_GB2312"/>
          <w:color w:val="auto"/>
          <w:sz w:val="28"/>
          <w:szCs w:val="28"/>
          <w:lang w:val="en-US" w:eastAsia="zh-CN"/>
        </w:rPr>
        <w:t>科</w:t>
      </w:r>
      <w:r>
        <w:rPr>
          <w:rFonts w:hint="eastAsia" w:ascii="方正仿宋_GB2312" w:hAnsi="方正仿宋_GB2312" w:eastAsia="方正仿宋_GB2312" w:cs="方正仿宋_GB2312"/>
          <w:color w:val="auto"/>
          <w:sz w:val="28"/>
          <w:szCs w:val="28"/>
        </w:rPr>
        <w:t>的要求按时完成检测，并及时出具合法有效的检测报告。</w:t>
      </w:r>
      <w:r>
        <w:rPr>
          <w:rFonts w:hint="eastAsia" w:ascii="方正仿宋_GB2312" w:hAnsi="方正仿宋_GB2312" w:eastAsia="方正仿宋_GB2312" w:cs="方正仿宋_GB2312"/>
          <w:color w:val="auto"/>
          <w:sz w:val="28"/>
          <w:szCs w:val="28"/>
          <w:lang w:val="en-US" w:eastAsia="zh-CN"/>
        </w:rPr>
        <w:t>供应商须在合同签订后的20个工作日内完成对所有检测项目的采样，于合同签订后的40个工作日内出具完整报告并将电子版和纸质版的报告发送/寄送至医院，若未在合同约定期限内完成，逾期时间按照200元/天扣除金额。</w:t>
      </w:r>
    </w:p>
    <w:p w14:paraId="498EB8BC">
      <w:pPr>
        <w:ind w:firstLine="48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10</w:t>
      </w:r>
      <w:r>
        <w:rPr>
          <w:rFonts w:hint="eastAsia" w:ascii="方正仿宋_GB2312" w:hAnsi="方正仿宋_GB2312" w:eastAsia="方正仿宋_GB2312" w:cs="方正仿宋_GB2312"/>
          <w:color w:val="auto"/>
          <w:sz w:val="28"/>
          <w:szCs w:val="28"/>
        </w:rPr>
        <w:t>、供应商所提供的服务应等于或优于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对服务技术参数要求，不得出现负偏离。每批检测项目附有相应的检验报告资料。若</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中的技术要求无明确说明，则按国家有关部门及行业最新颁布的要求为准。</w:t>
      </w:r>
      <w:r>
        <w:rPr>
          <w:rFonts w:hint="eastAsia" w:ascii="方正仿宋_GB2312" w:hAnsi="方正仿宋_GB2312" w:eastAsia="方正仿宋_GB2312" w:cs="方正仿宋_GB2312"/>
          <w:color w:val="auto"/>
          <w:sz w:val="28"/>
          <w:szCs w:val="28"/>
          <w:lang w:val="en-US" w:eastAsia="zh-CN"/>
        </w:rPr>
        <w:t>供应商出具报告时应对其进行审核，报告中不得出现缺项漏项，若出现缺项漏项则按照该项单价的1.2倍扣除金额。报告内容应符合现场实际情况和相应标准规范的要求（检测范围、检测项目名称、项目标准限值、检测评价所依据的规范等），若出现上述错误，每有一处则扣除200元。</w:t>
      </w:r>
    </w:p>
    <w:p w14:paraId="4B4AA5D0">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供应商提供因检测问题产生的二次上门服务。采购人提出需求后，由供应商派人到采购人指定的院内地点和采购人指定人员对接，按采购人工作人员诉求按时提供解释和检测服务，供应商在履约过程中，不得引起采购人工作人员投诉，经采购人核实确为供应商原因造成的采购人工作人员投诉的，视为供应商违约。供应商对现场不能提供的服务，要做好解释工作。</w:t>
      </w:r>
    </w:p>
    <w:p w14:paraId="15059DB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方正仿宋_GB2312" w:hAnsi="方正仿宋_GB2312" w:eastAsia="方正仿宋_GB2312" w:cs="方正仿宋_GB2312"/>
          <w:color w:val="auto"/>
          <w:sz w:val="28"/>
          <w:szCs w:val="28"/>
          <w:lang w:eastAsia="zh-CN"/>
        </w:rPr>
        <w:t>或</w:t>
      </w:r>
      <w:r>
        <w:rPr>
          <w:rFonts w:hint="eastAsia" w:ascii="方正仿宋_GB2312" w:hAnsi="方正仿宋_GB2312" w:eastAsia="方正仿宋_GB2312" w:cs="方正仿宋_GB2312"/>
          <w:color w:val="auto"/>
          <w:sz w:val="28"/>
          <w:szCs w:val="28"/>
        </w:rPr>
        <w:t>由此而导致的采购人对任何第三方的法律责任等，供应商对此均应承担全部的赔偿责任和法律责任。</w:t>
      </w:r>
    </w:p>
    <w:p w14:paraId="3EB3A817">
      <w:pPr>
        <w:keepNext w:val="0"/>
        <w:keepLines w:val="0"/>
        <w:pageBreakBefore w:val="0"/>
        <w:widowControl w:val="0"/>
        <w:kinsoku/>
        <w:wordWrap/>
        <w:overflowPunct/>
        <w:topLinePunct w:val="0"/>
        <w:bidi w:val="0"/>
        <w:adjustRightInd/>
        <w:snapToGrid/>
        <w:spacing w:line="560" w:lineRule="exact"/>
        <w:ind w:firstLine="551" w:firstLineChars="196"/>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lang w:val="en-US" w:eastAsia="zh-CN"/>
        </w:rPr>
        <w:t>六</w:t>
      </w:r>
      <w:r>
        <w:rPr>
          <w:rFonts w:hint="eastAsia" w:ascii="方正仿宋_GB2312" w:hAnsi="方正仿宋_GB2312" w:eastAsia="方正仿宋_GB2312" w:cs="方正仿宋_GB2312"/>
          <w:b/>
          <w:color w:val="auto"/>
          <w:sz w:val="28"/>
          <w:szCs w:val="28"/>
        </w:rPr>
        <w:t>、</w:t>
      </w:r>
      <w:r>
        <w:rPr>
          <w:rFonts w:hint="eastAsia" w:ascii="方正仿宋_GB2312" w:hAnsi="方正仿宋_GB2312" w:eastAsia="方正仿宋_GB2312" w:cs="方正仿宋_GB2312"/>
          <w:b/>
          <w:color w:val="auto"/>
          <w:sz w:val="28"/>
          <w:szCs w:val="28"/>
          <w:lang w:val="en-US" w:eastAsia="zh-CN"/>
        </w:rPr>
        <w:t>本项目的服务要求</w:t>
      </w:r>
    </w:p>
    <w:p w14:paraId="1993F5DF">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供应商</w:t>
      </w:r>
      <w:r>
        <w:rPr>
          <w:rFonts w:hint="eastAsia" w:ascii="方正仿宋_GB2312" w:hAnsi="方正仿宋_GB2312" w:eastAsia="方正仿宋_GB2312" w:cs="方正仿宋_GB2312"/>
          <w:color w:val="auto"/>
          <w:sz w:val="28"/>
          <w:szCs w:val="28"/>
          <w:lang w:val="en-US" w:eastAsia="zh-CN"/>
        </w:rPr>
        <w:t>不遵守本文件下列服务要求</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val="en-US" w:eastAsia="zh-CN"/>
        </w:rPr>
        <w:t>将</w:t>
      </w:r>
      <w:r>
        <w:rPr>
          <w:rFonts w:hint="eastAsia" w:ascii="方正仿宋_GB2312" w:hAnsi="方正仿宋_GB2312" w:eastAsia="方正仿宋_GB2312" w:cs="方正仿宋_GB2312"/>
          <w:color w:val="auto"/>
          <w:sz w:val="28"/>
          <w:szCs w:val="28"/>
        </w:rPr>
        <w:t>每次从服务费中扣除300元/次，对供应商违反</w:t>
      </w:r>
      <w:r>
        <w:rPr>
          <w:rFonts w:hint="eastAsia" w:ascii="方正仿宋_GB2312" w:hAnsi="方正仿宋_GB2312" w:eastAsia="方正仿宋_GB2312" w:cs="方正仿宋_GB2312"/>
          <w:color w:val="auto"/>
          <w:sz w:val="28"/>
          <w:szCs w:val="28"/>
          <w:lang w:val="en-US" w:eastAsia="zh-CN"/>
        </w:rPr>
        <w:t>本文件下列服务要求</w:t>
      </w:r>
      <w:r>
        <w:rPr>
          <w:rFonts w:hint="eastAsia" w:ascii="方正仿宋_GB2312" w:hAnsi="方正仿宋_GB2312" w:eastAsia="方正仿宋_GB2312" w:cs="方正仿宋_GB2312"/>
          <w:color w:val="auto"/>
          <w:sz w:val="28"/>
          <w:szCs w:val="28"/>
        </w:rPr>
        <w:t>的多种行为，采购人可累计扣款。</w:t>
      </w:r>
      <w:r>
        <w:rPr>
          <w:rFonts w:hint="eastAsia" w:ascii="方正仿宋_GB2312" w:hAnsi="方正仿宋_GB2312" w:eastAsia="方正仿宋_GB2312" w:cs="方正仿宋_GB2312"/>
          <w:color w:val="auto"/>
          <w:sz w:val="28"/>
          <w:szCs w:val="28"/>
          <w:lang w:val="en-US" w:eastAsia="zh-CN"/>
        </w:rPr>
        <w:t>同时此项扣款不免除供应商应当承担的违约责任。</w:t>
      </w:r>
    </w:p>
    <w:p w14:paraId="7CC7D166">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每次检测</w:t>
      </w:r>
      <w:r>
        <w:rPr>
          <w:rFonts w:hint="eastAsia" w:ascii="方正仿宋_GB2312" w:hAnsi="方正仿宋_GB2312" w:eastAsia="方正仿宋_GB2312" w:cs="方正仿宋_GB2312"/>
          <w:color w:val="auto"/>
          <w:sz w:val="28"/>
          <w:szCs w:val="28"/>
          <w:lang w:val="en-US" w:eastAsia="zh-CN"/>
        </w:rPr>
        <w:t>提供</w:t>
      </w:r>
      <w:r>
        <w:rPr>
          <w:rFonts w:hint="eastAsia" w:ascii="方正仿宋_GB2312" w:hAnsi="方正仿宋_GB2312" w:eastAsia="方正仿宋_GB2312" w:cs="方正仿宋_GB2312"/>
          <w:color w:val="auto"/>
          <w:sz w:val="28"/>
          <w:szCs w:val="28"/>
        </w:rPr>
        <w:t>报告一式二份，寄给采购人院感科办公室</w:t>
      </w:r>
      <w:r>
        <w:rPr>
          <w:rFonts w:hint="eastAsia" w:ascii="方正仿宋_GB2312" w:hAnsi="方正仿宋_GB2312" w:eastAsia="方正仿宋_GB2312" w:cs="方正仿宋_GB2312"/>
          <w:color w:val="auto"/>
          <w:sz w:val="28"/>
          <w:szCs w:val="28"/>
          <w:lang w:val="en-US" w:eastAsia="zh-CN"/>
        </w:rPr>
        <w:t>。</w:t>
      </w:r>
      <w:r>
        <w:rPr>
          <w:rFonts w:hint="eastAsia" w:ascii="方正仿宋_GB2312" w:hAnsi="方正仿宋_GB2312" w:eastAsia="方正仿宋_GB2312" w:cs="方正仿宋_GB2312"/>
          <w:color w:val="auto"/>
          <w:sz w:val="28"/>
          <w:szCs w:val="28"/>
        </w:rPr>
        <w:t>每次检测完毕后</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及时出具检测报告，告知采购人检测报告情况，及时处理检测中遇到的各种情况，并将检测报告派送至采购人指定工作人员处（可以邮寄但需联系快递公司派送至工作人员处当面交接，以免检测报告丢失</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不得暂存至快递柜或快递收发点</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w:t>
      </w:r>
    </w:p>
    <w:p w14:paraId="6247C8E8">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至少固定一名商务对接人员，未经采购人同意，不得变更商务对接人员，该商务人员负责与采购人工作人员对接上门服务时间，检测内容，对检测报告进行解答。负责提供清晰、明了、包含品目、检测服务内容、单价、样品数、次数、检测科室的服务费用结算清单。该商务人员负责在每次检测服务完毕后，将结算清单给采购人各科室工作人员签字确认。</w:t>
      </w:r>
    </w:p>
    <w:p w14:paraId="65057B9E">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该商务人员负责定期将采购人各科室签字确认的结算清单和采购人职能科室进行核对，核对无误后，该商务人员将</w:t>
      </w:r>
      <w:r>
        <w:rPr>
          <w:rFonts w:hint="eastAsia" w:ascii="方正仿宋_GB2312" w:hAnsi="方正仿宋_GB2312" w:eastAsia="方正仿宋_GB2312" w:cs="方正仿宋_GB2312"/>
          <w:color w:val="auto"/>
          <w:sz w:val="28"/>
          <w:szCs w:val="28"/>
          <w:lang w:val="en-US" w:eastAsia="zh-CN"/>
        </w:rPr>
        <w:t>清晰</w:t>
      </w:r>
      <w:r>
        <w:rPr>
          <w:rFonts w:hint="eastAsia" w:ascii="方正仿宋_GB2312" w:hAnsi="方正仿宋_GB2312" w:eastAsia="方正仿宋_GB2312" w:cs="方正仿宋_GB2312"/>
          <w:color w:val="auto"/>
          <w:sz w:val="28"/>
          <w:szCs w:val="28"/>
        </w:rPr>
        <w:t>、明了、签字完毕的结算清单和发票交接给采购人总务科。</w:t>
      </w:r>
    </w:p>
    <w:p w14:paraId="369B9F62">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3、采购人提前24小时通知供应商上门服务，双方约定服务时间后，供应商必须</w:t>
      </w:r>
      <w:r>
        <w:rPr>
          <w:rFonts w:hint="eastAsia" w:ascii="方正仿宋_GB2312" w:hAnsi="方正仿宋_GB2312" w:eastAsia="方正仿宋_GB2312" w:cs="方正仿宋_GB2312"/>
          <w:color w:val="auto"/>
          <w:sz w:val="28"/>
          <w:szCs w:val="28"/>
        </w:rPr>
        <w:t>按约定上门服务，</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更改上门服务时间，</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延迟上门服务，</w:t>
      </w:r>
      <w:r>
        <w:rPr>
          <w:rFonts w:hint="eastAsia" w:ascii="方正仿宋_GB2312" w:hAnsi="方正仿宋_GB2312" w:eastAsia="方正仿宋_GB2312" w:cs="方正仿宋_GB2312"/>
          <w:color w:val="auto"/>
          <w:sz w:val="28"/>
          <w:szCs w:val="28"/>
          <w:lang w:val="en-US" w:eastAsia="zh-CN"/>
        </w:rPr>
        <w:t>必须</w:t>
      </w:r>
      <w:r>
        <w:rPr>
          <w:rFonts w:hint="eastAsia" w:ascii="方正仿宋_GB2312" w:hAnsi="方正仿宋_GB2312" w:eastAsia="方正仿宋_GB2312" w:cs="方正仿宋_GB2312"/>
          <w:color w:val="auto"/>
          <w:sz w:val="28"/>
          <w:szCs w:val="28"/>
        </w:rPr>
        <w:t>履行核对签字结算单。</w:t>
      </w:r>
    </w:p>
    <w:p w14:paraId="674CC536">
      <w:pPr>
        <w:pStyle w:val="17"/>
        <w:keepNext w:val="0"/>
        <w:keepLines w:val="0"/>
        <w:pageBreakBefore w:val="0"/>
        <w:widowControl w:val="0"/>
        <w:kinsoku/>
        <w:wordWrap/>
        <w:overflowPunct/>
        <w:topLinePunct w:val="0"/>
        <w:bidi w:val="0"/>
        <w:adjustRightInd/>
        <w:snapToGrid/>
        <w:spacing w:line="560" w:lineRule="exact"/>
        <w:ind w:left="420" w:leftChars="200" w:firstLine="281" w:firstLineChars="1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七</w:t>
      </w:r>
      <w:r>
        <w:rPr>
          <w:rFonts w:hint="eastAsia" w:ascii="方正仿宋_GB2312" w:hAnsi="方正仿宋_GB2312" w:eastAsia="方正仿宋_GB2312" w:cs="方正仿宋_GB2312"/>
          <w:b/>
          <w:color w:val="auto"/>
          <w:sz w:val="28"/>
          <w:szCs w:val="28"/>
        </w:rPr>
        <w:t>、商务要求</w:t>
      </w:r>
    </w:p>
    <w:p w14:paraId="33391FC9">
      <w:pPr>
        <w:pStyle w:val="21"/>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（一）合同的履行期限</w:t>
      </w:r>
    </w:p>
    <w:p w14:paraId="1DB09BBE">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1、双方签订采购合同生效之日起，合同履行期限不超过1年。</w:t>
      </w:r>
    </w:p>
    <w:p w14:paraId="354E943B">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2、双方签订采购合同生效之日起，至</w:t>
      </w:r>
      <w:r>
        <w:rPr>
          <w:rFonts w:hint="eastAsia" w:ascii="方正仿宋_GB2312" w:hAnsi="方正仿宋_GB2312" w:eastAsia="方正仿宋_GB2312" w:cs="方正仿宋_GB2312"/>
          <w:color w:val="auto"/>
          <w:sz w:val="28"/>
          <w:szCs w:val="28"/>
        </w:rPr>
        <w:t>本项目采购总金额达到</w:t>
      </w:r>
      <w:r>
        <w:rPr>
          <w:rFonts w:hint="eastAsia" w:ascii="方正仿宋_GB2312" w:hAnsi="方正仿宋_GB2312" w:eastAsia="方正仿宋_GB2312" w:cs="方正仿宋_GB2312"/>
          <w:color w:val="auto"/>
          <w:sz w:val="28"/>
          <w:szCs w:val="28"/>
          <w:lang w:val="en-US" w:eastAsia="zh-CN"/>
        </w:rPr>
        <w:t>合同总价截止。若合同履行期间，采购人检测项目数量或频次发生变化，已实际发生量据实结算金额，且不超过合同总价截止。</w:t>
      </w:r>
    </w:p>
    <w:p w14:paraId="221594EF">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27BBE11">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（三）合同中止的约定：若国家行政管理部门根据相应法律法规，要求采购人解除本合同，即使本项目采购总金额未达到本项目总预算，本合同仍然立即终止。</w:t>
      </w:r>
    </w:p>
    <w:p w14:paraId="47C8E799">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四</w:t>
      </w:r>
      <w:r>
        <w:rPr>
          <w:rFonts w:hint="eastAsia" w:ascii="方正仿宋_GB2312" w:hAnsi="方正仿宋_GB2312" w:eastAsia="方正仿宋_GB2312" w:cs="方正仿宋_GB2312"/>
          <w:color w:val="auto"/>
          <w:sz w:val="28"/>
          <w:szCs w:val="28"/>
        </w:rPr>
        <w:t>）项目履行地点：大竹县人民医院院内指定地点。</w:t>
      </w:r>
    </w:p>
    <w:p w14:paraId="5BFB0B88">
      <w:pPr>
        <w:pStyle w:val="13"/>
        <w:keepNext w:val="0"/>
        <w:keepLines w:val="0"/>
        <w:pageBreakBefore w:val="0"/>
        <w:widowControl w:val="0"/>
        <w:kinsoku/>
        <w:wordWrap/>
        <w:overflowPunct/>
        <w:topLinePunct w:val="0"/>
        <w:bidi w:val="0"/>
        <w:adjustRightInd/>
        <w:snapToGrid/>
        <w:spacing w:line="560" w:lineRule="exact"/>
        <w:ind w:left="630" w:leftChars="3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五</w:t>
      </w:r>
      <w:r>
        <w:rPr>
          <w:rFonts w:hint="eastAsia" w:ascii="方正仿宋_GB2312" w:hAnsi="方正仿宋_GB2312" w:eastAsia="方正仿宋_GB2312" w:cs="方正仿宋_GB2312"/>
          <w:color w:val="auto"/>
          <w:sz w:val="28"/>
          <w:szCs w:val="28"/>
        </w:rPr>
        <w:t>）项目付款方式</w:t>
      </w:r>
      <w:r>
        <w:rPr>
          <w:rFonts w:hint="eastAsia" w:ascii="方正仿宋_GB2312" w:hAnsi="方正仿宋_GB2312" w:eastAsia="方正仿宋_GB2312" w:cs="方正仿宋_GB2312"/>
          <w:color w:val="auto"/>
          <w:sz w:val="28"/>
          <w:szCs w:val="28"/>
          <w:lang w:val="en-US" w:eastAsia="zh-CN"/>
        </w:rPr>
        <w:t>及验收方式</w:t>
      </w:r>
    </w:p>
    <w:p w14:paraId="6C5427F4">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、采购人采用银行转账方式付款，采购人付款前，成交供应商必须提供</w:t>
      </w:r>
      <w:r>
        <w:rPr>
          <w:rFonts w:hint="eastAsia" w:ascii="方正仿宋_GB2312" w:hAnsi="方正仿宋_GB2312" w:eastAsia="方正仿宋_GB2312" w:cs="方正仿宋_GB2312"/>
          <w:color w:val="auto"/>
          <w:sz w:val="28"/>
          <w:szCs w:val="28"/>
          <w:lang w:val="en-US" w:eastAsia="zh-CN"/>
        </w:rPr>
        <w:t>服务结算</w:t>
      </w:r>
      <w:r>
        <w:rPr>
          <w:rFonts w:hint="eastAsia" w:ascii="方正仿宋_GB2312" w:hAnsi="方正仿宋_GB2312" w:eastAsia="方正仿宋_GB2312" w:cs="方正仿宋_GB2312"/>
          <w:color w:val="auto"/>
          <w:sz w:val="28"/>
          <w:szCs w:val="28"/>
        </w:rPr>
        <w:t>清单</w:t>
      </w:r>
      <w:r>
        <w:rPr>
          <w:rFonts w:hint="eastAsia" w:ascii="方正仿宋_GB2312" w:hAnsi="方正仿宋_GB2312" w:eastAsia="方正仿宋_GB2312" w:cs="方正仿宋_GB2312"/>
          <w:color w:val="auto"/>
          <w:sz w:val="28"/>
          <w:szCs w:val="28"/>
          <w:lang w:val="en-US" w:eastAsia="zh-CN"/>
        </w:rPr>
        <w:t>给采购人</w:t>
      </w:r>
      <w:r>
        <w:rPr>
          <w:rFonts w:hint="eastAsia" w:ascii="方正仿宋_GB2312" w:hAnsi="方正仿宋_GB2312" w:eastAsia="方正仿宋_GB2312" w:cs="方正仿宋_GB2312"/>
          <w:color w:val="auto"/>
          <w:sz w:val="28"/>
          <w:szCs w:val="28"/>
        </w:rPr>
        <w:t>院感科办公室</w:t>
      </w:r>
      <w:r>
        <w:rPr>
          <w:rFonts w:hint="eastAsia" w:ascii="方正仿宋_GB2312" w:hAnsi="方正仿宋_GB2312" w:eastAsia="方正仿宋_GB2312" w:cs="方正仿宋_GB2312"/>
          <w:color w:val="auto"/>
          <w:sz w:val="28"/>
          <w:szCs w:val="28"/>
          <w:lang w:val="en-US" w:eastAsia="zh-CN"/>
        </w:rPr>
        <w:t>核对签字</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成交供应商的服务结算清单应清楚、准确、明晰，</w:t>
      </w:r>
      <w:r>
        <w:rPr>
          <w:rFonts w:hint="eastAsia" w:ascii="方正仿宋_GB2312" w:hAnsi="方正仿宋_GB2312" w:eastAsia="方正仿宋_GB2312" w:cs="方正仿宋_GB2312"/>
          <w:color w:val="auto"/>
          <w:sz w:val="28"/>
          <w:szCs w:val="28"/>
        </w:rPr>
        <w:t>成交供应商必须出具国家认可的足额有效发票，否则采购人有权拒绝付款。</w:t>
      </w:r>
      <w:r>
        <w:rPr>
          <w:rFonts w:hint="eastAsia" w:ascii="方正仿宋_GB2312" w:hAnsi="方正仿宋_GB2312" w:eastAsia="方正仿宋_GB2312" w:cs="方正仿宋_GB2312"/>
          <w:color w:val="auto"/>
          <w:sz w:val="28"/>
          <w:szCs w:val="28"/>
          <w:lang w:val="en-US" w:eastAsia="zh-CN"/>
        </w:rPr>
        <w:t>一般纳税人应开具增值税发票。</w:t>
      </w:r>
    </w:p>
    <w:p w14:paraId="7E7FC0F3">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双方核对一致后，成交供应商才可开具发票。</w:t>
      </w:r>
      <w:r>
        <w:rPr>
          <w:rFonts w:hint="eastAsia" w:ascii="方正仿宋_GB2312" w:hAnsi="方正仿宋_GB2312" w:eastAsia="方正仿宋_GB2312" w:cs="方正仿宋_GB2312"/>
          <w:color w:val="auto"/>
          <w:sz w:val="28"/>
          <w:szCs w:val="28"/>
        </w:rPr>
        <w:t>每</w:t>
      </w:r>
      <w:r>
        <w:rPr>
          <w:rFonts w:hint="eastAsia" w:ascii="方正仿宋_GB2312" w:hAnsi="方正仿宋_GB2312" w:eastAsia="方正仿宋_GB2312" w:cs="方正仿宋_GB2312"/>
          <w:color w:val="auto"/>
          <w:sz w:val="28"/>
          <w:szCs w:val="28"/>
          <w:lang w:val="en-US" w:eastAsia="zh-CN"/>
        </w:rPr>
        <w:t>次</w:t>
      </w:r>
      <w:r>
        <w:rPr>
          <w:rFonts w:hint="eastAsia" w:ascii="方正仿宋_GB2312" w:hAnsi="方正仿宋_GB2312" w:eastAsia="方正仿宋_GB2312" w:cs="方正仿宋_GB2312"/>
          <w:color w:val="auto"/>
          <w:sz w:val="28"/>
          <w:szCs w:val="28"/>
        </w:rPr>
        <w:t>采购人在收到成交供应商前款所述有效票据后，</w:t>
      </w:r>
      <w:r>
        <w:rPr>
          <w:rFonts w:hint="eastAsia" w:ascii="方正仿宋_GB2312" w:hAnsi="方正仿宋_GB2312" w:eastAsia="方正仿宋_GB2312" w:cs="方正仿宋_GB2312"/>
          <w:color w:val="auto"/>
          <w:sz w:val="28"/>
          <w:szCs w:val="28"/>
          <w:lang w:val="en-US" w:eastAsia="zh-CN"/>
        </w:rPr>
        <w:t>90</w:t>
      </w:r>
      <w:r>
        <w:rPr>
          <w:rFonts w:hint="eastAsia" w:ascii="方正仿宋_GB2312" w:hAnsi="方正仿宋_GB2312" w:eastAsia="方正仿宋_GB2312" w:cs="方正仿宋_GB2312"/>
          <w:color w:val="auto"/>
          <w:sz w:val="28"/>
          <w:szCs w:val="28"/>
        </w:rPr>
        <w:t>日内转账支付成交供应商该批次</w:t>
      </w:r>
      <w:r>
        <w:rPr>
          <w:rFonts w:hint="eastAsia" w:ascii="方正仿宋_GB2312" w:hAnsi="方正仿宋_GB2312" w:eastAsia="方正仿宋_GB2312" w:cs="方正仿宋_GB2312"/>
          <w:color w:val="auto"/>
          <w:sz w:val="28"/>
          <w:szCs w:val="28"/>
          <w:lang w:val="en-US" w:eastAsia="zh-CN"/>
        </w:rPr>
        <w:t>服务费</w:t>
      </w:r>
      <w:r>
        <w:rPr>
          <w:rFonts w:hint="eastAsia" w:ascii="方正仿宋_GB2312" w:hAnsi="方正仿宋_GB2312" w:eastAsia="方正仿宋_GB2312" w:cs="方正仿宋_GB2312"/>
          <w:color w:val="auto"/>
          <w:sz w:val="28"/>
          <w:szCs w:val="28"/>
        </w:rPr>
        <w:t>。</w:t>
      </w:r>
    </w:p>
    <w:p w14:paraId="799E0311">
      <w:pPr>
        <w:pStyle w:val="21"/>
        <w:keepNext w:val="0"/>
        <w:keepLines w:val="0"/>
        <w:pageBreakBefore w:val="0"/>
        <w:widowControl w:val="0"/>
        <w:kinsoku/>
        <w:wordWrap/>
        <w:overflowPunct/>
        <w:topLinePunct w:val="0"/>
        <w:bidi w:val="0"/>
        <w:adjustRightInd/>
        <w:snapToGrid/>
        <w:spacing w:line="560" w:lineRule="exact"/>
        <w:ind w:firstLine="422" w:firstLineChars="150"/>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（六）违约责任</w:t>
      </w:r>
    </w:p>
    <w:p w14:paraId="612EF63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1、供应商必须严格按照国家相关法律法规和</w:t>
      </w:r>
      <w:r>
        <w:rPr>
          <w:rFonts w:hint="eastAsia" w:ascii="方正仿宋_GB2312" w:hAnsi="方正仿宋_GB2312" w:eastAsia="方正仿宋_GB2312" w:cs="方正仿宋_GB2312"/>
          <w:bCs/>
          <w:color w:val="auto"/>
          <w:sz w:val="28"/>
          <w:szCs w:val="28"/>
          <w:lang w:eastAsia="zh-CN"/>
        </w:rPr>
        <w:t>本文件</w:t>
      </w:r>
      <w:r>
        <w:rPr>
          <w:rFonts w:hint="eastAsia" w:ascii="方正仿宋_GB2312" w:hAnsi="方正仿宋_GB2312" w:eastAsia="方正仿宋_GB2312" w:cs="方正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63E667A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有下列情形之一行为视为供应商违约，采购人有权按照以下条款要求成交供应商承担违约金及违约责任：</w:t>
      </w:r>
    </w:p>
    <w:p w14:paraId="44FF4195">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（2）成交供应商提供的服务根本违约（例如提供</w:t>
      </w:r>
      <w:r>
        <w:rPr>
          <w:rFonts w:hint="eastAsia" w:ascii="方正仿宋_GB2312" w:hAnsi="方正仿宋_GB2312" w:eastAsia="方正仿宋_GB2312" w:cs="方正仿宋_GB2312"/>
          <w:color w:val="auto"/>
          <w:sz w:val="28"/>
          <w:szCs w:val="28"/>
          <w:lang w:val="en-US" w:eastAsia="zh-CN"/>
        </w:rPr>
        <w:t>虚假检测报告</w:t>
      </w:r>
      <w:r>
        <w:rPr>
          <w:rFonts w:hint="eastAsia" w:ascii="方正仿宋_GB2312" w:hAnsi="方正仿宋_GB2312" w:eastAsia="方正仿宋_GB2312" w:cs="方正仿宋_GB2312"/>
          <w:color w:val="auto"/>
          <w:sz w:val="28"/>
          <w:szCs w:val="28"/>
        </w:rPr>
        <w:t>或</w:t>
      </w:r>
      <w:r>
        <w:rPr>
          <w:rFonts w:hint="eastAsia" w:ascii="方正仿宋_GB2312" w:hAnsi="方正仿宋_GB2312" w:eastAsia="方正仿宋_GB2312" w:cs="方正仿宋_GB2312"/>
          <w:color w:val="auto"/>
          <w:sz w:val="28"/>
          <w:szCs w:val="28"/>
          <w:lang w:val="en-US" w:eastAsia="zh-CN"/>
        </w:rPr>
        <w:t>错误检测报告或</w:t>
      </w:r>
      <w:r>
        <w:rPr>
          <w:rFonts w:hint="eastAsia" w:ascii="方正仿宋_GB2312" w:hAnsi="方正仿宋_GB2312" w:eastAsia="方正仿宋_GB2312" w:cs="方正仿宋_GB2312"/>
          <w:color w:val="auto"/>
          <w:sz w:val="28"/>
          <w:szCs w:val="28"/>
        </w:rPr>
        <w:t>提供的检测报告不符合国家相关法律法规要求的），致使合同的目的不能实现的，成交供应商应向采购人缴纳合同总价款20%的违约金，同时采购人有权解除合同。</w:t>
      </w:r>
    </w:p>
    <w:p w14:paraId="4C4A0933">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（3）成交供应商延迟履约，即成交供应商应向采购人提供的服务未按合同约定时间达成的，成交供应商每有一次违约行为，采购人将扣除成交供应商</w:t>
      </w:r>
      <w:r>
        <w:rPr>
          <w:rFonts w:hint="eastAsia" w:ascii="方正仿宋_GB2312" w:hAnsi="方正仿宋_GB2312" w:eastAsia="方正仿宋_GB2312" w:cs="方正仿宋_GB2312"/>
          <w:color w:val="auto"/>
          <w:sz w:val="28"/>
          <w:szCs w:val="28"/>
          <w:lang w:eastAsia="zh-CN"/>
        </w:rPr>
        <w:t>当次</w:t>
      </w:r>
      <w:r>
        <w:rPr>
          <w:rFonts w:hint="eastAsia" w:ascii="方正仿宋_GB2312" w:hAnsi="方正仿宋_GB2312" w:eastAsia="方正仿宋_GB2312" w:cs="方正仿宋_GB2312"/>
          <w:color w:val="auto"/>
          <w:sz w:val="28"/>
          <w:szCs w:val="28"/>
        </w:rPr>
        <w:t>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rPr>
        <w:t>200元，供应商经采购人催告后应继续按合同约定履行合同。若供应商</w:t>
      </w:r>
      <w:r>
        <w:rPr>
          <w:rFonts w:hint="eastAsia" w:ascii="方正仿宋_GB2312" w:hAnsi="方正仿宋_GB2312" w:eastAsia="方正仿宋_GB2312" w:cs="方正仿宋_GB2312"/>
          <w:color w:val="auto"/>
          <w:sz w:val="28"/>
          <w:szCs w:val="28"/>
          <w:lang w:val="en-US" w:eastAsia="zh-CN"/>
        </w:rPr>
        <w:t>一年内3次延迟履约</w:t>
      </w:r>
      <w:r>
        <w:rPr>
          <w:rFonts w:hint="eastAsia" w:ascii="方正仿宋_GB2312" w:hAnsi="方正仿宋_GB2312" w:eastAsia="方正仿宋_GB2312" w:cs="方正仿宋_GB2312"/>
          <w:color w:val="auto"/>
          <w:sz w:val="28"/>
          <w:szCs w:val="28"/>
        </w:rPr>
        <w:t>，则成交供应商应向采购人缴纳合同总价款5%的违约金，同时采购人有权解除合同。</w:t>
      </w:r>
    </w:p>
    <w:p w14:paraId="563A5144">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（4）成交供应商所供的服务瑕疵违约</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如发现标本遗失、漏查项目</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要求或采购人采购需求不符的，成交供应商应承担修理、重作、更换、退货、减少价款或者报酬等违约责任。同时成交供应商每有一次违约行为，采购人将扣除成交供应商当</w:t>
      </w:r>
      <w:r>
        <w:rPr>
          <w:rFonts w:hint="eastAsia" w:ascii="方正仿宋_GB2312" w:hAnsi="方正仿宋_GB2312" w:eastAsia="方正仿宋_GB2312" w:cs="方正仿宋_GB2312"/>
          <w:color w:val="auto"/>
          <w:sz w:val="28"/>
          <w:szCs w:val="28"/>
          <w:lang w:val="en-US" w:eastAsia="zh-CN"/>
        </w:rPr>
        <w:t>次</w:t>
      </w:r>
      <w:r>
        <w:rPr>
          <w:rFonts w:hint="eastAsia" w:ascii="方正仿宋_GB2312" w:hAnsi="方正仿宋_GB2312" w:eastAsia="方正仿宋_GB2312" w:cs="方正仿宋_GB2312"/>
          <w:color w:val="auto"/>
          <w:sz w:val="28"/>
          <w:szCs w:val="28"/>
        </w:rPr>
        <w:t>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00元，供应商出现</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次本款所列违约行为，成交供应商应向采购人支付合同总价款</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%的违约金，同时采购人有权解除合同。经采购人同意后，供应商更正瑕疵违约行为后，可以继续按合同约定履行合同。</w:t>
      </w:r>
    </w:p>
    <w:p w14:paraId="72D840CF">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bookmarkStart w:id="3" w:name="★4.4_违约处理"/>
      <w:bookmarkEnd w:id="3"/>
      <w:r>
        <w:rPr>
          <w:rFonts w:hint="eastAsia" w:ascii="方正仿宋_GB2312" w:hAnsi="方正仿宋_GB2312" w:eastAsia="方正仿宋_GB2312" w:cs="方正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1A0D265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八、本项目</w:t>
      </w:r>
      <w:r>
        <w:rPr>
          <w:rFonts w:hint="eastAsia" w:ascii="方正仿宋_GB2312" w:hAnsi="方正仿宋_GB2312" w:eastAsia="方正仿宋_GB2312" w:cs="方正仿宋_GB2312"/>
          <w:b/>
          <w:bCs/>
          <w:color w:val="auto"/>
          <w:sz w:val="28"/>
          <w:szCs w:val="28"/>
        </w:rPr>
        <w:t>报价</w:t>
      </w:r>
    </w:p>
    <w:p w14:paraId="10E3A966">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rPr>
        <w:t>1、本项目采购总预算为：</w:t>
      </w:r>
      <w:r>
        <w:rPr>
          <w:rFonts w:hint="default" w:ascii="Arial" w:hAnsi="Arial" w:eastAsia="仿宋" w:cs="Arial"/>
          <w:color w:val="auto"/>
          <w:sz w:val="28"/>
          <w:szCs w:val="28"/>
          <w:lang w:val="en-US" w:eastAsia="zh-CN"/>
        </w:rPr>
        <w:t>××</w:t>
      </w:r>
      <w:r>
        <w:rPr>
          <w:rFonts w:hint="eastAsia" w:ascii="方正仿宋_GB2312" w:hAnsi="方正仿宋_GB2312" w:eastAsia="方正仿宋_GB2312" w:cs="方正仿宋_GB2312"/>
          <w:color w:val="auto"/>
          <w:sz w:val="28"/>
          <w:szCs w:val="28"/>
          <w:lang w:val="en-US" w:eastAsia="zh-CN"/>
        </w:rPr>
        <w:t>元</w:t>
      </w:r>
      <w:r>
        <w:rPr>
          <w:rFonts w:hint="eastAsia" w:ascii="方正仿宋_GB2312" w:hAnsi="方正仿宋_GB2312" w:eastAsia="方正仿宋_GB2312" w:cs="方正仿宋_GB2312"/>
          <w:color w:val="auto"/>
          <w:sz w:val="28"/>
          <w:szCs w:val="28"/>
        </w:rPr>
        <w:t>（大写：人民币</w:t>
      </w:r>
      <w:r>
        <w:rPr>
          <w:rFonts w:hint="default" w:ascii="Arial" w:hAnsi="Arial" w:eastAsia="仿宋" w:cs="Arial"/>
          <w:color w:val="auto"/>
          <w:sz w:val="28"/>
          <w:szCs w:val="28"/>
          <w:lang w:val="en-US" w:eastAsia="zh-CN"/>
        </w:rPr>
        <w:t>××</w:t>
      </w:r>
      <w:r>
        <w:rPr>
          <w:rFonts w:hint="eastAsia" w:ascii="方正仿宋_GB2312" w:hAnsi="方正仿宋_GB2312" w:eastAsia="方正仿宋_GB2312" w:cs="方正仿宋_GB2312"/>
          <w:color w:val="auto"/>
          <w:sz w:val="28"/>
          <w:szCs w:val="28"/>
          <w:lang w:val="en-US" w:eastAsia="zh-CN"/>
        </w:rPr>
        <w:t>元</w:t>
      </w:r>
      <w:r>
        <w:rPr>
          <w:rFonts w:hint="eastAsia" w:ascii="方正仿宋_GB2312" w:hAnsi="方正仿宋_GB2312" w:eastAsia="方正仿宋_GB2312" w:cs="方正仿宋_GB2312"/>
          <w:color w:val="auto"/>
          <w:sz w:val="28"/>
          <w:szCs w:val="28"/>
        </w:rPr>
        <w:t>整）。</w:t>
      </w:r>
      <w:r>
        <w:rPr>
          <w:rFonts w:hint="eastAsia" w:ascii="方正仿宋_GB2312" w:hAnsi="方正仿宋_GB2312" w:eastAsia="方正仿宋_GB2312" w:cs="方正仿宋_GB2312"/>
          <w:color w:val="auto"/>
          <w:sz w:val="28"/>
          <w:szCs w:val="28"/>
          <w:lang w:val="en-US" w:eastAsia="zh-CN"/>
        </w:rPr>
        <w:t>供应商报价不得超出</w:t>
      </w:r>
      <w:r>
        <w:rPr>
          <w:rFonts w:hint="eastAsia" w:ascii="方正仿宋_GB2312" w:hAnsi="方正仿宋_GB2312" w:eastAsia="方正仿宋_GB2312" w:cs="方正仿宋_GB2312"/>
          <w:color w:val="auto"/>
          <w:sz w:val="28"/>
          <w:szCs w:val="28"/>
          <w:highlight w:val="none"/>
        </w:rPr>
        <w:t>本项目总预算</w:t>
      </w:r>
      <w:r>
        <w:rPr>
          <w:rFonts w:hint="eastAsia" w:ascii="方正仿宋_GB2312" w:hAnsi="方正仿宋_GB2312" w:eastAsia="方正仿宋_GB2312" w:cs="方正仿宋_GB2312"/>
          <w:color w:val="auto"/>
          <w:sz w:val="28"/>
          <w:szCs w:val="28"/>
          <w:highlight w:val="none"/>
          <w:lang w:val="en-US" w:eastAsia="zh-CN"/>
        </w:rPr>
        <w:t>金额。</w:t>
      </w:r>
    </w:p>
    <w:p w14:paraId="0D0465F5">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本项目为交钥匙工程，供应商为实现采购人院区相关科室按规定时间完成相应检测项目，费用包含检测费、报告、运费、人工、税费等一切费用，采购人无须另向</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支付其他任何费用（采购人要求</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 xml:space="preserve">在合同标的外的检测服务内容除外）。供应商应将提供的检测服务至采购人指定地点，并满足采购人正常使用需求。 </w:t>
      </w:r>
    </w:p>
    <w:p w14:paraId="291E82B7">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u w:val="single"/>
        </w:rPr>
        <w:t>本项目</w:t>
      </w:r>
      <w:r>
        <w:rPr>
          <w:rFonts w:hint="eastAsia" w:ascii="方正仿宋_GB2312" w:hAnsi="方正仿宋_GB2312" w:eastAsia="方正仿宋_GB2312" w:cs="方正仿宋_GB2312"/>
          <w:color w:val="auto"/>
          <w:sz w:val="28"/>
          <w:szCs w:val="28"/>
          <w:u w:val="single"/>
          <w:lang w:val="en-US" w:eastAsia="zh-CN"/>
        </w:rPr>
        <w:t>检测</w:t>
      </w:r>
      <w:r>
        <w:rPr>
          <w:rFonts w:hint="eastAsia" w:ascii="方正仿宋_GB2312" w:hAnsi="方正仿宋_GB2312" w:eastAsia="方正仿宋_GB2312" w:cs="方正仿宋_GB2312"/>
          <w:color w:val="auto"/>
          <w:sz w:val="28"/>
          <w:szCs w:val="28"/>
          <w:u w:val="single"/>
        </w:rPr>
        <w:t>数量采购人当前无法确定，为预计采购数量</w:t>
      </w:r>
      <w:r>
        <w:rPr>
          <w:rFonts w:hint="eastAsia" w:ascii="方正仿宋_GB2312" w:hAnsi="方正仿宋_GB2312" w:eastAsia="方正仿宋_GB2312" w:cs="方正仿宋_GB2312"/>
          <w:color w:val="auto"/>
          <w:sz w:val="28"/>
          <w:szCs w:val="28"/>
        </w:rPr>
        <w:t>，供应商成交后，根据采购人的需求进行</w:t>
      </w:r>
      <w:r>
        <w:rPr>
          <w:rFonts w:hint="eastAsia" w:ascii="方正仿宋_GB2312" w:hAnsi="方正仿宋_GB2312" w:eastAsia="方正仿宋_GB2312" w:cs="方正仿宋_GB2312"/>
          <w:color w:val="auto"/>
          <w:sz w:val="28"/>
          <w:szCs w:val="28"/>
          <w:lang w:val="en-US" w:eastAsia="zh-CN"/>
        </w:rPr>
        <w:t>检测</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u w:val="single"/>
        </w:rPr>
        <w:t>最终</w:t>
      </w:r>
      <w:r>
        <w:rPr>
          <w:rFonts w:hint="eastAsia" w:ascii="方正仿宋_GB2312" w:hAnsi="方正仿宋_GB2312" w:eastAsia="方正仿宋_GB2312" w:cs="方正仿宋_GB2312"/>
          <w:color w:val="auto"/>
          <w:sz w:val="28"/>
          <w:szCs w:val="28"/>
          <w:u w:val="single"/>
          <w:lang w:val="en-US" w:eastAsia="zh-CN"/>
        </w:rPr>
        <w:t>检测服务</w:t>
      </w:r>
      <w:r>
        <w:rPr>
          <w:rFonts w:hint="eastAsia" w:ascii="方正仿宋_GB2312" w:hAnsi="方正仿宋_GB2312" w:eastAsia="方正仿宋_GB2312" w:cs="方正仿宋_GB2312"/>
          <w:color w:val="auto"/>
          <w:sz w:val="28"/>
          <w:szCs w:val="28"/>
          <w:u w:val="single"/>
        </w:rPr>
        <w:t>采购数量以合同履行期内采购人实际需求为准</w:t>
      </w:r>
      <w:r>
        <w:rPr>
          <w:rFonts w:hint="eastAsia" w:ascii="方正仿宋_GB2312" w:hAnsi="方正仿宋_GB2312" w:eastAsia="方正仿宋_GB2312" w:cs="方正仿宋_GB2312"/>
          <w:color w:val="auto"/>
          <w:sz w:val="28"/>
          <w:szCs w:val="28"/>
        </w:rPr>
        <w:t>。</w:t>
      </w:r>
    </w:p>
    <w:p w14:paraId="50459B80">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结算时以采购人实际需要的各项</w:t>
      </w:r>
      <w:r>
        <w:rPr>
          <w:rFonts w:hint="eastAsia" w:ascii="方正仿宋_GB2312" w:hAnsi="方正仿宋_GB2312" w:eastAsia="方正仿宋_GB2312" w:cs="方正仿宋_GB2312"/>
          <w:color w:val="auto"/>
          <w:sz w:val="28"/>
          <w:szCs w:val="28"/>
          <w:u w:val="single"/>
          <w:lang w:val="en-US" w:eastAsia="zh-CN"/>
        </w:rPr>
        <w:t>检测服务</w:t>
      </w:r>
      <w:r>
        <w:rPr>
          <w:rFonts w:hint="eastAsia" w:ascii="方正仿宋_GB2312" w:hAnsi="方正仿宋_GB2312" w:eastAsia="方正仿宋_GB2312" w:cs="方正仿宋_GB2312"/>
          <w:color w:val="auto"/>
          <w:sz w:val="28"/>
          <w:szCs w:val="28"/>
        </w:rPr>
        <w:t>数量分别乘以各项</w:t>
      </w:r>
      <w:r>
        <w:rPr>
          <w:rFonts w:hint="eastAsia" w:ascii="方正仿宋_GB2312" w:hAnsi="方正仿宋_GB2312" w:eastAsia="方正仿宋_GB2312" w:cs="方正仿宋_GB2312"/>
          <w:color w:val="auto"/>
          <w:sz w:val="28"/>
          <w:szCs w:val="28"/>
          <w:lang w:val="en-US" w:eastAsia="zh-CN"/>
        </w:rPr>
        <w:t>品目</w:t>
      </w:r>
      <w:r>
        <w:rPr>
          <w:rFonts w:hint="eastAsia" w:ascii="方正仿宋_GB2312" w:hAnsi="方正仿宋_GB2312" w:eastAsia="方正仿宋_GB2312" w:cs="方正仿宋_GB2312"/>
          <w:color w:val="auto"/>
          <w:sz w:val="28"/>
          <w:szCs w:val="28"/>
        </w:rPr>
        <w:t>成交单价为准。合同履行期内，最终采购人采购总金额不超过本项目总</w:t>
      </w:r>
      <w:r>
        <w:rPr>
          <w:rFonts w:hint="eastAsia" w:ascii="方正仿宋_GB2312" w:hAnsi="方正仿宋_GB2312" w:eastAsia="方正仿宋_GB2312" w:cs="方正仿宋_GB2312"/>
          <w:color w:val="auto"/>
          <w:sz w:val="28"/>
          <w:szCs w:val="28"/>
          <w:lang w:val="en-US" w:eastAsia="zh-CN"/>
        </w:rPr>
        <w:t>成交</w:t>
      </w:r>
      <w:r>
        <w:rPr>
          <w:rFonts w:hint="eastAsia" w:ascii="方正仿宋_GB2312" w:hAnsi="方正仿宋_GB2312" w:eastAsia="方正仿宋_GB2312" w:cs="方正仿宋_GB2312"/>
          <w:color w:val="auto"/>
          <w:sz w:val="28"/>
          <w:szCs w:val="28"/>
        </w:rPr>
        <w:t>金额。</w:t>
      </w:r>
    </w:p>
    <w:p w14:paraId="07B817CF">
      <w:pPr>
        <w:jc w:val="center"/>
        <w:rPr>
          <w:rFonts w:hint="eastAsia"/>
          <w:b/>
          <w:color w:val="auto"/>
          <w:sz w:val="32"/>
          <w:szCs w:val="32"/>
          <w:lang w:val="en-US" w:eastAsia="zh-CN"/>
        </w:rPr>
      </w:pPr>
    </w:p>
    <w:p w14:paraId="140E9E73">
      <w:pPr>
        <w:jc w:val="center"/>
        <w:rPr>
          <w:rFonts w:hint="eastAsia"/>
          <w:b/>
          <w:color w:val="auto"/>
          <w:sz w:val="32"/>
          <w:szCs w:val="32"/>
          <w:lang w:val="en-US" w:eastAsia="zh-CN"/>
        </w:rPr>
      </w:pPr>
      <w:r>
        <w:rPr>
          <w:rFonts w:hint="eastAsia"/>
          <w:b/>
          <w:color w:val="auto"/>
          <w:sz w:val="32"/>
          <w:szCs w:val="32"/>
          <w:lang w:val="en-US" w:eastAsia="zh-CN"/>
        </w:rPr>
        <w:t>供应商报价</w:t>
      </w:r>
    </w:p>
    <w:tbl>
      <w:tblPr>
        <w:tblStyle w:val="9"/>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2108"/>
        <w:gridCol w:w="1231"/>
        <w:gridCol w:w="3057"/>
        <w:gridCol w:w="816"/>
        <w:gridCol w:w="743"/>
        <w:gridCol w:w="1288"/>
      </w:tblGrid>
      <w:tr w14:paraId="760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3671F">
            <w:pPr>
              <w:pStyle w:val="21"/>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大竹县人民医院环境卫生学指标第三方检测服务项目</w:t>
            </w:r>
          </w:p>
          <w:p w14:paraId="12A2A051">
            <w:pPr>
              <w:pStyle w:val="21"/>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竹医总采（遴）【2025-9-15】号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09D9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22AD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B8D88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检测范围</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EC824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检测数量</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99C9E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检测项目</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3F70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检测频次</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884AC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年检测次数</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04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报价（元）</w:t>
            </w:r>
          </w:p>
        </w:tc>
      </w:tr>
      <w:tr w14:paraId="429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CCB1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血液透析中心</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566D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透析用水：1号水机、2号水机的出水端和末端</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387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56DAD6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96B1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化学污染物：铝、总氯、铜、氟化物、铅、硝酸盐（氮）、硫酸盐、锌、钙、镁、钾、钠、锑、砷、钡、铍、镉、铬、汞、硒、银、铊</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BA42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034F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22BE3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4ACC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2186F5">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695A3C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病理科</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4951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8B4443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切片室、取材室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6E8B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3C3D08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各1</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15B695">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26091E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甲醛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D2903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86FC8F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E51C9">
            <w:pPr>
              <w:keepNext w:val="0"/>
              <w:keepLines w:val="0"/>
              <w:suppressLineNumbers w:val="0"/>
              <w:spacing w:before="0" w:beforeAutospacing="0" w:after="0" w:afterAutospacing="0"/>
              <w:ind w:left="0" w:right="0"/>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2EB1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7B33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E796">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医学</w:t>
            </w:r>
          </w:p>
          <w:p w14:paraId="3822201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检验科</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EF8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生物安全柜</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AA246">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7</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CC6B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垂直气流平均风速、工作窗口气流流向、工作窗口气流平均风速、工作区洁净度、噪声、照度、高效空气过滤器泄露检测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2092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D7E796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5C8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AB8D8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22B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2B80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3CD3FEAB">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肿瘤科</w:t>
            </w:r>
          </w:p>
        </w:tc>
        <w:tc>
          <w:tcPr>
            <w:tcW w:w="210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A613D4E">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6934D8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生物安全柜</w:t>
            </w:r>
          </w:p>
        </w:tc>
        <w:tc>
          <w:tcPr>
            <w:tcW w:w="12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F71668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D1D3CC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305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960C30B">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3FA34D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垂直气流平均风速、工作窗口气流流向、工作窗口气流平均风速、工作区洁净度、噪声、照度、高效空气过滤器泄露检测</w:t>
            </w:r>
          </w:p>
        </w:tc>
        <w:tc>
          <w:tcPr>
            <w:tcW w:w="816"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C7E61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A45977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65EE0FF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3D9FA2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FA59F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2830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D53F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145C355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公共</w:t>
            </w:r>
          </w:p>
          <w:p w14:paraId="0793D6C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场所</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84D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门诊大楼1-3楼和外科大楼1-4楼的候诊大厅或候厅室</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94DCE">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7C2FA58">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各1</w:t>
            </w:r>
          </w:p>
          <w:p w14:paraId="095717C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（共7）</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56F4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照度、湿度、噪声、温度、可吸入颗粒物PM10、二氧化碳、一氧化碳、甲醛、氨、甲苯、二甲苯、苯、空气细菌总数</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5602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4AB86F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5D8C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FD57B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4A90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F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供应商为完成本项目的其他包干费用（元）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1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0A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3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项目合计总费用（元）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73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bl>
    <w:p w14:paraId="305031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本文件共10页，供应商已阅读全部内容，并清楚知晓其含义且无异议，供应商同意遵守本文件所有内容，并签字盖章进行报价。</w:t>
      </w:r>
    </w:p>
    <w:p w14:paraId="1F897EFC">
      <w:pPr>
        <w:pStyle w:val="2"/>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法定代表人或授权代表（签字或盖章）</w:t>
      </w:r>
      <w:r>
        <w:rPr>
          <w:rFonts w:hint="eastAsia" w:ascii="方正仿宋_GB2312" w:hAnsi="方正仿宋_GB2312" w:eastAsia="方正仿宋_GB2312" w:cs="方正仿宋_GB2312"/>
          <w:bCs/>
          <w:color w:val="auto"/>
          <w:sz w:val="28"/>
          <w:szCs w:val="28"/>
        </w:rPr>
        <w:t>：</w:t>
      </w:r>
    </w:p>
    <w:p w14:paraId="6FF4374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Cs/>
          <w:color w:val="auto"/>
          <w:sz w:val="28"/>
          <w:szCs w:val="28"/>
        </w:rPr>
        <w:t>日期</w:t>
      </w:r>
      <w:r>
        <w:rPr>
          <w:rFonts w:hint="eastAsia" w:ascii="方正仿宋_GB2312" w:hAnsi="方正仿宋_GB2312" w:eastAsia="方正仿宋_GB2312" w:cs="方正仿宋_GB2312"/>
          <w:bCs/>
          <w:color w:val="auto"/>
          <w:sz w:val="28"/>
          <w:szCs w:val="28"/>
          <w:lang w:eastAsia="zh-CN"/>
        </w:rPr>
        <w:t>：</w:t>
      </w:r>
    </w:p>
    <w:p w14:paraId="0F60FA4B">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附件：</w:t>
      </w:r>
    </w:p>
    <w:p w14:paraId="59618508">
      <w:pPr>
        <w:pStyle w:val="2"/>
        <w:rPr>
          <w:rFonts w:hint="eastAsia"/>
          <w:color w:val="auto"/>
          <w:lang w:val="en-US" w:eastAsia="zh-CN"/>
        </w:rPr>
      </w:pPr>
    </w:p>
    <w:p w14:paraId="6C9F4677">
      <w:pPr>
        <w:pStyle w:val="21"/>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525B0DEA">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69B72EC7">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（法定代表人姓名、职务）授权</w:t>
      </w:r>
      <w:r>
        <w:rPr>
          <w:rFonts w:hint="eastAsia" w:ascii="仿宋" w:hAnsi="仿宋" w:eastAsia="仿宋" w:cs="仿宋"/>
          <w:color w:val="auto"/>
          <w:sz w:val="28"/>
          <w:szCs w:val="28"/>
          <w:u w:val="single"/>
          <w:lang w:val="en-US" w:eastAsia="zh-CN"/>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竹医总采（遴）</w:t>
      </w:r>
      <w:r>
        <w:rPr>
          <w:rFonts w:hint="eastAsia" w:ascii="仿宋" w:hAnsi="仿宋" w:eastAsia="仿宋" w:cs="仿宋"/>
          <w:color w:val="auto"/>
          <w:sz w:val="28"/>
          <w:szCs w:val="28"/>
        </w:rPr>
        <w:t>【】号“</w:t>
      </w:r>
      <w:r>
        <w:rPr>
          <w:rFonts w:hint="eastAsia" w:ascii="仿宋" w:hAnsi="仿宋" w:eastAsia="仿宋" w:cs="仿宋"/>
          <w:color w:val="auto"/>
          <w:sz w:val="28"/>
          <w:szCs w:val="28"/>
          <w:u w:val="single"/>
          <w:lang w:val="en-US" w:eastAsia="zh-CN"/>
        </w:rPr>
        <w:t xml:space="preserve"> 大竹县人民医院环境卫生学指标第三方检测服务项目 </w:t>
      </w:r>
      <w:r>
        <w:rPr>
          <w:rFonts w:hint="eastAsia" w:ascii="仿宋" w:hAnsi="仿宋" w:eastAsia="仿宋" w:cs="仿宋"/>
          <w:color w:val="auto"/>
          <w:sz w:val="28"/>
          <w:szCs w:val="28"/>
        </w:rPr>
        <w:t>”项目遴选活动的合法代表，以我方名义全权处理该项目有关报价、签订合同以及执行合同等一切事宜。</w:t>
      </w:r>
    </w:p>
    <w:p w14:paraId="05D98A2E">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634BA76C">
      <w:pPr>
        <w:pStyle w:val="21"/>
        <w:spacing w:line="360" w:lineRule="auto"/>
        <w:ind w:firstLine="560"/>
        <w:rPr>
          <w:rFonts w:ascii="仿宋" w:hAnsi="仿宋" w:eastAsia="仿宋" w:cs="仿宋"/>
          <w:color w:val="auto"/>
          <w:sz w:val="28"/>
          <w:szCs w:val="28"/>
        </w:rPr>
      </w:pPr>
    </w:p>
    <w:p w14:paraId="288E3E50">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5A60F1C7">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01817F0E">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3ACBFA84">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1B45C48">
      <w:pPr>
        <w:pStyle w:val="21"/>
        <w:spacing w:line="360" w:lineRule="auto"/>
        <w:ind w:firstLine="562"/>
        <w:rPr>
          <w:rFonts w:ascii="仿宋" w:hAnsi="仿宋" w:eastAsia="仿宋" w:cs="仿宋"/>
          <w:b/>
          <w:bCs/>
          <w:color w:val="auto"/>
          <w:sz w:val="28"/>
          <w:szCs w:val="28"/>
        </w:rPr>
      </w:pPr>
    </w:p>
    <w:p w14:paraId="3E9B8565">
      <w:pPr>
        <w:pStyle w:val="21"/>
        <w:spacing w:line="360" w:lineRule="auto"/>
        <w:ind w:firstLine="562"/>
        <w:rPr>
          <w:rFonts w:ascii="仿宋" w:hAnsi="仿宋" w:eastAsia="仿宋" w:cs="仿宋"/>
          <w:b/>
          <w:bCs/>
          <w:color w:val="auto"/>
          <w:sz w:val="28"/>
          <w:szCs w:val="28"/>
        </w:rPr>
      </w:pPr>
    </w:p>
    <w:p w14:paraId="41B06025">
      <w:pPr>
        <w:pStyle w:val="21"/>
        <w:spacing w:line="360" w:lineRule="auto"/>
        <w:ind w:firstLine="562"/>
        <w:rPr>
          <w:rFonts w:ascii="仿宋" w:hAnsi="仿宋" w:eastAsia="仿宋" w:cs="仿宋"/>
          <w:b/>
          <w:bCs/>
          <w:color w:val="auto"/>
          <w:sz w:val="28"/>
          <w:szCs w:val="28"/>
        </w:rPr>
      </w:pPr>
    </w:p>
    <w:p w14:paraId="3DE64D55">
      <w:pPr>
        <w:pStyle w:val="21"/>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CB5F5F9">
      <w:pPr>
        <w:pStyle w:val="21"/>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9BC208-49E4-4F65-82A9-B083AD5516F8}"/>
  </w:font>
  <w:font w:name="黑体">
    <w:panose1 w:val="02010609060101010101"/>
    <w:charset w:val="86"/>
    <w:family w:val="auto"/>
    <w:pitch w:val="default"/>
    <w:sig w:usb0="800002BF" w:usb1="38CF7CFA" w:usb2="00000016" w:usb3="00000000" w:csb0="00040001" w:csb1="00000000"/>
    <w:embedRegular r:id="rId2" w:fontKey="{62921B61-4C07-49B7-8772-9F5F580B67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92BD4BA-1AB5-4C83-A808-6CFA6C760A9C}"/>
  </w:font>
  <w:font w:name="方正公文小标宋">
    <w:panose1 w:val="02000500000000000000"/>
    <w:charset w:val="86"/>
    <w:family w:val="auto"/>
    <w:pitch w:val="default"/>
    <w:sig w:usb0="A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4" w:fontKey="{8E254A21-E537-4591-A51A-73335E0D2BB5}"/>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B9150"/>
    <w:multiLevelType w:val="singleLevel"/>
    <w:tmpl w:val="4D1B9150"/>
    <w:lvl w:ilvl="0" w:tentative="0">
      <w:start w:val="5"/>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2E5491"/>
    <w:rsid w:val="063227FF"/>
    <w:rsid w:val="065F0587"/>
    <w:rsid w:val="08F33D56"/>
    <w:rsid w:val="09A0066E"/>
    <w:rsid w:val="0ECD1690"/>
    <w:rsid w:val="144025BE"/>
    <w:rsid w:val="14CF3044"/>
    <w:rsid w:val="15220BC8"/>
    <w:rsid w:val="1560229E"/>
    <w:rsid w:val="17030584"/>
    <w:rsid w:val="179A293D"/>
    <w:rsid w:val="17BF580F"/>
    <w:rsid w:val="180E65EC"/>
    <w:rsid w:val="1BF2151B"/>
    <w:rsid w:val="1C4B1F3E"/>
    <w:rsid w:val="1CD852E5"/>
    <w:rsid w:val="1F58038B"/>
    <w:rsid w:val="1F8D77DC"/>
    <w:rsid w:val="1FDE2037"/>
    <w:rsid w:val="23A5639B"/>
    <w:rsid w:val="258C7F61"/>
    <w:rsid w:val="28786771"/>
    <w:rsid w:val="2891066C"/>
    <w:rsid w:val="289417F0"/>
    <w:rsid w:val="31424657"/>
    <w:rsid w:val="32244145"/>
    <w:rsid w:val="366C2A9A"/>
    <w:rsid w:val="372B7A8B"/>
    <w:rsid w:val="38810B87"/>
    <w:rsid w:val="40C22153"/>
    <w:rsid w:val="41151AA5"/>
    <w:rsid w:val="43704724"/>
    <w:rsid w:val="461D3D87"/>
    <w:rsid w:val="493B5F6F"/>
    <w:rsid w:val="4C003951"/>
    <w:rsid w:val="556A015F"/>
    <w:rsid w:val="583A23D4"/>
    <w:rsid w:val="5AF0321E"/>
    <w:rsid w:val="5C4473D9"/>
    <w:rsid w:val="5D0D746A"/>
    <w:rsid w:val="609D30B7"/>
    <w:rsid w:val="63163A3E"/>
    <w:rsid w:val="66682803"/>
    <w:rsid w:val="67544551"/>
    <w:rsid w:val="6A402300"/>
    <w:rsid w:val="6A8C2ACD"/>
    <w:rsid w:val="6B130C73"/>
    <w:rsid w:val="6BFF6BC0"/>
    <w:rsid w:val="70DD55C8"/>
    <w:rsid w:val="77000E67"/>
    <w:rsid w:val="777B723A"/>
    <w:rsid w:val="7A74131E"/>
    <w:rsid w:val="7AD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next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qFormat/>
    <w:uiPriority w:val="0"/>
    <w:rPr>
      <w:rFonts w:ascii="Arial" w:hAnsi="Arial" w:cs="Arial"/>
      <w:color w:val="000000"/>
      <w:sz w:val="24"/>
      <w:szCs w:val="24"/>
      <w:u w:val="none"/>
    </w:rPr>
  </w:style>
  <w:style w:type="character" w:customStyle="1" w:styleId="20">
    <w:name w:val="font31"/>
    <w:basedOn w:val="11"/>
    <w:qFormat/>
    <w:uiPriority w:val="0"/>
    <w:rPr>
      <w:rFonts w:hint="eastAsia" w:ascii="仿宋" w:hAnsi="仿宋" w:eastAsia="仿宋" w:cs="仿宋"/>
      <w:color w:val="000000"/>
      <w:sz w:val="24"/>
      <w:szCs w:val="24"/>
      <w:u w:val="none"/>
    </w:rPr>
  </w:style>
  <w:style w:type="paragraph" w:styleId="21">
    <w:name w:val="List Paragraph"/>
    <w:basedOn w:val="1"/>
    <w:qFormat/>
    <w:uiPriority w:val="0"/>
    <w:pPr>
      <w:ind w:firstLine="420" w:firstLineChars="200"/>
    </w:pPr>
    <w:rPr>
      <w:szCs w:val="24"/>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6105</Words>
  <Characters>6235</Characters>
  <Lines>0</Lines>
  <Paragraphs>0</Paragraphs>
  <TotalTime>53</TotalTime>
  <ScaleCrop>false</ScaleCrop>
  <LinksUpToDate>false</LinksUpToDate>
  <CharactersWithSpaces>6289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2025-10-14T00:58:00Z</cp:lastPrinted>
  <dcterms:modified xsi:type="dcterms:W3CDTF">2025-10-30T08:07:09Z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37EFF2F5685D48898B907A5919B4EDEF_12</vt:lpwstr>
  </property>
  <property fmtid="{D5CDD505-2E9C-101B-9397-08002B2CF9AE}" pid="4" name="KSOTemplateDocerSaveRecord">
    <vt:lpwstr>eyJoZGlkIjoiNjg1ZWU4MDFjNjNjZDU0NzE4MDljMTE1NmQzZDg3OGUiLCJ1c2VySWQiOiI0NTY0NDMzOTMifQ==</vt:lpwstr>
  </property>
</Properties>
</file>