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0F76C">
      <w:pPr>
        <w:pStyle w:val="7"/>
        <w:tabs>
          <w:tab w:val="left" w:pos="0"/>
        </w:tabs>
        <w:spacing w:line="360" w:lineRule="auto"/>
        <w:ind w:firstLine="560" w:firstLineChars="200"/>
        <w:jc w:val="center"/>
        <w:rPr>
          <w:rFonts w:hint="eastAsia" w:ascii="仿宋_GB2312" w:hAnsi="微软雅黑" w:eastAsia="仿宋_GB2312" w:cs="仿宋_GB2312"/>
          <w:i w:val="0"/>
          <w:iCs w:val="0"/>
          <w:caps w:val="0"/>
          <w:color w:val="222222"/>
          <w:spacing w:val="0"/>
          <w:kern w:val="0"/>
          <w:sz w:val="28"/>
          <w:szCs w:val="28"/>
          <w:vertAlign w:val="baseline"/>
          <w:lang w:val="en-US" w:eastAsia="zh-CN" w:bidi="ar"/>
        </w:rPr>
      </w:pPr>
      <w:r>
        <w:rPr>
          <w:rFonts w:hint="eastAsia" w:ascii="仿宋_GB2312" w:hAnsi="微软雅黑" w:eastAsia="仿宋_GB2312" w:cs="仿宋_GB2312"/>
          <w:i w:val="0"/>
          <w:iCs w:val="0"/>
          <w:caps w:val="0"/>
          <w:color w:val="222222"/>
          <w:spacing w:val="0"/>
          <w:kern w:val="0"/>
          <w:sz w:val="28"/>
          <w:szCs w:val="28"/>
          <w:vertAlign w:val="baseline"/>
          <w:lang w:val="en-US" w:eastAsia="zh-CN" w:bidi="ar"/>
        </w:rPr>
        <w:t>台式电脑维修项目市场价格征询表</w:t>
      </w:r>
    </w:p>
    <w:p w14:paraId="723FD22F">
      <w:pPr>
        <w:pStyle w:val="7"/>
        <w:tabs>
          <w:tab w:val="left" w:pos="0"/>
        </w:tabs>
        <w:spacing w:line="360" w:lineRule="auto"/>
        <w:jc w:val="both"/>
        <w:rPr>
          <w:rFonts w:hint="default" w:ascii="仿宋" w:hAnsi="仿宋" w:eastAsia="仿宋" w:cs="仿宋"/>
          <w:sz w:val="28"/>
          <w:szCs w:val="28"/>
          <w:highlight w:val="none"/>
          <w:lang w:val="en-US" w:eastAsia="zh-CN"/>
        </w:rPr>
      </w:pPr>
      <w:r>
        <w:rPr>
          <w:rFonts w:hint="eastAsia" w:ascii="仿宋" w:hAnsi="仿宋" w:eastAsia="仿宋" w:cs="仿宋"/>
          <w:sz w:val="24"/>
          <w:szCs w:val="24"/>
          <w:highlight w:val="none"/>
          <w:lang w:val="en-US" w:eastAsia="zh-CN"/>
        </w:rPr>
        <w:t>征询供应商名称：</w:t>
      </w:r>
      <w:r>
        <w:rPr>
          <w:rFonts w:hint="eastAsia" w:ascii="仿宋" w:hAnsi="仿宋" w:eastAsia="仿宋" w:cs="仿宋"/>
          <w:sz w:val="28"/>
          <w:szCs w:val="28"/>
          <w:highlight w:val="none"/>
          <w:lang w:val="en-US" w:eastAsia="zh-CN"/>
        </w:rPr>
        <w:t xml:space="preserve">                  </w:t>
      </w:r>
    </w:p>
    <w:tbl>
      <w:tblPr>
        <w:tblStyle w:val="5"/>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3588"/>
        <w:gridCol w:w="1858"/>
        <w:gridCol w:w="1783"/>
      </w:tblGrid>
      <w:tr w14:paraId="71C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6" w:type="dxa"/>
          </w:tcPr>
          <w:p w14:paraId="0ABD7589">
            <w:pPr>
              <w:pStyle w:val="7"/>
              <w:keepNext w:val="0"/>
              <w:keepLines w:val="0"/>
              <w:pageBreakBefore w:val="0"/>
              <w:tabs>
                <w:tab w:val="left" w:pos="0"/>
              </w:tabs>
              <w:kinsoku/>
              <w:wordWrap/>
              <w:overflowPunct/>
              <w:topLinePunct w:val="0"/>
              <w:autoSpaceDE/>
              <w:autoSpaceDN/>
              <w:bidi w:val="0"/>
              <w:adjustRightInd/>
              <w:snapToGrid/>
              <w:spacing w:line="300" w:lineRule="exact"/>
              <w:jc w:val="both"/>
              <w:textAlignment w:val="auto"/>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品名</w:t>
            </w:r>
          </w:p>
        </w:tc>
        <w:tc>
          <w:tcPr>
            <w:tcW w:w="3588" w:type="dxa"/>
          </w:tcPr>
          <w:p w14:paraId="684424EE">
            <w:pPr>
              <w:pStyle w:val="7"/>
              <w:keepNext w:val="0"/>
              <w:keepLines w:val="0"/>
              <w:pageBreakBefore w:val="0"/>
              <w:tabs>
                <w:tab w:val="left" w:pos="0"/>
              </w:tabs>
              <w:kinsoku/>
              <w:wordWrap/>
              <w:overflowPunct/>
              <w:topLinePunct w:val="0"/>
              <w:autoSpaceDE/>
              <w:autoSpaceDN/>
              <w:bidi w:val="0"/>
              <w:adjustRightInd/>
              <w:snapToGrid/>
              <w:spacing w:line="300" w:lineRule="exact"/>
              <w:jc w:val="both"/>
              <w:textAlignment w:val="auto"/>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型 号</w:t>
            </w:r>
          </w:p>
        </w:tc>
        <w:tc>
          <w:tcPr>
            <w:tcW w:w="1858" w:type="dxa"/>
          </w:tcPr>
          <w:p w14:paraId="047BE048">
            <w:pPr>
              <w:pStyle w:val="7"/>
              <w:keepNext w:val="0"/>
              <w:keepLines w:val="0"/>
              <w:pageBreakBefore w:val="0"/>
              <w:tabs>
                <w:tab w:val="left" w:pos="0"/>
              </w:tabs>
              <w:kinsoku/>
              <w:wordWrap/>
              <w:overflowPunct/>
              <w:topLinePunct w:val="0"/>
              <w:autoSpaceDE/>
              <w:autoSpaceDN/>
              <w:bidi w:val="0"/>
              <w:adjustRightInd/>
              <w:snapToGrid/>
              <w:spacing w:line="300" w:lineRule="exact"/>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供应商报价单价</w:t>
            </w:r>
            <w:r>
              <w:rPr>
                <w:rFonts w:hint="default" w:ascii="仿宋" w:hAnsi="仿宋" w:eastAsia="仿宋" w:cs="仿宋"/>
                <w:sz w:val="20"/>
                <w:szCs w:val="20"/>
                <w:highlight w:val="none"/>
                <w:lang w:val="en-US" w:eastAsia="zh-CN"/>
              </w:rPr>
              <w:t>(元)</w:t>
            </w:r>
          </w:p>
        </w:tc>
        <w:tc>
          <w:tcPr>
            <w:tcW w:w="1783" w:type="dxa"/>
          </w:tcPr>
          <w:p w14:paraId="6DD49BF6">
            <w:pPr>
              <w:pStyle w:val="7"/>
              <w:keepNext w:val="0"/>
              <w:keepLines w:val="0"/>
              <w:pageBreakBefore w:val="0"/>
              <w:tabs>
                <w:tab w:val="left" w:pos="0"/>
              </w:tabs>
              <w:kinsoku/>
              <w:wordWrap/>
              <w:overflowPunct/>
              <w:topLinePunct w:val="0"/>
              <w:autoSpaceDE/>
              <w:autoSpaceDN/>
              <w:bidi w:val="0"/>
              <w:adjustRightInd/>
              <w:snapToGrid/>
              <w:spacing w:line="300" w:lineRule="exact"/>
              <w:jc w:val="both"/>
              <w:textAlignment w:val="auto"/>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备注（型号）</w:t>
            </w:r>
          </w:p>
        </w:tc>
      </w:tr>
      <w:tr w14:paraId="41C1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6" w:type="dxa"/>
            <w:vAlign w:val="center"/>
          </w:tcPr>
          <w:p w14:paraId="444FF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处理器：I3-10105散片+风扇</w:t>
            </w:r>
          </w:p>
        </w:tc>
        <w:tc>
          <w:tcPr>
            <w:tcW w:w="3588" w:type="dxa"/>
            <w:vAlign w:val="center"/>
          </w:tcPr>
          <w:p w14:paraId="425075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 xml:space="preserve">CPU制作工艺：14纳米 </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适用类型：台式机</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CPU型号：酷睿i3 10代，64位处理器</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CPU频率：3.7—4.4GHz</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核心/线程：四核心/八线程</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核心类型：Comet Lake</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三级缓存：6MB</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总线规格：DMI3 8GT/s</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支持内存频率：DDR4 2666MHz</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支持最大内存通道数：2</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最大内存带宽：41.6GB/s</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显卡参数：集成英特尔 超核芯显卡630</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显卡基本频率：350MHz</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显卡最大动态频率：1.10GHz</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显卡视频最大内存：64GB</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OpenGL支持：4.5</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DirectX支持：12</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插槽类型：LGA 1200</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TDP(热功耗设计）：65W</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支持睿频加速技术，支持超线程技术</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含适配CPU散热器</w:t>
            </w:r>
          </w:p>
        </w:tc>
        <w:tc>
          <w:tcPr>
            <w:tcW w:w="1858" w:type="dxa"/>
          </w:tcPr>
          <w:p w14:paraId="20DBC6A4">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eastAsia" w:ascii="仿宋" w:hAnsi="仿宋" w:eastAsia="仿宋" w:cs="仿宋"/>
                <w:kern w:val="2"/>
                <w:sz w:val="20"/>
                <w:szCs w:val="20"/>
                <w:highlight w:val="none"/>
                <w:lang w:val="en-US" w:eastAsia="zh-CN" w:bidi="ar-SA"/>
              </w:rPr>
            </w:pPr>
          </w:p>
        </w:tc>
        <w:tc>
          <w:tcPr>
            <w:tcW w:w="1783" w:type="dxa"/>
          </w:tcPr>
          <w:p w14:paraId="2502A484">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eastAsia" w:ascii="仿宋" w:hAnsi="仿宋" w:eastAsia="仿宋" w:cs="仿宋"/>
                <w:kern w:val="2"/>
                <w:sz w:val="20"/>
                <w:szCs w:val="20"/>
                <w:highlight w:val="none"/>
                <w:lang w:val="en-US" w:eastAsia="zh-CN" w:bidi="ar-SA"/>
              </w:rPr>
            </w:pPr>
          </w:p>
        </w:tc>
      </w:tr>
      <w:tr w14:paraId="3B4A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46" w:type="dxa"/>
            <w:vAlign w:val="center"/>
          </w:tcPr>
          <w:p w14:paraId="038AA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主 板：H510</w:t>
            </w:r>
          </w:p>
        </w:tc>
        <w:tc>
          <w:tcPr>
            <w:tcW w:w="3588" w:type="dxa"/>
            <w:vAlign w:val="center"/>
          </w:tcPr>
          <w:p w14:paraId="3E3D29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主板芯片组：Intel H510,支持Intel第十代与十一代处理器</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CPU插槽：LGA1200</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内存支持：双通道2×DDR4 DIMM</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网卡芯片：板载千兆网卡</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USB接口：4个USB2.0,2个USB3.0</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扩展插针：1组USB2.0,1组USB3.0</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音频接口：5.1声道音频</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视频接口：VGA+HDMI</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电源接口：24针+8针</w:t>
            </w:r>
          </w:p>
        </w:tc>
        <w:tc>
          <w:tcPr>
            <w:tcW w:w="1858" w:type="dxa"/>
          </w:tcPr>
          <w:p w14:paraId="524DDCE6">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eastAsia" w:ascii="仿宋" w:hAnsi="仿宋" w:eastAsia="仿宋" w:cs="仿宋"/>
                <w:kern w:val="2"/>
                <w:sz w:val="20"/>
                <w:szCs w:val="20"/>
                <w:highlight w:val="none"/>
                <w:lang w:val="en-US" w:eastAsia="zh-CN" w:bidi="ar-SA"/>
              </w:rPr>
            </w:pPr>
          </w:p>
        </w:tc>
        <w:tc>
          <w:tcPr>
            <w:tcW w:w="1783" w:type="dxa"/>
          </w:tcPr>
          <w:p w14:paraId="55054035">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eastAsia" w:ascii="仿宋" w:hAnsi="仿宋" w:eastAsia="仿宋" w:cs="仿宋"/>
                <w:kern w:val="2"/>
                <w:sz w:val="20"/>
                <w:szCs w:val="20"/>
                <w:highlight w:val="none"/>
                <w:lang w:val="en-US" w:eastAsia="zh-CN" w:bidi="ar-SA"/>
              </w:rPr>
            </w:pPr>
          </w:p>
        </w:tc>
      </w:tr>
      <w:tr w14:paraId="0F25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246" w:type="dxa"/>
            <w:vAlign w:val="center"/>
          </w:tcPr>
          <w:p w14:paraId="46E8E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内 存：8G 2666</w:t>
            </w:r>
          </w:p>
        </w:tc>
        <w:tc>
          <w:tcPr>
            <w:tcW w:w="3588" w:type="dxa"/>
            <w:vAlign w:val="center"/>
          </w:tcPr>
          <w:p w14:paraId="721BE3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容量描述：单条8GB</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适用类型：台式机</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内存类型：DDR4</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内存主频：2666MHz</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针脚数：288pin</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插槽类型：DIMM</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CL延迟： 19</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工作电压：1.2V</w:t>
            </w:r>
          </w:p>
        </w:tc>
        <w:tc>
          <w:tcPr>
            <w:tcW w:w="1858" w:type="dxa"/>
          </w:tcPr>
          <w:p w14:paraId="657037EA">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eastAsia" w:ascii="仿宋" w:hAnsi="仿宋" w:eastAsia="仿宋" w:cs="仿宋"/>
                <w:kern w:val="2"/>
                <w:sz w:val="20"/>
                <w:szCs w:val="20"/>
                <w:highlight w:val="none"/>
                <w:lang w:val="en-US" w:eastAsia="zh-CN" w:bidi="ar-SA"/>
              </w:rPr>
            </w:pPr>
          </w:p>
        </w:tc>
        <w:tc>
          <w:tcPr>
            <w:tcW w:w="1783" w:type="dxa"/>
          </w:tcPr>
          <w:p w14:paraId="4787BFC8">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eastAsia" w:ascii="仿宋" w:hAnsi="仿宋" w:eastAsia="仿宋" w:cs="仿宋"/>
                <w:kern w:val="2"/>
                <w:sz w:val="20"/>
                <w:szCs w:val="20"/>
                <w:highlight w:val="none"/>
                <w:lang w:val="en-US" w:eastAsia="zh-CN" w:bidi="ar-SA"/>
              </w:rPr>
            </w:pPr>
          </w:p>
        </w:tc>
      </w:tr>
      <w:tr w14:paraId="7E8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46" w:type="dxa"/>
            <w:vAlign w:val="center"/>
          </w:tcPr>
          <w:p w14:paraId="2AE8F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内 存：16G 2666</w:t>
            </w:r>
          </w:p>
        </w:tc>
        <w:tc>
          <w:tcPr>
            <w:tcW w:w="3588" w:type="dxa"/>
            <w:vAlign w:val="center"/>
          </w:tcPr>
          <w:p w14:paraId="60F7E1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容量描述：单条16GB</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适用类型：台式机</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内存类型：DDR4</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内存主频：2666MHz</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针脚数：288pin</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插槽类型：DIMM</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CL延迟： 19</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工作电压：1.2V</w:t>
            </w:r>
          </w:p>
        </w:tc>
        <w:tc>
          <w:tcPr>
            <w:tcW w:w="1858" w:type="dxa"/>
          </w:tcPr>
          <w:p w14:paraId="13ECF691">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eastAsia" w:ascii="仿宋" w:hAnsi="仿宋" w:eastAsia="仿宋" w:cs="仿宋"/>
                <w:kern w:val="2"/>
                <w:sz w:val="20"/>
                <w:szCs w:val="20"/>
                <w:highlight w:val="none"/>
                <w:lang w:val="en-US" w:eastAsia="zh-CN" w:bidi="ar-SA"/>
              </w:rPr>
            </w:pPr>
          </w:p>
        </w:tc>
        <w:tc>
          <w:tcPr>
            <w:tcW w:w="1783" w:type="dxa"/>
          </w:tcPr>
          <w:p w14:paraId="06C6D7EE">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eastAsia" w:ascii="仿宋" w:hAnsi="仿宋" w:eastAsia="仿宋" w:cs="仿宋"/>
                <w:kern w:val="2"/>
                <w:sz w:val="20"/>
                <w:szCs w:val="20"/>
                <w:highlight w:val="none"/>
                <w:lang w:val="en-US" w:eastAsia="zh-CN" w:bidi="ar-SA"/>
              </w:rPr>
            </w:pPr>
          </w:p>
        </w:tc>
      </w:tr>
      <w:tr w14:paraId="2CEB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5B50FE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固态硬盘：240G</w:t>
            </w:r>
          </w:p>
        </w:tc>
        <w:tc>
          <w:tcPr>
            <w:tcW w:w="3588" w:type="dxa"/>
            <w:vAlign w:val="center"/>
          </w:tcPr>
          <w:p w14:paraId="79770B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存储容量：240GB</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适用类型：台式机硬盘</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接口类型：SATA REV3.0（6Gbps）</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外形尺寸：2.5英寸</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闪存架构：TLC三层单元</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读取速度：520MB/s</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写入速度：450MB/s</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其它参数：支持TRIM</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TBW：120TBW</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工作温度：0-70℃</w:t>
            </w:r>
          </w:p>
        </w:tc>
        <w:tc>
          <w:tcPr>
            <w:tcW w:w="1858" w:type="dxa"/>
          </w:tcPr>
          <w:p w14:paraId="72EA5EAC">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default" w:ascii="仿宋" w:hAnsi="仿宋" w:eastAsia="仿宋" w:cs="仿宋"/>
                <w:kern w:val="2"/>
                <w:sz w:val="20"/>
                <w:szCs w:val="20"/>
                <w:highlight w:val="none"/>
                <w:lang w:val="en-US" w:eastAsia="zh-CN" w:bidi="ar-SA"/>
              </w:rPr>
            </w:pPr>
          </w:p>
        </w:tc>
        <w:tc>
          <w:tcPr>
            <w:tcW w:w="1783" w:type="dxa"/>
          </w:tcPr>
          <w:p w14:paraId="700B9463">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default" w:ascii="仿宋" w:hAnsi="仿宋" w:eastAsia="仿宋" w:cs="仿宋"/>
                <w:kern w:val="2"/>
                <w:sz w:val="20"/>
                <w:szCs w:val="20"/>
                <w:highlight w:val="none"/>
                <w:lang w:val="en-US" w:eastAsia="zh-CN" w:bidi="ar-SA"/>
              </w:rPr>
            </w:pPr>
          </w:p>
        </w:tc>
      </w:tr>
      <w:tr w14:paraId="0DF0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16F448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机械硬盘：1TB</w:t>
            </w:r>
          </w:p>
        </w:tc>
        <w:tc>
          <w:tcPr>
            <w:tcW w:w="3588" w:type="dxa"/>
            <w:vAlign w:val="center"/>
          </w:tcPr>
          <w:p w14:paraId="06E322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存储容量：1000GB</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适用类型：台式机硬盘</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外形尺寸：3.5 英寸</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接口类型：SATA 3.0</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接口速率：6Gb/s</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盘片数量：1片</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转速：7200rpm</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缓存：64MB</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接口传输速率：150MB/s</w:t>
            </w:r>
          </w:p>
        </w:tc>
        <w:tc>
          <w:tcPr>
            <w:tcW w:w="1858" w:type="dxa"/>
          </w:tcPr>
          <w:p w14:paraId="52587E05">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default" w:ascii="仿宋" w:hAnsi="仿宋" w:eastAsia="仿宋" w:cs="仿宋"/>
                <w:kern w:val="2"/>
                <w:sz w:val="20"/>
                <w:szCs w:val="20"/>
                <w:highlight w:val="none"/>
                <w:lang w:val="en-US" w:eastAsia="zh-CN" w:bidi="ar-SA"/>
              </w:rPr>
            </w:pPr>
          </w:p>
        </w:tc>
        <w:tc>
          <w:tcPr>
            <w:tcW w:w="1783" w:type="dxa"/>
          </w:tcPr>
          <w:p w14:paraId="6E09F637">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default" w:ascii="仿宋" w:hAnsi="仿宋" w:eastAsia="仿宋" w:cs="仿宋"/>
                <w:kern w:val="2"/>
                <w:sz w:val="20"/>
                <w:szCs w:val="20"/>
                <w:highlight w:val="none"/>
                <w:lang w:val="en-US" w:eastAsia="zh-CN" w:bidi="ar-SA"/>
              </w:rPr>
            </w:pPr>
          </w:p>
        </w:tc>
      </w:tr>
      <w:tr w14:paraId="29A1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0FB11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台式机电源</w:t>
            </w:r>
          </w:p>
        </w:tc>
        <w:tc>
          <w:tcPr>
            <w:tcW w:w="3588" w:type="dxa"/>
            <w:shd w:val="clear" w:color="auto" w:fill="auto"/>
            <w:vAlign w:val="center"/>
          </w:tcPr>
          <w:p w14:paraId="3AB58A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额定功率：180W</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适用类型：台式机</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电源版本:ATX 12V 2.3</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主板接口：适应主板</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电源接口：CPU接口*1、显卡接口*2、硬盘接口*2</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电源尺寸：适应台式机内部结构</w:t>
            </w:r>
            <w:r>
              <w:rPr>
                <w:rFonts w:hint="eastAsia" w:ascii="仿宋" w:hAnsi="仿宋" w:eastAsia="仿宋" w:cs="仿宋"/>
                <w:kern w:val="2"/>
                <w:sz w:val="20"/>
                <w:szCs w:val="20"/>
                <w:highlight w:val="none"/>
                <w:lang w:val="en-US" w:eastAsia="zh-CN" w:bidi="ar-SA"/>
              </w:rPr>
              <w:br w:type="textWrapping"/>
            </w:r>
            <w:r>
              <w:rPr>
                <w:rFonts w:hint="eastAsia" w:ascii="仿宋" w:hAnsi="仿宋" w:eastAsia="仿宋" w:cs="仿宋"/>
                <w:kern w:val="2"/>
                <w:sz w:val="20"/>
                <w:szCs w:val="20"/>
                <w:highlight w:val="none"/>
                <w:lang w:val="en-US" w:eastAsia="zh-CN" w:bidi="ar-SA"/>
              </w:rPr>
              <w:t>电源性能：交流输入220-240V,50-60Hz</w:t>
            </w:r>
          </w:p>
        </w:tc>
        <w:tc>
          <w:tcPr>
            <w:tcW w:w="1858" w:type="dxa"/>
          </w:tcPr>
          <w:p w14:paraId="4B037159">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default" w:ascii="仿宋" w:hAnsi="仿宋" w:eastAsia="仿宋" w:cs="仿宋"/>
                <w:kern w:val="2"/>
                <w:sz w:val="20"/>
                <w:szCs w:val="20"/>
                <w:highlight w:val="none"/>
                <w:lang w:val="en-US" w:eastAsia="zh-CN" w:bidi="ar-SA"/>
              </w:rPr>
            </w:pPr>
          </w:p>
        </w:tc>
        <w:tc>
          <w:tcPr>
            <w:tcW w:w="1783" w:type="dxa"/>
          </w:tcPr>
          <w:p w14:paraId="5FDB4007">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default" w:ascii="仿宋" w:hAnsi="仿宋" w:eastAsia="仿宋" w:cs="仿宋"/>
                <w:kern w:val="2"/>
                <w:sz w:val="20"/>
                <w:szCs w:val="20"/>
                <w:highlight w:val="none"/>
                <w:lang w:val="en-US" w:eastAsia="zh-CN" w:bidi="ar-SA"/>
              </w:rPr>
            </w:pPr>
          </w:p>
        </w:tc>
      </w:tr>
      <w:tr w14:paraId="3D03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3F4FBB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维修装机费</w:t>
            </w:r>
          </w:p>
        </w:tc>
        <w:tc>
          <w:tcPr>
            <w:tcW w:w="3588" w:type="dxa"/>
            <w:vAlign w:val="center"/>
          </w:tcPr>
          <w:p w14:paraId="1715A8AA">
            <w:pPr>
              <w:pStyle w:val="7"/>
              <w:keepNext w:val="0"/>
              <w:keepLines w:val="0"/>
              <w:pageBreakBefore w:val="0"/>
              <w:tabs>
                <w:tab w:val="left" w:pos="0"/>
              </w:tabs>
              <w:kinsoku/>
              <w:wordWrap/>
              <w:overflowPunct/>
              <w:topLinePunct w:val="0"/>
              <w:autoSpaceDE/>
              <w:autoSpaceDN/>
              <w:bidi w:val="0"/>
              <w:adjustRightInd/>
              <w:snapToGrid/>
              <w:spacing w:line="300" w:lineRule="exact"/>
              <w:ind w:firstLineChars="200"/>
              <w:jc w:val="left"/>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本项目指的维修装机内容仅包含完本次采购配件货物的安装调试及售后，包含每台电脑更换配件后所需的系统安装费用，不含原有台式电脑的软硬件的维修，供应商应确保新配件安装时不得造成原有台式电脑配件损坏。</w:t>
            </w:r>
          </w:p>
          <w:p w14:paraId="113BE2E4">
            <w:pPr>
              <w:pStyle w:val="7"/>
              <w:keepNext w:val="0"/>
              <w:keepLines w:val="0"/>
              <w:pageBreakBefore w:val="0"/>
              <w:tabs>
                <w:tab w:val="left" w:pos="0"/>
              </w:tabs>
              <w:kinsoku/>
              <w:wordWrap/>
              <w:overflowPunct/>
              <w:topLinePunct w:val="0"/>
              <w:autoSpaceDE/>
              <w:autoSpaceDN/>
              <w:bidi w:val="0"/>
              <w:adjustRightInd/>
              <w:snapToGrid/>
              <w:spacing w:line="300" w:lineRule="exact"/>
              <w:ind w:firstLineChars="200"/>
              <w:jc w:val="left"/>
              <w:textAlignment w:val="auto"/>
              <w:rPr>
                <w:rFonts w:hint="eastAsia" w:ascii="仿宋" w:hAnsi="仿宋" w:eastAsia="仿宋" w:cs="仿宋"/>
                <w:kern w:val="2"/>
                <w:sz w:val="20"/>
                <w:szCs w:val="20"/>
                <w:highlight w:val="none"/>
                <w:lang w:val="en-US" w:eastAsia="zh-CN" w:bidi="ar-SA"/>
              </w:rPr>
            </w:pPr>
            <w:r>
              <w:rPr>
                <w:rFonts w:hint="default" w:ascii="仿宋" w:hAnsi="仿宋" w:eastAsia="仿宋" w:cs="仿宋"/>
                <w:kern w:val="2"/>
                <w:sz w:val="20"/>
                <w:szCs w:val="20"/>
                <w:highlight w:val="none"/>
                <w:lang w:val="en-US" w:eastAsia="zh-CN" w:bidi="ar-SA"/>
              </w:rPr>
              <w:t>每台电脑的</w:t>
            </w:r>
            <w:r>
              <w:rPr>
                <w:rFonts w:hint="eastAsia" w:ascii="仿宋" w:hAnsi="仿宋" w:eastAsia="仿宋" w:cs="仿宋"/>
                <w:kern w:val="2"/>
                <w:sz w:val="20"/>
                <w:szCs w:val="20"/>
                <w:highlight w:val="none"/>
                <w:lang w:val="en-US" w:eastAsia="zh-CN" w:bidi="ar-SA"/>
              </w:rPr>
              <w:t>维修</w:t>
            </w:r>
            <w:r>
              <w:rPr>
                <w:rFonts w:hint="default" w:ascii="仿宋" w:hAnsi="仿宋" w:eastAsia="仿宋" w:cs="仿宋"/>
                <w:kern w:val="2"/>
                <w:sz w:val="20"/>
                <w:szCs w:val="20"/>
                <w:highlight w:val="none"/>
                <w:lang w:val="en-US" w:eastAsia="zh-CN" w:bidi="ar-SA"/>
              </w:rPr>
              <w:t>费是由每台电脑维修</w:t>
            </w:r>
            <w:r>
              <w:rPr>
                <w:rFonts w:hint="eastAsia" w:ascii="仿宋" w:hAnsi="仿宋" w:eastAsia="仿宋" w:cs="仿宋"/>
                <w:kern w:val="2"/>
                <w:sz w:val="20"/>
                <w:szCs w:val="20"/>
                <w:highlight w:val="none"/>
                <w:lang w:val="en-US" w:eastAsia="zh-CN" w:bidi="ar-SA"/>
              </w:rPr>
              <w:t>更换的</w:t>
            </w:r>
            <w:r>
              <w:rPr>
                <w:rFonts w:hint="default" w:ascii="仿宋" w:hAnsi="仿宋" w:eastAsia="仿宋" w:cs="仿宋"/>
                <w:kern w:val="2"/>
                <w:sz w:val="20"/>
                <w:szCs w:val="20"/>
                <w:highlight w:val="none"/>
                <w:lang w:val="en-US" w:eastAsia="zh-CN" w:bidi="ar-SA"/>
              </w:rPr>
              <w:t>配件费用和</w:t>
            </w:r>
            <w:r>
              <w:rPr>
                <w:rFonts w:hint="eastAsia" w:ascii="仿宋" w:hAnsi="仿宋" w:eastAsia="仿宋" w:cs="仿宋"/>
                <w:kern w:val="2"/>
                <w:sz w:val="20"/>
                <w:szCs w:val="20"/>
                <w:highlight w:val="none"/>
                <w:lang w:val="en-US" w:eastAsia="zh-CN" w:bidi="ar-SA"/>
              </w:rPr>
              <w:t>维修装机</w:t>
            </w:r>
            <w:r>
              <w:rPr>
                <w:rFonts w:hint="default" w:ascii="仿宋" w:hAnsi="仿宋" w:eastAsia="仿宋" w:cs="仿宋"/>
                <w:kern w:val="2"/>
                <w:sz w:val="20"/>
                <w:szCs w:val="20"/>
                <w:highlight w:val="none"/>
                <w:lang w:val="en-US" w:eastAsia="zh-CN" w:bidi="ar-SA"/>
              </w:rPr>
              <w:t>费合计组成，</w:t>
            </w:r>
            <w:r>
              <w:rPr>
                <w:rFonts w:hint="eastAsia" w:ascii="仿宋" w:hAnsi="仿宋" w:eastAsia="仿宋" w:cs="仿宋"/>
                <w:kern w:val="2"/>
                <w:sz w:val="20"/>
                <w:szCs w:val="20"/>
                <w:highlight w:val="none"/>
                <w:lang w:val="en-US" w:eastAsia="zh-CN" w:bidi="ar-SA"/>
              </w:rPr>
              <w:t>同一台</w:t>
            </w:r>
            <w:r>
              <w:rPr>
                <w:rFonts w:hint="default" w:ascii="仿宋" w:hAnsi="仿宋" w:eastAsia="仿宋" w:cs="仿宋"/>
                <w:kern w:val="2"/>
                <w:sz w:val="20"/>
                <w:szCs w:val="20"/>
                <w:highlight w:val="none"/>
                <w:lang w:val="en-US" w:eastAsia="zh-CN" w:bidi="ar-SA"/>
              </w:rPr>
              <w:t>电脑</w:t>
            </w:r>
            <w:r>
              <w:rPr>
                <w:rFonts w:hint="eastAsia" w:ascii="仿宋" w:hAnsi="仿宋" w:eastAsia="仿宋" w:cs="仿宋"/>
                <w:kern w:val="2"/>
                <w:sz w:val="20"/>
                <w:szCs w:val="20"/>
                <w:highlight w:val="none"/>
                <w:lang w:val="en-US" w:eastAsia="zh-CN" w:bidi="ar-SA"/>
              </w:rPr>
              <w:t>若每一次</w:t>
            </w:r>
            <w:r>
              <w:rPr>
                <w:rFonts w:hint="default" w:ascii="仿宋" w:hAnsi="仿宋" w:eastAsia="仿宋" w:cs="仿宋"/>
                <w:kern w:val="2"/>
                <w:sz w:val="20"/>
                <w:szCs w:val="20"/>
                <w:highlight w:val="none"/>
                <w:lang w:val="en-US" w:eastAsia="zh-CN" w:bidi="ar-SA"/>
              </w:rPr>
              <w:t>存在多个</w:t>
            </w:r>
            <w:r>
              <w:rPr>
                <w:rFonts w:hint="eastAsia" w:ascii="仿宋" w:hAnsi="仿宋" w:eastAsia="仿宋" w:cs="仿宋"/>
                <w:kern w:val="2"/>
                <w:sz w:val="20"/>
                <w:szCs w:val="20"/>
                <w:highlight w:val="none"/>
                <w:lang w:val="en-US" w:eastAsia="zh-CN" w:bidi="ar-SA"/>
              </w:rPr>
              <w:t>配件需要安装时，</w:t>
            </w:r>
            <w:r>
              <w:rPr>
                <w:rFonts w:hint="default" w:ascii="仿宋" w:hAnsi="仿宋" w:eastAsia="仿宋" w:cs="仿宋"/>
                <w:kern w:val="2"/>
                <w:sz w:val="20"/>
                <w:szCs w:val="20"/>
                <w:highlight w:val="none"/>
                <w:lang w:val="en-US" w:eastAsia="zh-CN" w:bidi="ar-SA"/>
              </w:rPr>
              <w:t>维修</w:t>
            </w:r>
            <w:r>
              <w:rPr>
                <w:rFonts w:hint="eastAsia" w:ascii="仿宋" w:hAnsi="仿宋" w:eastAsia="仿宋" w:cs="仿宋"/>
                <w:kern w:val="2"/>
                <w:sz w:val="20"/>
                <w:szCs w:val="20"/>
                <w:highlight w:val="none"/>
                <w:lang w:val="en-US" w:eastAsia="zh-CN" w:bidi="ar-SA"/>
              </w:rPr>
              <w:t>装机费只能收取一次。</w:t>
            </w:r>
          </w:p>
        </w:tc>
        <w:tc>
          <w:tcPr>
            <w:tcW w:w="1858" w:type="dxa"/>
          </w:tcPr>
          <w:p w14:paraId="0E42F27C">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default" w:ascii="仿宋" w:hAnsi="仿宋" w:eastAsia="仿宋" w:cs="仿宋"/>
                <w:kern w:val="2"/>
                <w:sz w:val="20"/>
                <w:szCs w:val="20"/>
                <w:highlight w:val="none"/>
                <w:lang w:val="en-US" w:eastAsia="zh-CN" w:bidi="ar-SA"/>
              </w:rPr>
            </w:pPr>
          </w:p>
        </w:tc>
        <w:tc>
          <w:tcPr>
            <w:tcW w:w="1783" w:type="dxa"/>
          </w:tcPr>
          <w:p w14:paraId="74DAD399">
            <w:pPr>
              <w:pStyle w:val="7"/>
              <w:keepNext w:val="0"/>
              <w:keepLines w:val="0"/>
              <w:pageBreakBefore w:val="0"/>
              <w:tabs>
                <w:tab w:val="left" w:pos="0"/>
              </w:tabs>
              <w:kinsoku/>
              <w:wordWrap/>
              <w:overflowPunct/>
              <w:topLinePunct w:val="0"/>
              <w:autoSpaceDE/>
              <w:autoSpaceDN/>
              <w:bidi w:val="0"/>
              <w:adjustRightInd/>
              <w:snapToGrid/>
              <w:spacing w:line="300" w:lineRule="exact"/>
              <w:ind w:firstLine="400" w:firstLineChars="200"/>
              <w:jc w:val="left"/>
              <w:textAlignment w:val="auto"/>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元/次</w:t>
            </w:r>
          </w:p>
        </w:tc>
      </w:tr>
    </w:tbl>
    <w:p w14:paraId="36317776">
      <w:pPr>
        <w:pStyle w:val="7"/>
        <w:tabs>
          <w:tab w:val="left" w:pos="0"/>
        </w:tabs>
        <w:spacing w:line="360" w:lineRule="auto"/>
        <w:ind w:firstLineChars="200"/>
        <w:jc w:val="left"/>
        <w:rPr>
          <w:rFonts w:hint="eastAsia" w:ascii="仿宋" w:hAnsi="仿宋" w:eastAsia="仿宋" w:cs="仿宋"/>
          <w:color w:val="0000FF"/>
          <w:sz w:val="24"/>
          <w:szCs w:val="24"/>
          <w:highlight w:val="none"/>
          <w:lang w:val="en-US" w:eastAsia="zh-CN"/>
        </w:rPr>
      </w:pPr>
    </w:p>
    <w:p w14:paraId="1748C72C">
      <w:pPr>
        <w:pStyle w:val="7"/>
        <w:tabs>
          <w:tab w:val="left" w:pos="0"/>
        </w:tabs>
        <w:spacing w:line="360" w:lineRule="auto"/>
        <w:ind w:firstLineChars="200"/>
        <w:jc w:val="left"/>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供应商提供至少两名专职维修人员负责本项目的电脑维修装机业务，维修人员电话要求7*24小时保持畅通，在接到院方通知后半小时内能到达维修现场，并提供维修检查服务，应急维修在接到院方通知后及时到达维修现场。一年内供应商三次不能按时响应院方维修需求，或因维修延误造成院方科室投诉，院方有权终止项目合作。</w:t>
      </w:r>
    </w:p>
    <w:p w14:paraId="67D713AD">
      <w:pPr>
        <w:pStyle w:val="7"/>
        <w:tabs>
          <w:tab w:val="left" w:pos="0"/>
        </w:tabs>
        <w:spacing w:line="360" w:lineRule="auto"/>
        <w:ind w:firstLineChars="200"/>
        <w:jc w:val="left"/>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本项目结算方式为：自双方合同签订之日起，每季度采购人与成交供应商进行一次维修配件和维修装机费的结算，双方核对维修确认表一致后，供应商才可开具发票后，采购人收到供应商发票后，90日内转账支付成交供应商该季度的所有配件费和服务费</w:t>
      </w:r>
    </w:p>
    <w:p w14:paraId="493830BB">
      <w:pPr>
        <w:pStyle w:val="7"/>
        <w:tabs>
          <w:tab w:val="left" w:pos="0"/>
        </w:tabs>
        <w:spacing w:line="360" w:lineRule="auto"/>
        <w:ind w:firstLineChars="200"/>
        <w:jc w:val="left"/>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本项目总预算金额为74100，采购人支付金额不超过预算总金额。</w:t>
      </w:r>
    </w:p>
    <w:p w14:paraId="695C421D">
      <w:pPr>
        <w:pStyle w:val="7"/>
        <w:tabs>
          <w:tab w:val="left" w:pos="0"/>
        </w:tabs>
        <w:spacing w:line="360" w:lineRule="auto"/>
        <w:ind w:firstLineChars="200"/>
        <w:jc w:val="left"/>
        <w:rPr>
          <w:rFonts w:hint="eastAsia" w:ascii="仿宋" w:hAnsi="仿宋" w:eastAsia="仿宋" w:cs="仿宋"/>
          <w:sz w:val="24"/>
          <w:szCs w:val="24"/>
          <w:highlight w:val="none"/>
          <w:lang w:val="en-US" w:eastAsia="zh-CN"/>
        </w:rPr>
      </w:pPr>
    </w:p>
    <w:p w14:paraId="480EE337">
      <w:pPr>
        <w:pStyle w:val="7"/>
        <w:tabs>
          <w:tab w:val="left" w:pos="0"/>
        </w:tabs>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报价供应商名称 </w:t>
      </w:r>
      <w:r>
        <w:rPr>
          <w:rFonts w:hint="eastAsia" w:ascii="仿宋" w:hAnsi="仿宋" w:eastAsia="仿宋" w:cs="仿宋"/>
          <w:sz w:val="24"/>
          <w:szCs w:val="24"/>
          <w:highlight w:val="none"/>
          <w:lang w:val="en-US" w:eastAsia="zh-CN"/>
        </w:rPr>
        <w:t>)已完全确认上述信息，结合货物服务所有内容进行合理的市场报价。</w:t>
      </w:r>
    </w:p>
    <w:p w14:paraId="5F6C8BD5">
      <w:pPr>
        <w:pStyle w:val="7"/>
        <w:tabs>
          <w:tab w:val="left" w:pos="0"/>
        </w:tabs>
        <w:spacing w:line="360" w:lineRule="auto"/>
        <w:ind w:firstLine="480" w:firstLineChars="200"/>
        <w:jc w:val="left"/>
        <w:rPr>
          <w:rFonts w:hint="eastAsia" w:ascii="仿宋" w:hAnsi="仿宋" w:eastAsia="仿宋" w:cs="仿宋"/>
          <w:sz w:val="24"/>
          <w:szCs w:val="24"/>
          <w:highlight w:val="none"/>
          <w:lang w:val="en-US" w:eastAsia="zh-CN"/>
        </w:rPr>
      </w:pPr>
      <w:bookmarkStart w:id="0" w:name="_GoBack"/>
      <w:bookmarkEnd w:id="0"/>
    </w:p>
    <w:p w14:paraId="2D7355A1">
      <w:pPr>
        <w:pStyle w:val="7"/>
        <w:tabs>
          <w:tab w:val="left" w:pos="0"/>
        </w:tabs>
        <w:spacing w:line="360" w:lineRule="auto"/>
        <w:ind w:firstLine="480" w:firstLineChars="200"/>
        <w:jc w:val="left"/>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报价供应商（盖章）： </w:t>
      </w:r>
    </w:p>
    <w:p w14:paraId="5D47D487">
      <w:pPr>
        <w:pStyle w:val="7"/>
        <w:tabs>
          <w:tab w:val="left" w:pos="0"/>
        </w:tabs>
        <w:spacing w:line="360" w:lineRule="auto"/>
        <w:ind w:firstLine="480" w:firstLineChars="200"/>
        <w:jc w:val="left"/>
        <w:rPr>
          <w:rFonts w:hint="eastAsia" w:ascii="仿宋" w:hAnsi="仿宋" w:eastAsia="仿宋" w:cs="仿宋"/>
          <w:sz w:val="24"/>
          <w:szCs w:val="24"/>
          <w:highlight w:val="none"/>
          <w:u w:val="single"/>
          <w:lang w:val="en-US" w:eastAsia="zh-CN"/>
        </w:rPr>
      </w:pPr>
    </w:p>
    <w:p w14:paraId="6D0858C9">
      <w:pPr>
        <w:pStyle w:val="7"/>
        <w:tabs>
          <w:tab w:val="left" w:pos="0"/>
        </w:tabs>
        <w:spacing w:line="360" w:lineRule="auto"/>
        <w:ind w:firstLine="5760" w:firstLineChars="2400"/>
        <w:jc w:val="lef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年   月   日</w:t>
      </w:r>
    </w:p>
    <w:p w14:paraId="718B65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009FD"/>
    <w:rsid w:val="48100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2025-09-25T07:31:00Z</dcterms:created>
  <dc:creator>11</dc:creator>
  <cp:lastModifiedBy>11</cp:lastModifiedBy>
  <dcterms:modified xsi:type="dcterms:W3CDTF">2025-09-25T07:32:38Z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B0151B9C17CB44A18EB32A604D0F0D42_11</vt:lpwstr>
  </property>
  <property fmtid="{D5CDD505-2E9C-101B-9397-08002B2CF9AE}" pid="4" name="KSOTemplateDocerSaveRecord">
    <vt:lpwstr>eyJoZGlkIjoiZDQyYmYyY2JlZTYwNDk3ZmRmYWI3ZWQ0MWIyZDNhY2QiLCJ1c2VySWQiOiIxNzAwNzI5In0=</vt:lpwstr>
  </property>
</Properties>
</file>