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F4E" w:rsidRPr="007C6F4E" w:rsidRDefault="007C6F4E" w:rsidP="007C6F4E">
      <w:pPr>
        <w:shd w:val="clear" w:color="auto" w:fill="FFFFFF"/>
        <w:tabs>
          <w:tab w:val="left" w:pos="1440"/>
        </w:tabs>
        <w:spacing w:line="420" w:lineRule="atLeast"/>
        <w:ind w:firstLineChars="200" w:firstLine="643"/>
        <w:jc w:val="center"/>
        <w:outlineLvl w:val="0"/>
        <w:rPr>
          <w:rFonts w:asciiTheme="majorEastAsia" w:eastAsiaTheme="majorEastAsia" w:hAnsiTheme="majorEastAsia" w:hint="eastAsia"/>
          <w:b/>
          <w:color w:val="222222"/>
          <w:sz w:val="32"/>
          <w:szCs w:val="32"/>
        </w:rPr>
      </w:pPr>
      <w:r w:rsidRPr="007C6F4E">
        <w:rPr>
          <w:rFonts w:asciiTheme="majorEastAsia" w:eastAsiaTheme="majorEastAsia" w:hAnsiTheme="majorEastAsia" w:hint="eastAsia"/>
          <w:b/>
          <w:color w:val="222222"/>
          <w:sz w:val="32"/>
          <w:szCs w:val="32"/>
        </w:rPr>
        <w:t>采购需求</w:t>
      </w:r>
    </w:p>
    <w:p w:rsidR="007C6F4E" w:rsidRDefault="007C6F4E" w:rsidP="007C6F4E">
      <w:pPr>
        <w:shd w:val="clear" w:color="auto" w:fill="FFFFFF"/>
        <w:tabs>
          <w:tab w:val="left" w:pos="1440"/>
        </w:tabs>
        <w:spacing w:line="420" w:lineRule="atLeast"/>
        <w:ind w:firstLineChars="200" w:firstLine="480"/>
        <w:outlineLvl w:val="0"/>
        <w:rPr>
          <w:rFonts w:ascii="宋体" w:hAnsi="宋体" w:hint="eastAsia"/>
          <w:color w:val="222222"/>
          <w:sz w:val="24"/>
          <w:szCs w:val="24"/>
        </w:rPr>
      </w:pPr>
    </w:p>
    <w:p w:rsidR="007C6F4E" w:rsidRDefault="007C6F4E" w:rsidP="007C6F4E">
      <w:pPr>
        <w:shd w:val="clear" w:color="auto" w:fill="FFFFFF"/>
        <w:tabs>
          <w:tab w:val="left" w:pos="1440"/>
        </w:tabs>
        <w:spacing w:line="420" w:lineRule="atLeast"/>
        <w:ind w:firstLineChars="200" w:firstLine="480"/>
        <w:outlineLvl w:val="0"/>
        <w:rPr>
          <w:rFonts w:ascii="宋体" w:hAnsi="宋体"/>
          <w:color w:val="222222"/>
          <w:sz w:val="24"/>
          <w:szCs w:val="24"/>
        </w:rPr>
      </w:pPr>
      <w:r>
        <w:rPr>
          <w:rFonts w:ascii="宋体" w:hAnsi="宋体" w:hint="eastAsia"/>
          <w:color w:val="222222"/>
          <w:sz w:val="24"/>
          <w:szCs w:val="24"/>
        </w:rPr>
        <w:t>一、采购内容</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 xml:space="preserve">采购包1： </w:t>
      </w:r>
    </w:p>
    <w:tbl>
      <w:tblPr>
        <w:tblW w:w="932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325"/>
        <w:gridCol w:w="1806"/>
        <w:gridCol w:w="2169"/>
        <w:gridCol w:w="2291"/>
      </w:tblGrid>
      <w:tr w:rsidR="007C6F4E" w:rsidTr="007C6F4E">
        <w:tc>
          <w:tcPr>
            <w:tcW w:w="729" w:type="dxa"/>
            <w:tcBorders>
              <w:top w:val="single" w:sz="4" w:space="0" w:color="auto"/>
              <w:left w:val="single" w:sz="4" w:space="0" w:color="auto"/>
              <w:bottom w:val="single" w:sz="4" w:space="0" w:color="auto"/>
              <w:right w:val="single" w:sz="4" w:space="0" w:color="auto"/>
            </w:tcBorders>
            <w:vAlign w:val="center"/>
            <w:hideMark/>
          </w:tcPr>
          <w:p w:rsidR="007C6F4E" w:rsidRDefault="007C6F4E">
            <w:pPr>
              <w:pStyle w:val="null3"/>
              <w:jc w:val="center"/>
              <w:rPr>
                <w:rFonts w:ascii="宋体" w:hAnsi="宋体"/>
                <w:sz w:val="21"/>
                <w:szCs w:val="21"/>
              </w:rPr>
            </w:pPr>
            <w:r>
              <w:rPr>
                <w:rFonts w:ascii="宋体" w:hAnsi="宋体" w:hint="eastAsia"/>
                <w:sz w:val="21"/>
                <w:szCs w:val="21"/>
              </w:rPr>
              <w:t>序号</w:t>
            </w:r>
          </w:p>
        </w:tc>
        <w:tc>
          <w:tcPr>
            <w:tcW w:w="2325" w:type="dxa"/>
            <w:tcBorders>
              <w:top w:val="single" w:sz="4" w:space="0" w:color="auto"/>
              <w:left w:val="single" w:sz="4" w:space="0" w:color="auto"/>
              <w:bottom w:val="single" w:sz="4" w:space="0" w:color="auto"/>
              <w:right w:val="single" w:sz="4" w:space="0" w:color="auto"/>
            </w:tcBorders>
            <w:vAlign w:val="center"/>
            <w:hideMark/>
          </w:tcPr>
          <w:p w:rsidR="007C6F4E" w:rsidRDefault="007C6F4E">
            <w:pPr>
              <w:pStyle w:val="null3"/>
              <w:jc w:val="center"/>
              <w:rPr>
                <w:rFonts w:ascii="宋体" w:hAnsi="宋体"/>
                <w:sz w:val="21"/>
                <w:szCs w:val="21"/>
              </w:rPr>
            </w:pPr>
            <w:r>
              <w:rPr>
                <w:rFonts w:ascii="宋体" w:hAnsi="宋体" w:hint="eastAsia"/>
                <w:sz w:val="21"/>
                <w:szCs w:val="21"/>
              </w:rPr>
              <w:t>货物名称/标的名称</w:t>
            </w:r>
          </w:p>
        </w:tc>
        <w:tc>
          <w:tcPr>
            <w:tcW w:w="1806" w:type="dxa"/>
            <w:tcBorders>
              <w:top w:val="single" w:sz="4" w:space="0" w:color="auto"/>
              <w:left w:val="single" w:sz="4" w:space="0" w:color="auto"/>
              <w:bottom w:val="single" w:sz="4" w:space="0" w:color="auto"/>
              <w:right w:val="single" w:sz="4" w:space="0" w:color="auto"/>
            </w:tcBorders>
            <w:vAlign w:val="center"/>
            <w:hideMark/>
          </w:tcPr>
          <w:p w:rsidR="007C6F4E" w:rsidRDefault="007C6F4E">
            <w:pPr>
              <w:pStyle w:val="null3"/>
              <w:jc w:val="center"/>
              <w:rPr>
                <w:rFonts w:ascii="宋体" w:hAnsi="宋体"/>
                <w:sz w:val="21"/>
                <w:szCs w:val="21"/>
              </w:rPr>
            </w:pPr>
            <w:r>
              <w:rPr>
                <w:rFonts w:ascii="宋体" w:hAnsi="宋体" w:hint="eastAsia"/>
                <w:color w:val="000000"/>
              </w:rPr>
              <w:t>★</w:t>
            </w:r>
            <w:r>
              <w:rPr>
                <w:rFonts w:ascii="宋体" w:hAnsi="宋体" w:hint="eastAsia"/>
                <w:sz w:val="21"/>
                <w:szCs w:val="21"/>
              </w:rPr>
              <w:t>数量及单位</w:t>
            </w:r>
          </w:p>
        </w:tc>
        <w:tc>
          <w:tcPr>
            <w:tcW w:w="2169" w:type="dxa"/>
            <w:tcBorders>
              <w:top w:val="single" w:sz="4" w:space="0" w:color="auto"/>
              <w:left w:val="single" w:sz="4" w:space="0" w:color="auto"/>
              <w:bottom w:val="single" w:sz="4" w:space="0" w:color="auto"/>
              <w:right w:val="single" w:sz="4" w:space="0" w:color="auto"/>
            </w:tcBorders>
            <w:vAlign w:val="center"/>
            <w:hideMark/>
          </w:tcPr>
          <w:p w:rsidR="007C6F4E" w:rsidRDefault="007C6F4E">
            <w:pPr>
              <w:pStyle w:val="null3"/>
              <w:jc w:val="center"/>
              <w:rPr>
                <w:rFonts w:ascii="宋体" w:hAnsi="宋体"/>
                <w:sz w:val="21"/>
                <w:szCs w:val="21"/>
              </w:rPr>
            </w:pPr>
            <w:r>
              <w:rPr>
                <w:rFonts w:ascii="宋体" w:hAnsi="宋体" w:hint="eastAsia"/>
                <w:color w:val="000000"/>
              </w:rPr>
              <w:t>★</w:t>
            </w:r>
            <w:r>
              <w:rPr>
                <w:rFonts w:ascii="宋体" w:hAnsi="宋体" w:hint="eastAsia"/>
                <w:sz w:val="21"/>
                <w:szCs w:val="21"/>
              </w:rPr>
              <w:t>单价最高限价（元）</w:t>
            </w:r>
          </w:p>
        </w:tc>
        <w:tc>
          <w:tcPr>
            <w:tcW w:w="2291" w:type="dxa"/>
            <w:tcBorders>
              <w:top w:val="single" w:sz="4" w:space="0" w:color="auto"/>
              <w:left w:val="single" w:sz="4" w:space="0" w:color="auto"/>
              <w:bottom w:val="single" w:sz="4" w:space="0" w:color="auto"/>
              <w:right w:val="single" w:sz="4" w:space="0" w:color="auto"/>
            </w:tcBorders>
            <w:vAlign w:val="center"/>
            <w:hideMark/>
          </w:tcPr>
          <w:p w:rsidR="007C6F4E" w:rsidRDefault="007C6F4E">
            <w:pPr>
              <w:pStyle w:val="null3"/>
              <w:jc w:val="center"/>
              <w:rPr>
                <w:rFonts w:ascii="宋体" w:hAnsi="宋体"/>
                <w:sz w:val="21"/>
                <w:szCs w:val="21"/>
              </w:rPr>
            </w:pPr>
            <w:r>
              <w:rPr>
                <w:rFonts w:ascii="宋体" w:hAnsi="宋体" w:hint="eastAsia"/>
                <w:color w:val="000000"/>
              </w:rPr>
              <w:t>★</w:t>
            </w:r>
            <w:r>
              <w:rPr>
                <w:rFonts w:ascii="宋体" w:hAnsi="宋体" w:hint="eastAsia"/>
                <w:sz w:val="21"/>
                <w:szCs w:val="21"/>
              </w:rPr>
              <w:t>总价最高限价（元）</w:t>
            </w:r>
          </w:p>
        </w:tc>
      </w:tr>
      <w:tr w:rsidR="007C6F4E" w:rsidTr="007C6F4E">
        <w:tc>
          <w:tcPr>
            <w:tcW w:w="729" w:type="dxa"/>
            <w:tcBorders>
              <w:top w:val="single" w:sz="4" w:space="0" w:color="auto"/>
              <w:left w:val="single" w:sz="4" w:space="0" w:color="auto"/>
              <w:bottom w:val="single" w:sz="4" w:space="0" w:color="auto"/>
              <w:right w:val="single" w:sz="4" w:space="0" w:color="auto"/>
            </w:tcBorders>
            <w:vAlign w:val="center"/>
            <w:hideMark/>
          </w:tcPr>
          <w:p w:rsidR="007C6F4E" w:rsidRDefault="007C6F4E">
            <w:pPr>
              <w:pStyle w:val="null3"/>
              <w:jc w:val="center"/>
              <w:rPr>
                <w:rFonts w:ascii="宋体" w:hAnsi="宋体"/>
                <w:sz w:val="21"/>
                <w:szCs w:val="21"/>
              </w:rPr>
            </w:pPr>
            <w:r>
              <w:rPr>
                <w:rFonts w:ascii="宋体" w:hAnsi="宋体" w:hint="eastAsia"/>
                <w:sz w:val="21"/>
                <w:szCs w:val="21"/>
              </w:rPr>
              <w:t>1</w:t>
            </w:r>
          </w:p>
        </w:tc>
        <w:tc>
          <w:tcPr>
            <w:tcW w:w="2325" w:type="dxa"/>
            <w:tcBorders>
              <w:top w:val="single" w:sz="4" w:space="0" w:color="auto"/>
              <w:left w:val="single" w:sz="4" w:space="0" w:color="auto"/>
              <w:bottom w:val="single" w:sz="4" w:space="0" w:color="auto"/>
              <w:right w:val="single" w:sz="4" w:space="0" w:color="auto"/>
            </w:tcBorders>
            <w:vAlign w:val="center"/>
            <w:hideMark/>
          </w:tcPr>
          <w:p w:rsidR="007C6F4E" w:rsidRDefault="007C6F4E">
            <w:pPr>
              <w:pStyle w:val="null3"/>
              <w:jc w:val="center"/>
              <w:rPr>
                <w:rFonts w:ascii="宋体" w:hAnsi="宋体"/>
                <w:sz w:val="21"/>
                <w:szCs w:val="21"/>
              </w:rPr>
            </w:pPr>
            <w:r>
              <w:rPr>
                <w:rFonts w:ascii="宋体" w:hAnsi="宋体" w:hint="eastAsia"/>
                <w:color w:val="222222"/>
                <w:sz w:val="21"/>
                <w:szCs w:val="21"/>
              </w:rPr>
              <w:t>全自动化学发光测定仪</w:t>
            </w:r>
          </w:p>
        </w:tc>
        <w:tc>
          <w:tcPr>
            <w:tcW w:w="1806" w:type="dxa"/>
            <w:tcBorders>
              <w:top w:val="single" w:sz="4" w:space="0" w:color="auto"/>
              <w:left w:val="single" w:sz="4" w:space="0" w:color="auto"/>
              <w:bottom w:val="single" w:sz="4" w:space="0" w:color="auto"/>
              <w:right w:val="single" w:sz="4" w:space="0" w:color="auto"/>
            </w:tcBorders>
            <w:vAlign w:val="center"/>
            <w:hideMark/>
          </w:tcPr>
          <w:p w:rsidR="007C6F4E" w:rsidRDefault="007C6F4E">
            <w:pPr>
              <w:pStyle w:val="null3"/>
              <w:jc w:val="center"/>
              <w:rPr>
                <w:rFonts w:ascii="宋体" w:hAnsi="宋体"/>
                <w:sz w:val="21"/>
                <w:szCs w:val="21"/>
              </w:rPr>
            </w:pPr>
            <w:r>
              <w:rPr>
                <w:rFonts w:ascii="宋体" w:hAnsi="宋体" w:hint="eastAsia"/>
                <w:sz w:val="21"/>
                <w:szCs w:val="21"/>
              </w:rPr>
              <w:t>1台</w:t>
            </w:r>
          </w:p>
        </w:tc>
        <w:tc>
          <w:tcPr>
            <w:tcW w:w="2169" w:type="dxa"/>
            <w:tcBorders>
              <w:top w:val="single" w:sz="4" w:space="0" w:color="auto"/>
              <w:left w:val="single" w:sz="4" w:space="0" w:color="auto"/>
              <w:bottom w:val="single" w:sz="4" w:space="0" w:color="auto"/>
              <w:right w:val="single" w:sz="4" w:space="0" w:color="auto"/>
            </w:tcBorders>
            <w:vAlign w:val="center"/>
            <w:hideMark/>
          </w:tcPr>
          <w:p w:rsidR="007C6F4E" w:rsidRDefault="007C6F4E">
            <w:pPr>
              <w:pStyle w:val="null3"/>
              <w:jc w:val="center"/>
              <w:rPr>
                <w:rFonts w:ascii="宋体" w:hAnsi="宋体"/>
                <w:sz w:val="21"/>
                <w:szCs w:val="21"/>
              </w:rPr>
            </w:pPr>
            <w:r>
              <w:rPr>
                <w:rFonts w:ascii="宋体" w:hAnsi="宋体" w:hint="eastAsia"/>
                <w:sz w:val="21"/>
                <w:szCs w:val="21"/>
              </w:rPr>
              <w:t>5000</w:t>
            </w:r>
          </w:p>
        </w:tc>
        <w:tc>
          <w:tcPr>
            <w:tcW w:w="2291" w:type="dxa"/>
            <w:tcBorders>
              <w:top w:val="single" w:sz="4" w:space="0" w:color="auto"/>
              <w:left w:val="single" w:sz="4" w:space="0" w:color="auto"/>
              <w:bottom w:val="single" w:sz="4" w:space="0" w:color="auto"/>
              <w:right w:val="single" w:sz="4" w:space="0" w:color="auto"/>
            </w:tcBorders>
            <w:vAlign w:val="center"/>
            <w:hideMark/>
          </w:tcPr>
          <w:p w:rsidR="007C6F4E" w:rsidRDefault="007C6F4E">
            <w:pPr>
              <w:pStyle w:val="null3"/>
              <w:jc w:val="center"/>
              <w:rPr>
                <w:rFonts w:ascii="宋体" w:hAnsi="宋体"/>
                <w:sz w:val="21"/>
                <w:szCs w:val="21"/>
              </w:rPr>
            </w:pPr>
            <w:r>
              <w:rPr>
                <w:rFonts w:ascii="宋体" w:hAnsi="宋体" w:hint="eastAsia"/>
                <w:sz w:val="21"/>
                <w:szCs w:val="21"/>
              </w:rPr>
              <w:t>5000</w:t>
            </w:r>
          </w:p>
        </w:tc>
      </w:tr>
      <w:tr w:rsidR="007C6F4E" w:rsidTr="007C6F4E">
        <w:tc>
          <w:tcPr>
            <w:tcW w:w="729" w:type="dxa"/>
            <w:tcBorders>
              <w:top w:val="single" w:sz="4" w:space="0" w:color="auto"/>
              <w:left w:val="single" w:sz="4" w:space="0" w:color="auto"/>
              <w:bottom w:val="single" w:sz="4" w:space="0" w:color="auto"/>
              <w:right w:val="single" w:sz="4" w:space="0" w:color="auto"/>
            </w:tcBorders>
            <w:vAlign w:val="center"/>
            <w:hideMark/>
          </w:tcPr>
          <w:p w:rsidR="007C6F4E" w:rsidRDefault="007C6F4E">
            <w:pPr>
              <w:pStyle w:val="null3"/>
              <w:jc w:val="center"/>
              <w:rPr>
                <w:rFonts w:ascii="宋体" w:hAnsi="宋体"/>
                <w:sz w:val="21"/>
                <w:szCs w:val="21"/>
              </w:rPr>
            </w:pPr>
            <w:r>
              <w:rPr>
                <w:rFonts w:ascii="宋体" w:hAnsi="宋体" w:hint="eastAsia"/>
                <w:sz w:val="21"/>
                <w:szCs w:val="21"/>
              </w:rPr>
              <w:t>2</w:t>
            </w:r>
          </w:p>
        </w:tc>
        <w:tc>
          <w:tcPr>
            <w:tcW w:w="2325" w:type="dxa"/>
            <w:tcBorders>
              <w:top w:val="single" w:sz="4" w:space="0" w:color="auto"/>
              <w:left w:val="single" w:sz="4" w:space="0" w:color="auto"/>
              <w:bottom w:val="single" w:sz="4" w:space="0" w:color="auto"/>
              <w:right w:val="single" w:sz="4" w:space="0" w:color="auto"/>
            </w:tcBorders>
            <w:vAlign w:val="center"/>
            <w:hideMark/>
          </w:tcPr>
          <w:p w:rsidR="007C6F4E" w:rsidRDefault="007C6F4E">
            <w:pPr>
              <w:pStyle w:val="null3"/>
              <w:jc w:val="center"/>
              <w:rPr>
                <w:rFonts w:ascii="宋体" w:hAnsi="宋体"/>
                <w:sz w:val="21"/>
                <w:szCs w:val="21"/>
              </w:rPr>
            </w:pPr>
            <w:r>
              <w:rPr>
                <w:rFonts w:ascii="宋体" w:hAnsi="宋体" w:hint="eastAsia"/>
                <w:color w:val="222222"/>
                <w:sz w:val="21"/>
                <w:szCs w:val="21"/>
                <w:u w:val="single"/>
              </w:rPr>
              <w:t>仪器配套试剂耗材</w:t>
            </w:r>
          </w:p>
        </w:tc>
        <w:tc>
          <w:tcPr>
            <w:tcW w:w="6266" w:type="dxa"/>
            <w:gridSpan w:val="3"/>
            <w:tcBorders>
              <w:top w:val="single" w:sz="4" w:space="0" w:color="auto"/>
              <w:left w:val="single" w:sz="4" w:space="0" w:color="auto"/>
              <w:bottom w:val="single" w:sz="4" w:space="0" w:color="auto"/>
              <w:right w:val="single" w:sz="4" w:space="0" w:color="auto"/>
            </w:tcBorders>
            <w:vAlign w:val="center"/>
            <w:hideMark/>
          </w:tcPr>
          <w:p w:rsidR="007C6F4E" w:rsidRDefault="007C6F4E">
            <w:pPr>
              <w:pStyle w:val="null3"/>
              <w:rPr>
                <w:rFonts w:ascii="宋体" w:hAnsi="宋体"/>
                <w:sz w:val="21"/>
                <w:szCs w:val="21"/>
              </w:rPr>
            </w:pPr>
            <w:r>
              <w:rPr>
                <w:rFonts w:ascii="宋体" w:hAnsi="宋体" w:hint="eastAsia"/>
                <w:color w:val="000000"/>
              </w:rPr>
              <w:t>★</w:t>
            </w:r>
            <w:r>
              <w:rPr>
                <w:rFonts w:ascii="宋体" w:hAnsi="宋体" w:hint="eastAsia"/>
                <w:color w:val="222222"/>
                <w:sz w:val="21"/>
                <w:szCs w:val="21"/>
              </w:rPr>
              <w:t>请根据设备自行填报所需试剂耗材品名、规格、价格、最小包装等信息，未填报的视为免费提供使用，既不填报又不免费提供使用的视为未响应采购文件实质性要求，即使签订合同后采购人也有权取消合同。试剂耗材报价不高于四川</w:t>
            </w:r>
            <w:proofErr w:type="gramStart"/>
            <w:r>
              <w:rPr>
                <w:rFonts w:ascii="宋体" w:hAnsi="宋体" w:hint="eastAsia"/>
                <w:color w:val="222222"/>
                <w:sz w:val="21"/>
                <w:szCs w:val="21"/>
              </w:rPr>
              <w:t>医保招采</w:t>
            </w:r>
            <w:proofErr w:type="gramEnd"/>
            <w:r>
              <w:rPr>
                <w:rFonts w:ascii="宋体" w:hAnsi="宋体" w:hint="eastAsia"/>
                <w:color w:val="222222"/>
                <w:sz w:val="21"/>
                <w:szCs w:val="21"/>
              </w:rPr>
              <w:t>子系统（四川</w:t>
            </w:r>
            <w:proofErr w:type="gramStart"/>
            <w:r>
              <w:rPr>
                <w:rFonts w:ascii="宋体" w:hAnsi="宋体" w:hint="eastAsia"/>
                <w:color w:val="222222"/>
                <w:sz w:val="21"/>
                <w:szCs w:val="21"/>
              </w:rPr>
              <w:t>医</w:t>
            </w:r>
            <w:proofErr w:type="gramEnd"/>
            <w:r>
              <w:rPr>
                <w:rFonts w:ascii="宋体" w:hAnsi="宋体" w:hint="eastAsia"/>
                <w:color w:val="222222"/>
                <w:sz w:val="21"/>
                <w:szCs w:val="21"/>
              </w:rPr>
              <w:t>保公共服务平台上--药品和医用</w:t>
            </w:r>
            <w:proofErr w:type="gramStart"/>
            <w:r>
              <w:rPr>
                <w:rFonts w:ascii="宋体" w:hAnsi="宋体" w:hint="eastAsia"/>
                <w:color w:val="222222"/>
                <w:sz w:val="21"/>
                <w:szCs w:val="21"/>
              </w:rPr>
              <w:t>耗材招采管理系统</w:t>
            </w:r>
            <w:proofErr w:type="gramEnd"/>
            <w:r>
              <w:rPr>
                <w:rFonts w:ascii="宋体" w:hAnsi="宋体" w:hint="eastAsia"/>
                <w:color w:val="222222"/>
                <w:sz w:val="21"/>
                <w:szCs w:val="21"/>
              </w:rPr>
              <w:t>）上月末全省医疗机构采购加权平均价、四川省最高参考价、联动参考价中的任一价格。</w:t>
            </w:r>
          </w:p>
        </w:tc>
      </w:tr>
    </w:tbl>
    <w:p w:rsidR="007C6F4E" w:rsidRDefault="007C6F4E" w:rsidP="007C6F4E">
      <w:pPr>
        <w:shd w:val="clear" w:color="auto" w:fill="FFFFFF"/>
        <w:tabs>
          <w:tab w:val="left" w:pos="1440"/>
        </w:tabs>
        <w:spacing w:line="420" w:lineRule="atLeast"/>
        <w:ind w:firstLineChars="200" w:firstLine="480"/>
        <w:outlineLvl w:val="0"/>
        <w:rPr>
          <w:rFonts w:ascii="宋体" w:hAnsi="宋体" w:hint="eastAsia"/>
          <w:color w:val="222222"/>
          <w:sz w:val="24"/>
          <w:szCs w:val="24"/>
        </w:rPr>
      </w:pPr>
      <w:r>
        <w:rPr>
          <w:rFonts w:ascii="宋体" w:hAnsi="宋体" w:hint="eastAsia"/>
          <w:color w:val="222222"/>
          <w:sz w:val="24"/>
          <w:szCs w:val="24"/>
        </w:rPr>
        <w:t>二、技术参数要求</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采购包1：</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货物名称/标的名称：全自动化学发光测定仪</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用途：用于心肌五项检测的相关检测</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技术参数要求：</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1、采用</w:t>
      </w:r>
      <w:proofErr w:type="gramStart"/>
      <w:r>
        <w:rPr>
          <w:rFonts w:ascii="宋体" w:hAnsi="宋体" w:hint="eastAsia"/>
          <w:color w:val="222222"/>
          <w:sz w:val="24"/>
          <w:szCs w:val="24"/>
        </w:rPr>
        <w:t>吖啶酯直接</w:t>
      </w:r>
      <w:proofErr w:type="gramEnd"/>
      <w:r>
        <w:rPr>
          <w:rFonts w:ascii="宋体" w:hAnsi="宋体" w:hint="eastAsia"/>
          <w:color w:val="222222"/>
          <w:sz w:val="24"/>
          <w:szCs w:val="24"/>
        </w:rPr>
        <w:t>化学发光法；</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▲2、首</w:t>
      </w:r>
      <w:proofErr w:type="gramStart"/>
      <w:r>
        <w:rPr>
          <w:rFonts w:ascii="宋体" w:hAnsi="宋体" w:hint="eastAsia"/>
          <w:color w:val="222222"/>
          <w:sz w:val="24"/>
          <w:szCs w:val="24"/>
        </w:rPr>
        <w:t>样结果</w:t>
      </w:r>
      <w:proofErr w:type="gramEnd"/>
      <w:r>
        <w:rPr>
          <w:rFonts w:ascii="宋体" w:hAnsi="宋体" w:hint="eastAsia"/>
          <w:color w:val="222222"/>
          <w:sz w:val="24"/>
          <w:szCs w:val="24"/>
        </w:rPr>
        <w:t>报告时间：≤7分钟；</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★3、检测样本必须支持：末梢血、血清、血浆、全血等；</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4、最小加样量：≤20μl。</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▲5、样本管：支持原始管和EP管上样。</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6、试剂位：≥15个。</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7、测试速度≥150T/H。</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8、急诊进样系统：具有急诊通道，急诊样本，优先处理。</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▲9、炎症监测项目：需要包括降钙素原、C反应蛋白、白介素6、白介素8、白介素10、白介素1β、白介素2受体、血清淀粉样蛋白A等相关检测。</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▲10、心血管项目：需要包括B</w:t>
      </w:r>
      <w:proofErr w:type="gramStart"/>
      <w:r>
        <w:rPr>
          <w:rFonts w:ascii="宋体" w:hAnsi="宋体" w:hint="eastAsia"/>
          <w:color w:val="222222"/>
          <w:sz w:val="24"/>
          <w:szCs w:val="24"/>
        </w:rPr>
        <w:t>型钠尿肽</w:t>
      </w:r>
      <w:proofErr w:type="gramEnd"/>
      <w:r>
        <w:rPr>
          <w:rFonts w:ascii="宋体" w:hAnsi="宋体" w:hint="eastAsia"/>
          <w:color w:val="222222"/>
          <w:sz w:val="24"/>
          <w:szCs w:val="24"/>
        </w:rPr>
        <w:t>前体、超敏心肌肌钙蛋白I、肌红蛋白、肌酸激酶同工酶等相关检测。</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▲11、肿瘤标志物项目：需要包括甲胎蛋白，癌胚抗原，糖类抗原（125，153，199，50，242，724），游离/总前列腺特异性抗原等相关检测；</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12、甲状腺功能项目</w:t>
      </w:r>
      <w:proofErr w:type="gramStart"/>
      <w:r>
        <w:rPr>
          <w:rFonts w:ascii="宋体" w:hAnsi="宋体" w:hint="eastAsia"/>
          <w:color w:val="222222"/>
          <w:sz w:val="24"/>
          <w:szCs w:val="24"/>
        </w:rPr>
        <w:t>需包括甲功</w:t>
      </w:r>
      <w:proofErr w:type="gramEnd"/>
      <w:r>
        <w:rPr>
          <w:rFonts w:ascii="宋体" w:hAnsi="宋体" w:hint="eastAsia"/>
          <w:color w:val="222222"/>
          <w:sz w:val="24"/>
          <w:szCs w:val="24"/>
        </w:rPr>
        <w:t>七项等相关检测，如（T3,T4,TSH,FT3,FT4,anti-TPO,TGAB等）；</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lastRenderedPageBreak/>
        <w:t>▲13、其他项目要求：需要包括胰岛素样生长因子I、胰岛素样生长因子结合蛋白3、</w:t>
      </w:r>
      <w:proofErr w:type="gramStart"/>
      <w:r>
        <w:rPr>
          <w:rFonts w:ascii="宋体" w:hAnsi="宋体" w:hint="eastAsia"/>
          <w:color w:val="222222"/>
          <w:sz w:val="24"/>
          <w:szCs w:val="24"/>
        </w:rPr>
        <w:t>涎液化糖链抗原</w:t>
      </w:r>
      <w:proofErr w:type="gramEnd"/>
      <w:r>
        <w:rPr>
          <w:rFonts w:ascii="宋体" w:hAnsi="宋体" w:hint="eastAsia"/>
          <w:color w:val="222222"/>
          <w:sz w:val="24"/>
          <w:szCs w:val="24"/>
        </w:rPr>
        <w:t>、基质金属蛋白酶-3、血管内皮生长因子、中枢神经特异蛋白（S100β）、胸</w:t>
      </w:r>
      <w:proofErr w:type="gramStart"/>
      <w:r>
        <w:rPr>
          <w:rFonts w:ascii="宋体" w:hAnsi="宋体" w:hint="eastAsia"/>
          <w:color w:val="222222"/>
          <w:sz w:val="24"/>
          <w:szCs w:val="24"/>
        </w:rPr>
        <w:t>苷</w:t>
      </w:r>
      <w:proofErr w:type="gramEnd"/>
      <w:r>
        <w:rPr>
          <w:rFonts w:ascii="宋体" w:hAnsi="宋体" w:hint="eastAsia"/>
          <w:color w:val="222222"/>
          <w:sz w:val="24"/>
          <w:szCs w:val="24"/>
        </w:rPr>
        <w:t>激酶1等相关检测。</w:t>
      </w:r>
    </w:p>
    <w:p w:rsidR="007C6F4E" w:rsidRDefault="007C6F4E" w:rsidP="007C6F4E">
      <w:pPr>
        <w:shd w:val="clear" w:color="auto" w:fill="FFFFFF"/>
        <w:tabs>
          <w:tab w:val="left" w:pos="1440"/>
        </w:tabs>
        <w:spacing w:line="420" w:lineRule="atLeast"/>
        <w:ind w:firstLineChars="200" w:firstLine="480"/>
        <w:outlineLvl w:val="0"/>
        <w:rPr>
          <w:rFonts w:ascii="宋体" w:hAnsi="宋体" w:hint="eastAsia"/>
          <w:color w:val="222222"/>
          <w:sz w:val="24"/>
          <w:szCs w:val="24"/>
        </w:rPr>
      </w:pPr>
      <w:r>
        <w:rPr>
          <w:rFonts w:ascii="宋体" w:hAnsi="宋体" w:hint="eastAsia"/>
          <w:color w:val="222222"/>
          <w:sz w:val="24"/>
          <w:szCs w:val="24"/>
        </w:rPr>
        <w:t>★三、商务要求</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（一）设备要求</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1.交货时间：为合同签订生效后的20日内。</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2.交货地点：由供应商负责送货至医院指定地点，并承担一切运输费用，包括到医院指定地点的搬运费。</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3.资金支付方式：货物验收合格后，按医院相关财务制度一次性支付设备货款。</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4.提供的设备出厂日期必须在180天以内，否则拒绝接受设备，视为实质性违约。</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5.安装、调试、培训</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（1）合同签订后7日内，供应商需向采购人提供全面的机房建筑设计、供水供电、专用地线技术要求等设计图纸及安装条件的技术要求（如适用），并派专人现场进行技术服务和指导。</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（2）合同签订20日内，供应商完成供货并开始安装、调试。如因供应商责任而造成延期，所有因延期而产生的费用及造成的后果及损失由供应商承担。</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（3）供应商应提供完整的培训计划和方案。负责免费培训设备使用操作和维修维护人员，并提供有效的培训资料。如因产品质量和使用培训不到位造成医疗纠纷或医疗事故由供应商承担一切责任和损失。</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6.售后服务内容及要求</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（1）提供售后服务承诺，注明保修时间、响应时间等。保修期内，负责所提供产品的售后服务，包括人工、差旅、设备及零配件增添更换等一切费用（人为损害及不可抗力因素除外）。</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（2）协助医院做好设备质量控制工作，检测周期内免费出具产品性能评价报告（包括精密度、准确度、抗干扰能力、线性等），保证检验检查结果的准确性。</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（3）售后服务响应时间：当设备发生故障，10分钟内响应，24小时内到达现场解决问题。</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（4）保修期内，每年提供≥4次免费维护保养，并出具维护保养报告。</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（二）试剂耗材要求</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1.耗材的名称、规格、</w:t>
      </w:r>
      <w:proofErr w:type="gramStart"/>
      <w:r>
        <w:rPr>
          <w:rFonts w:ascii="宋体" w:hAnsi="宋体" w:hint="eastAsia"/>
          <w:color w:val="222222"/>
          <w:sz w:val="24"/>
          <w:szCs w:val="24"/>
        </w:rPr>
        <w:t>数量与效期</w:t>
      </w:r>
      <w:proofErr w:type="gramEnd"/>
      <w:r>
        <w:rPr>
          <w:rFonts w:ascii="宋体" w:hAnsi="宋体" w:hint="eastAsia"/>
          <w:color w:val="222222"/>
          <w:sz w:val="24"/>
          <w:szCs w:val="24"/>
        </w:rPr>
        <w:t>要求</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lastRenderedPageBreak/>
        <w:t>（1）供应商供应的耗材名称及规格型号必须与注册证名称、规格型号一致。</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（2）供应商供应的医用耗材的有效期应在失效前180天以上。</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2.供货期限及要求</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hAnsi="宋体" w:hint="eastAsia"/>
          <w:color w:val="222222"/>
          <w:sz w:val="24"/>
          <w:szCs w:val="24"/>
        </w:rPr>
        <w:t>（</w:t>
      </w:r>
      <w:r>
        <w:rPr>
          <w:rFonts w:hAnsi="宋体" w:hint="eastAsia"/>
          <w:color w:val="222222"/>
          <w:sz w:val="24"/>
          <w:szCs w:val="24"/>
        </w:rPr>
        <w:t>1</w:t>
      </w:r>
      <w:r>
        <w:rPr>
          <w:rFonts w:hAnsi="宋体" w:hint="eastAsia"/>
          <w:color w:val="222222"/>
          <w:sz w:val="24"/>
          <w:szCs w:val="24"/>
        </w:rPr>
        <w:t>）</w:t>
      </w:r>
      <w:r>
        <w:rPr>
          <w:rFonts w:hAnsi="宋体" w:hint="eastAsia"/>
          <w:sz w:val="24"/>
          <w:szCs w:val="24"/>
        </w:rPr>
        <w:t>合同有效期：</w:t>
      </w:r>
      <w:r>
        <w:rPr>
          <w:rFonts w:hAnsi="宋体" w:hint="eastAsia"/>
          <w:color w:val="222222"/>
          <w:sz w:val="24"/>
          <w:szCs w:val="24"/>
        </w:rPr>
        <w:t>自合同签订之日起三年</w:t>
      </w:r>
      <w:r>
        <w:rPr>
          <w:rFonts w:hAnsi="宋体" w:hint="eastAsia"/>
          <w:sz w:val="24"/>
          <w:szCs w:val="24"/>
        </w:rPr>
        <w:t>，期满后根据医院需求与市场情况决定是否续约。</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（2）供应</w:t>
      </w:r>
      <w:proofErr w:type="gramStart"/>
      <w:r>
        <w:rPr>
          <w:rFonts w:ascii="宋体" w:hAnsi="宋体" w:hint="eastAsia"/>
          <w:color w:val="222222"/>
          <w:sz w:val="24"/>
          <w:szCs w:val="24"/>
        </w:rPr>
        <w:t>商接到</w:t>
      </w:r>
      <w:proofErr w:type="gramEnd"/>
      <w:r>
        <w:rPr>
          <w:rFonts w:ascii="宋体" w:hAnsi="宋体" w:hint="eastAsia"/>
          <w:color w:val="222222"/>
          <w:sz w:val="24"/>
          <w:szCs w:val="24"/>
        </w:rPr>
        <w:t>采购人采购计划后，须在采购人指定的时间（15日）内，按库房要求送货到采购人，做到货、票、《合格证》、该批次产品的检验报告同行（出库单上应</w:t>
      </w:r>
      <w:proofErr w:type="gramStart"/>
      <w:r>
        <w:rPr>
          <w:rFonts w:ascii="宋体" w:hAnsi="宋体" w:hint="eastAsia"/>
          <w:color w:val="222222"/>
          <w:sz w:val="24"/>
          <w:szCs w:val="24"/>
        </w:rPr>
        <w:t>明确载示</w:t>
      </w:r>
      <w:proofErr w:type="gramEnd"/>
      <w:r>
        <w:rPr>
          <w:rFonts w:ascii="宋体" w:hAnsi="宋体" w:hint="eastAsia"/>
          <w:color w:val="222222"/>
          <w:sz w:val="24"/>
          <w:szCs w:val="24"/>
        </w:rPr>
        <w:t>：品名、型号、批号、效期、生产企业、批准文号等，利于采购人验收</w:t>
      </w:r>
      <w:bookmarkStart w:id="0" w:name="_GoBack"/>
      <w:bookmarkEnd w:id="0"/>
      <w:r>
        <w:rPr>
          <w:rFonts w:ascii="宋体" w:hAnsi="宋体" w:hint="eastAsia"/>
          <w:color w:val="222222"/>
          <w:sz w:val="24"/>
          <w:szCs w:val="24"/>
        </w:rPr>
        <w:t>登记）。供应商应配合采购人管理人员核对实物与采购计划相符，实物与票据相符，有问题的及时调整或换货。</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（3）对于急救用耗材，供应商必须立即供货，不得拖延（最迟不超过48小时内送达采购人）。</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（4）耗材的运输费用由供应商负责，运输途中的破损，由供应商负责。</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3.价格与结算方式</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（1）签订采购合同后，供应商以采购人实际需求提供合格产品，分批供货，双方据实结算，结算金额=实际用量×单价（以成交单价或</w:t>
      </w:r>
      <w:proofErr w:type="gramStart"/>
      <w:r>
        <w:rPr>
          <w:rFonts w:ascii="宋体" w:hAnsi="宋体" w:hint="eastAsia"/>
          <w:color w:val="222222"/>
          <w:sz w:val="24"/>
          <w:szCs w:val="24"/>
        </w:rPr>
        <w:t>挂网价孰低</w:t>
      </w:r>
      <w:proofErr w:type="gramEnd"/>
      <w:r>
        <w:rPr>
          <w:rFonts w:ascii="宋体" w:hAnsi="宋体" w:hint="eastAsia"/>
          <w:color w:val="222222"/>
          <w:sz w:val="24"/>
          <w:szCs w:val="24"/>
        </w:rPr>
        <w:t>者执行并进行结算）。供应商承诺遵守国家和四川省相关物价及集</w:t>
      </w:r>
      <w:proofErr w:type="gramStart"/>
      <w:r>
        <w:rPr>
          <w:rFonts w:ascii="宋体" w:hAnsi="宋体" w:hint="eastAsia"/>
          <w:color w:val="222222"/>
          <w:sz w:val="24"/>
          <w:szCs w:val="24"/>
        </w:rPr>
        <w:t>采政策</w:t>
      </w:r>
      <w:proofErr w:type="gramEnd"/>
      <w:r>
        <w:rPr>
          <w:rFonts w:ascii="宋体" w:hAnsi="宋体" w:hint="eastAsia"/>
          <w:color w:val="222222"/>
          <w:sz w:val="24"/>
          <w:szCs w:val="24"/>
        </w:rPr>
        <w:t>并严格执行，供应商承诺给采购人的供货价格不高于同地区、同级医院的价格，高出部分采购人有权拒付并单方解除协议。若所供产品在“四川省医疗保障信息大数据一体化平台药品和医用耗材招采管理子系统”出现降价，供应商须按集采政策，在3工作日内向采购人出具调价函。</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（2）供应商承诺将保证产品价格的稳定，未经采购人同意，供应商不得提高供货价格，否则采购人有权拒付并单方解除合同，同时供应商还应承担由此给采购人造成的一切损失。</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（3）采购人在供应商所供产品使用（产品无任何质量问题、且证照及发票等手续齐全）且验收合格后，按医院相关财务制度支付货款。</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4.其他约定</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（1）采购人要求退货时，供应商应无条件在质量有效期内予以退货；采购人不负担任何经济损失。</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t>（2）根据市场调研情况、政策调整、临床需求变化等因素采购人有权终止合同。</w:t>
      </w:r>
    </w:p>
    <w:p w:rsidR="007C6F4E" w:rsidRDefault="007C6F4E" w:rsidP="007C6F4E">
      <w:pPr>
        <w:shd w:val="clear" w:color="auto" w:fill="FFFFFF"/>
        <w:tabs>
          <w:tab w:val="left" w:pos="1440"/>
        </w:tabs>
        <w:spacing w:line="420" w:lineRule="atLeast"/>
        <w:ind w:firstLineChars="200" w:firstLine="480"/>
        <w:rPr>
          <w:rFonts w:ascii="宋体" w:hAnsi="宋体" w:hint="eastAsia"/>
          <w:color w:val="222222"/>
          <w:sz w:val="24"/>
          <w:szCs w:val="24"/>
        </w:rPr>
      </w:pPr>
      <w:r>
        <w:rPr>
          <w:rFonts w:ascii="宋体" w:hAnsi="宋体" w:hint="eastAsia"/>
          <w:color w:val="222222"/>
          <w:sz w:val="24"/>
          <w:szCs w:val="24"/>
        </w:rPr>
        <w:lastRenderedPageBreak/>
        <w:t>（三）合同履行过程中如果发现设备、试剂/耗材存在重大质量缺陷，或出现新的技术和检测方法导致需要新的设备、试剂/耗材，或试剂/耗材成本大于响应文件测算成本等情况，采购人可单方面取消合同。</w:t>
      </w:r>
    </w:p>
    <w:p w:rsidR="000E1703" w:rsidRPr="007C6F4E" w:rsidRDefault="000E1703"/>
    <w:sectPr w:rsidR="000E1703" w:rsidRPr="007C6F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F4E"/>
    <w:rsid w:val="000E1703"/>
    <w:rsid w:val="00521821"/>
    <w:rsid w:val="007C6F4E"/>
    <w:rsid w:val="009F4EE6"/>
    <w:rsid w:val="00E85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F4E"/>
    <w:pPr>
      <w:kinsoku w:val="0"/>
      <w:autoSpaceDE w:val="0"/>
      <w:autoSpaceDN w:val="0"/>
      <w:adjustRightInd w:val="0"/>
      <w:snapToGrid w:val="0"/>
      <w:textAlignment w:val="baseline"/>
    </w:pPr>
    <w:rPr>
      <w:rFonts w:ascii="Arial" w:eastAsia="宋体" w:hAnsi="Arial" w:cs="Arial"/>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99"/>
    <w:unhideWhenUsed/>
    <w:rsid w:val="007C6F4E"/>
    <w:pPr>
      <w:widowControl w:val="0"/>
      <w:kinsoku/>
      <w:autoSpaceDN/>
      <w:adjustRightInd/>
      <w:snapToGrid/>
      <w:spacing w:before="100" w:beforeAutospacing="1" w:after="120"/>
      <w:jc w:val="both"/>
      <w:textAlignment w:val="auto"/>
    </w:pPr>
    <w:rPr>
      <w:rFonts w:ascii="宋体" w:hAnsi="Times New Roman" w:cs="Times New Roman"/>
      <w:color w:val="auto"/>
      <w:sz w:val="34"/>
      <w:szCs w:val="34"/>
    </w:rPr>
  </w:style>
  <w:style w:type="character" w:customStyle="1" w:styleId="Char">
    <w:name w:val="正文文本 Char"/>
    <w:basedOn w:val="a0"/>
    <w:link w:val="a3"/>
    <w:uiPriority w:val="99"/>
    <w:rsid w:val="007C6F4E"/>
    <w:rPr>
      <w:rFonts w:ascii="宋体" w:eastAsia="宋体" w:hAnsi="Times New Roman" w:cs="Times New Roman"/>
      <w:kern w:val="0"/>
      <w:sz w:val="34"/>
      <w:szCs w:val="34"/>
    </w:rPr>
  </w:style>
  <w:style w:type="paragraph" w:customStyle="1" w:styleId="null3">
    <w:name w:val="null3"/>
    <w:basedOn w:val="a"/>
    <w:rsid w:val="007C6F4E"/>
    <w:pPr>
      <w:kinsoku/>
      <w:autoSpaceDE/>
      <w:autoSpaceDN/>
      <w:adjustRightInd/>
      <w:snapToGrid/>
      <w:textAlignment w:val="auto"/>
    </w:pPr>
    <w:rPr>
      <w:rFonts w:ascii="Calibri" w:hAnsi="Calibri"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F4E"/>
    <w:pPr>
      <w:kinsoku w:val="0"/>
      <w:autoSpaceDE w:val="0"/>
      <w:autoSpaceDN w:val="0"/>
      <w:adjustRightInd w:val="0"/>
      <w:snapToGrid w:val="0"/>
      <w:textAlignment w:val="baseline"/>
    </w:pPr>
    <w:rPr>
      <w:rFonts w:ascii="Arial" w:eastAsia="宋体" w:hAnsi="Arial" w:cs="Arial"/>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99"/>
    <w:unhideWhenUsed/>
    <w:rsid w:val="007C6F4E"/>
    <w:pPr>
      <w:widowControl w:val="0"/>
      <w:kinsoku/>
      <w:autoSpaceDN/>
      <w:adjustRightInd/>
      <w:snapToGrid/>
      <w:spacing w:before="100" w:beforeAutospacing="1" w:after="120"/>
      <w:jc w:val="both"/>
      <w:textAlignment w:val="auto"/>
    </w:pPr>
    <w:rPr>
      <w:rFonts w:ascii="宋体" w:hAnsi="Times New Roman" w:cs="Times New Roman"/>
      <w:color w:val="auto"/>
      <w:sz w:val="34"/>
      <w:szCs w:val="34"/>
    </w:rPr>
  </w:style>
  <w:style w:type="character" w:customStyle="1" w:styleId="Char">
    <w:name w:val="正文文本 Char"/>
    <w:basedOn w:val="a0"/>
    <w:link w:val="a3"/>
    <w:uiPriority w:val="99"/>
    <w:rsid w:val="007C6F4E"/>
    <w:rPr>
      <w:rFonts w:ascii="宋体" w:eastAsia="宋体" w:hAnsi="Times New Roman" w:cs="Times New Roman"/>
      <w:kern w:val="0"/>
      <w:sz w:val="34"/>
      <w:szCs w:val="34"/>
    </w:rPr>
  </w:style>
  <w:style w:type="paragraph" w:customStyle="1" w:styleId="null3">
    <w:name w:val="null3"/>
    <w:basedOn w:val="a"/>
    <w:rsid w:val="007C6F4E"/>
    <w:pPr>
      <w:kinsoku/>
      <w:autoSpaceDE/>
      <w:autoSpaceDN/>
      <w:adjustRightInd/>
      <w:snapToGrid/>
      <w:textAlignment w:val="auto"/>
    </w:pPr>
    <w:rPr>
      <w:rFonts w:ascii="Calibri" w:hAnsi="Calibri"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58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363</Words>
  <Characters>2073</Characters>
  <Application>Microsoft Office Word</Application>
  <DocSecurity>0</DocSecurity>
  <Lines>17</Lines>
  <Paragraphs>4</Paragraphs>
  <ScaleCrop>false</ScaleCrop>
  <Company>Microsoft</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2025-05-15T03:15:00Z</dcterms:created>
  <dcterms:modified xsi:type="dcterms:W3CDTF">2025-05-15T03:25:00Z</dcterms:modified>
</cp:coreProperties>
</file>