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989AD">
      <w:pPr>
        <w:jc w:val="center"/>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大竹县人民医院外科大楼地下车库地面维修工程院内自主采购项目</w:t>
      </w:r>
    </w:p>
    <w:p w14:paraId="26C37A02">
      <w:pPr>
        <w:jc w:val="center"/>
        <w:rPr>
          <w:rFonts w:hint="default" w:eastAsia="黑体"/>
          <w:color w:val="auto"/>
          <w:sz w:val="28"/>
          <w:szCs w:val="28"/>
          <w:lang w:val="en-US" w:eastAsia="zh-CN"/>
        </w:rPr>
      </w:pPr>
      <w:r>
        <w:rPr>
          <w:rFonts w:hint="eastAsia" w:ascii="黑体" w:hAnsi="黑体" w:eastAsia="黑体"/>
          <w:color w:val="auto"/>
          <w:sz w:val="32"/>
          <w:szCs w:val="32"/>
          <w:lang w:val="en-US" w:eastAsia="zh-CN"/>
        </w:rPr>
        <w:t>采购需求</w:t>
      </w:r>
    </w:p>
    <w:p w14:paraId="5B87483D">
      <w:pPr>
        <w:pStyle w:val="10"/>
        <w:spacing w:line="360" w:lineRule="auto"/>
        <w:ind w:left="0" w:leftChars="0"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rPr>
        <w:t>参加</w:t>
      </w:r>
      <w:r>
        <w:rPr>
          <w:rFonts w:hint="eastAsia" w:ascii="仿宋" w:hAnsi="仿宋" w:eastAsia="仿宋" w:cs="仿宋"/>
          <w:b/>
          <w:bCs/>
          <w:color w:val="auto"/>
          <w:sz w:val="28"/>
          <w:szCs w:val="28"/>
          <w:lang w:eastAsia="zh-CN"/>
        </w:rPr>
        <w:t>采购活动</w:t>
      </w:r>
      <w:r>
        <w:rPr>
          <w:rFonts w:hint="eastAsia" w:ascii="仿宋" w:hAnsi="仿宋" w:eastAsia="仿宋" w:cs="仿宋"/>
          <w:b/>
          <w:bCs/>
          <w:color w:val="auto"/>
          <w:sz w:val="28"/>
          <w:szCs w:val="28"/>
        </w:rPr>
        <w:t>的供应商应具备的</w:t>
      </w:r>
      <w:r>
        <w:rPr>
          <w:rFonts w:hint="eastAsia" w:ascii="仿宋" w:hAnsi="仿宋" w:eastAsia="仿宋" w:cs="仿宋"/>
          <w:b/>
          <w:bCs/>
          <w:color w:val="auto"/>
          <w:sz w:val="28"/>
          <w:szCs w:val="28"/>
          <w:lang w:val="en-US" w:eastAsia="zh-CN"/>
        </w:rPr>
        <w:t>资格</w:t>
      </w:r>
      <w:r>
        <w:rPr>
          <w:rFonts w:hint="eastAsia" w:ascii="仿宋" w:hAnsi="仿宋" w:eastAsia="仿宋" w:cs="仿宋"/>
          <w:b/>
          <w:bCs/>
          <w:color w:val="auto"/>
          <w:sz w:val="28"/>
          <w:szCs w:val="28"/>
        </w:rPr>
        <w:t>条件：</w:t>
      </w:r>
    </w:p>
    <w:p w14:paraId="44A69577">
      <w:pPr>
        <w:adjustRightInd w:val="0"/>
        <w:snapToGrid w:val="0"/>
        <w:spacing w:line="360" w:lineRule="auto"/>
        <w:ind w:firstLine="480"/>
        <w:rPr>
          <w:rFonts w:hint="eastAsia" w:ascii="仿宋" w:hAnsi="仿宋" w:eastAsia="仿宋" w:cs="仿宋"/>
          <w:color w:val="auto"/>
          <w:sz w:val="28"/>
          <w:szCs w:val="28"/>
        </w:rPr>
      </w:pPr>
      <w:bookmarkStart w:id="0" w:name="_Toc30838_WPSOffice_Level2"/>
      <w:r>
        <w:rPr>
          <w:rFonts w:hint="eastAsia" w:ascii="仿宋" w:hAnsi="仿宋" w:eastAsia="仿宋" w:cs="仿宋"/>
          <w:color w:val="auto"/>
          <w:sz w:val="28"/>
          <w:szCs w:val="28"/>
        </w:rPr>
        <w:t>1、具有独立承担民事责任的能力；</w:t>
      </w:r>
      <w:bookmarkEnd w:id="0"/>
    </w:p>
    <w:p w14:paraId="7EEA6322">
      <w:pPr>
        <w:adjustRightInd w:val="0"/>
        <w:snapToGrid w:val="0"/>
        <w:spacing w:line="360" w:lineRule="auto"/>
        <w:ind w:firstLine="480"/>
        <w:rPr>
          <w:rFonts w:hint="eastAsia" w:ascii="仿宋" w:hAnsi="仿宋" w:eastAsia="仿宋" w:cs="仿宋"/>
          <w:color w:val="auto"/>
          <w:sz w:val="28"/>
          <w:szCs w:val="28"/>
        </w:rPr>
      </w:pPr>
      <w:bookmarkStart w:id="1" w:name="_Toc28428_WPSOffice_Level2"/>
      <w:r>
        <w:rPr>
          <w:rFonts w:hint="eastAsia" w:ascii="仿宋" w:hAnsi="仿宋" w:eastAsia="仿宋" w:cs="仿宋"/>
          <w:color w:val="auto"/>
          <w:sz w:val="28"/>
          <w:szCs w:val="28"/>
        </w:rPr>
        <w:t>2、具有良好的商业信誉和健全的财务</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w:instrText>
      </w:r>
      <w:bookmarkEnd w:id="1"/>
      <w:r>
        <w:rPr>
          <w:rFonts w:hint="eastAsia" w:ascii="仿宋" w:hAnsi="仿宋" w:eastAsia="仿宋" w:cs="仿宋"/>
          <w:color w:val="auto"/>
          <w:sz w:val="28"/>
          <w:szCs w:val="28"/>
        </w:rPr>
        <w:instrText xml:space="preserve">ERLINK "http://baike.haosou.com/doc/388251.html" \t "_blank"</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会计制度</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w:t>
      </w:r>
    </w:p>
    <w:p w14:paraId="0B0087F8">
      <w:pPr>
        <w:adjustRightInd w:val="0"/>
        <w:snapToGrid w:val="0"/>
        <w:spacing w:line="360" w:lineRule="auto"/>
        <w:ind w:firstLine="480"/>
        <w:rPr>
          <w:rFonts w:hint="eastAsia" w:ascii="仿宋" w:hAnsi="仿宋" w:eastAsia="仿宋" w:cs="仿宋"/>
          <w:color w:val="auto"/>
          <w:sz w:val="28"/>
          <w:szCs w:val="28"/>
        </w:rPr>
      </w:pPr>
      <w:bookmarkStart w:id="2" w:name="_Toc26110_WPSOffice_Level2"/>
      <w:r>
        <w:rPr>
          <w:rFonts w:hint="eastAsia" w:ascii="仿宋" w:hAnsi="仿宋" w:eastAsia="仿宋" w:cs="仿宋"/>
          <w:color w:val="auto"/>
          <w:sz w:val="28"/>
          <w:szCs w:val="28"/>
        </w:rPr>
        <w:t>3、具有履行合同所必需的设备和专业技术能力；</w:t>
      </w:r>
      <w:bookmarkEnd w:id="2"/>
    </w:p>
    <w:p w14:paraId="10F6CAD6">
      <w:pPr>
        <w:adjustRightInd w:val="0"/>
        <w:snapToGrid w:val="0"/>
        <w:spacing w:line="360" w:lineRule="auto"/>
        <w:ind w:firstLine="480"/>
        <w:rPr>
          <w:rFonts w:hint="eastAsia" w:ascii="仿宋" w:hAnsi="仿宋" w:eastAsia="仿宋" w:cs="仿宋"/>
          <w:color w:val="auto"/>
          <w:sz w:val="28"/>
          <w:szCs w:val="28"/>
        </w:rPr>
      </w:pPr>
      <w:bookmarkStart w:id="3" w:name="_Toc26040_WPSOffice_Level2"/>
      <w:r>
        <w:rPr>
          <w:rFonts w:hint="eastAsia" w:ascii="仿宋" w:hAnsi="仿宋" w:eastAsia="仿宋" w:cs="仿宋"/>
          <w:color w:val="auto"/>
          <w:sz w:val="28"/>
          <w:szCs w:val="28"/>
        </w:rPr>
        <w:t>4、有依法缴纳税收和社会保障资金的良好记录；</w:t>
      </w:r>
      <w:bookmarkEnd w:id="3"/>
    </w:p>
    <w:p w14:paraId="0A2B9C27">
      <w:pPr>
        <w:adjustRightInd w:val="0"/>
        <w:snapToGrid w:val="0"/>
        <w:spacing w:line="360" w:lineRule="auto"/>
        <w:ind w:firstLine="480"/>
        <w:rPr>
          <w:rFonts w:hint="eastAsia" w:ascii="仿宋" w:hAnsi="仿宋" w:eastAsia="仿宋" w:cs="仿宋"/>
          <w:color w:val="auto"/>
          <w:sz w:val="28"/>
          <w:szCs w:val="28"/>
        </w:rPr>
      </w:pPr>
      <w:bookmarkStart w:id="4" w:name="_Toc6860_WPSOffice_Level2"/>
      <w:r>
        <w:rPr>
          <w:rFonts w:hint="eastAsia" w:ascii="仿宋" w:hAnsi="仿宋" w:eastAsia="仿宋" w:cs="仿宋"/>
          <w:color w:val="auto"/>
          <w:sz w:val="28"/>
          <w:szCs w:val="28"/>
        </w:rPr>
        <w:t>5、参加采购活动前三年内，在经营活动中没有重大违法记录；</w:t>
      </w:r>
      <w:bookmarkEnd w:id="4"/>
    </w:p>
    <w:p w14:paraId="361328E3">
      <w:pPr>
        <w:adjustRightInd w:val="0"/>
        <w:snapToGrid w:val="0"/>
        <w:spacing w:line="360" w:lineRule="auto"/>
        <w:ind w:firstLine="480"/>
        <w:rPr>
          <w:rFonts w:hint="eastAsia" w:ascii="仿宋" w:hAnsi="仿宋" w:eastAsia="仿宋" w:cs="仿宋"/>
          <w:color w:val="auto"/>
          <w:sz w:val="28"/>
          <w:szCs w:val="28"/>
        </w:rPr>
      </w:pPr>
      <w:bookmarkStart w:id="5" w:name="_Toc30973_WPSOffice_Level2"/>
      <w:r>
        <w:rPr>
          <w:rFonts w:hint="eastAsia" w:ascii="仿宋" w:hAnsi="仿宋" w:eastAsia="仿宋" w:cs="仿宋"/>
          <w:color w:val="auto"/>
          <w:sz w:val="28"/>
          <w:szCs w:val="28"/>
        </w:rPr>
        <w:t>6、法律、行政法规规定的其他条件</w:t>
      </w:r>
      <w:bookmarkEnd w:id="5"/>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建筑类有效企业法人营业执照。</w:t>
      </w:r>
    </w:p>
    <w:p w14:paraId="31312927">
      <w:pPr>
        <w:adjustRightInd w:val="0"/>
        <w:snapToGrid w:val="0"/>
        <w:spacing w:line="360" w:lineRule="auto"/>
        <w:ind w:firstLine="480"/>
        <w:rPr>
          <w:rFonts w:hint="eastAsia" w:ascii="仿宋" w:hAnsi="仿宋" w:eastAsia="仿宋" w:cs="仿宋"/>
          <w:color w:val="auto"/>
          <w:sz w:val="28"/>
          <w:szCs w:val="28"/>
        </w:rPr>
      </w:pPr>
      <w:bookmarkStart w:id="6" w:name="_Toc15381_WPSOffice_Level2"/>
      <w:r>
        <w:rPr>
          <w:rFonts w:hint="eastAsia" w:ascii="仿宋" w:hAnsi="仿宋" w:eastAsia="仿宋" w:cs="仿宋"/>
          <w:color w:val="auto"/>
          <w:sz w:val="28"/>
          <w:szCs w:val="28"/>
        </w:rPr>
        <w:t>7、本项目不接受联合体投标。</w:t>
      </w:r>
      <w:bookmarkEnd w:id="6"/>
    </w:p>
    <w:p w14:paraId="5C380E3D">
      <w:pPr>
        <w:pStyle w:val="11"/>
        <w:keepNext w:val="0"/>
        <w:keepLines w:val="0"/>
        <w:pageBreakBefore w:val="0"/>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color w:val="auto"/>
          <w:sz w:val="28"/>
          <w:szCs w:val="28"/>
          <w:lang w:eastAsia="zh-CN"/>
        </w:rPr>
      </w:pPr>
      <w:bookmarkStart w:id="7" w:name="_GoBack"/>
      <w:bookmarkEnd w:id="7"/>
      <w:r>
        <w:rPr>
          <w:rFonts w:hint="eastAsia" w:ascii="仿宋" w:hAnsi="仿宋" w:eastAsia="仿宋" w:cs="仿宋"/>
          <w:b/>
          <w:color w:val="auto"/>
          <w:sz w:val="28"/>
          <w:szCs w:val="28"/>
          <w:lang w:val="en-US" w:eastAsia="zh-CN"/>
        </w:rPr>
        <w:t>一、</w:t>
      </w:r>
      <w:r>
        <w:rPr>
          <w:rFonts w:hint="eastAsia" w:ascii="仿宋" w:hAnsi="仿宋" w:eastAsia="仿宋" w:cs="仿宋"/>
          <w:b/>
          <w:color w:val="auto"/>
          <w:sz w:val="28"/>
          <w:szCs w:val="28"/>
        </w:rPr>
        <w:t xml:space="preserve">项目概述 </w:t>
      </w:r>
    </w:p>
    <w:p w14:paraId="375F0A16">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本项目采购人大竹县人民医院是集医疗、教学、科研、预防保健为一体的国家三级甲等综合医院。</w:t>
      </w:r>
    </w:p>
    <w:p w14:paraId="10DB36F0">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kern w:val="2"/>
          <w:sz w:val="28"/>
          <w:szCs w:val="28"/>
          <w:vertAlign w:val="baseline"/>
          <w:lang w:val="en-US" w:eastAsia="zh-CN" w:bidi="ar-SA"/>
        </w:rPr>
        <w:t>采购人外科大楼地下车库已使用7年，地下车库地面车道部分破损严重，病人病床、药品推车、洗浆房推车、消毒供应中心推车进出不便。现采购人拟招一名供应商，由该供应商负责维修外科大楼地下车库地面（车道部分）。维修内容包括：混凝土构件拆除、细石混凝土地面、环氧地坪漆—自流坪楼地面（车库）。</w:t>
      </w:r>
    </w:p>
    <w:p w14:paraId="633049A8">
      <w:pPr>
        <w:pStyle w:val="10"/>
        <w:keepNext w:val="0"/>
        <w:keepLines w:val="0"/>
        <w:pageBreakBefore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rPr>
        <w:t>、项目预算</w:t>
      </w:r>
      <w:r>
        <w:rPr>
          <w:rFonts w:hint="eastAsia" w:ascii="仿宋" w:hAnsi="仿宋" w:eastAsia="仿宋" w:cs="仿宋"/>
          <w:b/>
          <w:bCs/>
          <w:color w:val="auto"/>
          <w:sz w:val="28"/>
          <w:szCs w:val="28"/>
          <w:lang w:val="en-US" w:eastAsia="zh-CN"/>
        </w:rPr>
        <w:t>金额</w:t>
      </w:r>
    </w:p>
    <w:p w14:paraId="096A42CE">
      <w:pPr>
        <w:pStyle w:val="10"/>
        <w:keepNext w:val="0"/>
        <w:keepLines w:val="0"/>
        <w:pageBreakBefore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本项目采购总预算为：</w:t>
      </w:r>
      <w:r>
        <w:rPr>
          <w:rFonts w:hint="eastAsia" w:ascii="仿宋" w:hAnsi="仿宋" w:eastAsia="仿宋" w:cs="仿宋"/>
          <w:color w:val="auto"/>
          <w:sz w:val="28"/>
          <w:szCs w:val="28"/>
          <w:lang w:val="en-US" w:eastAsia="zh-CN"/>
        </w:rPr>
        <w:t>55430.06元，供应商报价为本项目全部工作内容的价格体现，采购人无须另向供应商支付其他任何费用，采购人不因市场风险、价格波动等情况向供应商支付风险补偿和成本补偿等费用。</w:t>
      </w:r>
    </w:p>
    <w:p w14:paraId="5277BD6B">
      <w:pPr>
        <w:pStyle w:val="10"/>
        <w:keepNext w:val="0"/>
        <w:keepLines w:val="0"/>
        <w:pageBreakBefore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、采购标的</w:t>
      </w: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lang w:val="en-US" w:eastAsia="zh-CN"/>
        </w:rPr>
        <w:t>技术要求</w:t>
      </w:r>
      <w:r>
        <w:rPr>
          <w:rFonts w:hint="eastAsia" w:ascii="仿宋" w:hAnsi="仿宋" w:eastAsia="仿宋" w:cs="仿宋"/>
          <w:b/>
          <w:color w:val="auto"/>
          <w:sz w:val="28"/>
          <w:szCs w:val="28"/>
          <w:lang w:eastAsia="zh-CN"/>
        </w:rPr>
        <w:t>）</w:t>
      </w:r>
    </w:p>
    <w:tbl>
      <w:tblPr>
        <w:tblStyle w:val="7"/>
        <w:tblpPr w:leftFromText="180" w:rightFromText="180" w:vertAnchor="text" w:horzAnchor="page" w:tblpX="1253" w:tblpY="61"/>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64"/>
        <w:gridCol w:w="3420"/>
        <w:gridCol w:w="3574"/>
      </w:tblGrid>
      <w:tr w14:paraId="007E0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488" w:type="pct"/>
            <w:tcBorders>
              <w:top w:val="single" w:color="auto" w:sz="4" w:space="0"/>
              <w:left w:val="single" w:color="auto" w:sz="4" w:space="0"/>
              <w:bottom w:val="single" w:color="auto" w:sz="4" w:space="0"/>
              <w:right w:val="single" w:color="auto" w:sz="4" w:space="0"/>
              <w:tl2br w:val="nil"/>
              <w:tr2bl w:val="nil"/>
            </w:tcBorders>
            <w:vAlign w:val="center"/>
          </w:tcPr>
          <w:p w14:paraId="5E3573C4">
            <w:pPr>
              <w:keepNext w:val="0"/>
              <w:keepLines w:val="0"/>
              <w:pageBreakBefore w:val="0"/>
              <w:widowControl/>
              <w:kinsoku/>
              <w:wordWrap/>
              <w:overflowPunct/>
              <w:topLinePunct w:val="0"/>
              <w:autoSpaceDE/>
              <w:autoSpaceDN/>
              <w:bidi w:val="0"/>
              <w:adjustRightInd/>
              <w:snapToGrid/>
              <w:spacing w:beforeLines="0" w:afterLines="0" w:line="560" w:lineRule="exact"/>
              <w:jc w:val="center"/>
              <w:textAlignment w:val="auto"/>
              <w:rPr>
                <w:rFonts w:hint="eastAsia" w:ascii="仿宋" w:hAnsi="仿宋" w:eastAsia="仿宋" w:cs="仿宋"/>
                <w:b/>
                <w:kern w:val="0"/>
                <w:sz w:val="28"/>
                <w:szCs w:val="28"/>
                <w:lang w:eastAsia="zh-CN"/>
              </w:rPr>
            </w:pPr>
            <w:r>
              <w:rPr>
                <w:rFonts w:hint="eastAsia" w:ascii="仿宋" w:hAnsi="仿宋" w:eastAsia="仿宋" w:cs="仿宋"/>
                <w:b/>
                <w:kern w:val="0"/>
                <w:sz w:val="28"/>
                <w:szCs w:val="28"/>
                <w:lang w:eastAsia="zh-CN"/>
              </w:rPr>
              <w:t>项目名称</w:t>
            </w:r>
          </w:p>
        </w:tc>
        <w:tc>
          <w:tcPr>
            <w:tcW w:w="1717" w:type="pct"/>
            <w:tcBorders>
              <w:top w:val="single" w:color="auto" w:sz="4" w:space="0"/>
              <w:left w:val="single" w:color="auto" w:sz="4" w:space="0"/>
              <w:bottom w:val="single" w:color="auto" w:sz="4" w:space="0"/>
              <w:right w:val="single" w:color="auto" w:sz="4" w:space="0"/>
              <w:tl2br w:val="nil"/>
              <w:tr2bl w:val="nil"/>
            </w:tcBorders>
            <w:vAlign w:val="center"/>
          </w:tcPr>
          <w:p w14:paraId="0529C667">
            <w:pPr>
              <w:keepNext w:val="0"/>
              <w:keepLines w:val="0"/>
              <w:pageBreakBefore w:val="0"/>
              <w:widowControl/>
              <w:kinsoku/>
              <w:wordWrap/>
              <w:overflowPunct/>
              <w:topLinePunct w:val="0"/>
              <w:autoSpaceDE/>
              <w:autoSpaceDN/>
              <w:bidi w:val="0"/>
              <w:adjustRightInd/>
              <w:snapToGrid/>
              <w:spacing w:beforeLines="0" w:afterLines="0" w:line="560" w:lineRule="exact"/>
              <w:jc w:val="center"/>
              <w:textAlignment w:val="auto"/>
              <w:rPr>
                <w:rFonts w:hint="eastAsia" w:ascii="仿宋" w:hAnsi="仿宋" w:eastAsia="仿宋" w:cs="仿宋"/>
                <w:b/>
                <w:kern w:val="0"/>
                <w:sz w:val="28"/>
                <w:szCs w:val="28"/>
                <w:lang w:eastAsia="zh-CN"/>
              </w:rPr>
            </w:pPr>
            <w:r>
              <w:rPr>
                <w:rFonts w:hint="eastAsia" w:ascii="仿宋" w:hAnsi="仿宋" w:eastAsia="仿宋" w:cs="仿宋"/>
                <w:b/>
                <w:kern w:val="0"/>
                <w:sz w:val="28"/>
                <w:szCs w:val="28"/>
                <w:lang w:eastAsia="zh-CN"/>
              </w:rPr>
              <w:t>主要内容</w:t>
            </w:r>
          </w:p>
        </w:tc>
        <w:tc>
          <w:tcPr>
            <w:tcW w:w="1794" w:type="pct"/>
            <w:tcBorders>
              <w:top w:val="single" w:color="auto" w:sz="4" w:space="0"/>
              <w:left w:val="single" w:color="auto" w:sz="4" w:space="0"/>
              <w:bottom w:val="single" w:color="auto" w:sz="4" w:space="0"/>
              <w:right w:val="single" w:color="auto" w:sz="4" w:space="0"/>
              <w:tl2br w:val="nil"/>
              <w:tr2bl w:val="nil"/>
            </w:tcBorders>
            <w:vAlign w:val="center"/>
          </w:tcPr>
          <w:p w14:paraId="79C4F92C">
            <w:pPr>
              <w:keepNext w:val="0"/>
              <w:keepLines w:val="0"/>
              <w:pageBreakBefore w:val="0"/>
              <w:widowControl/>
              <w:kinsoku/>
              <w:wordWrap/>
              <w:overflowPunct/>
              <w:topLinePunct w:val="0"/>
              <w:autoSpaceDE/>
              <w:autoSpaceDN/>
              <w:bidi w:val="0"/>
              <w:adjustRightInd/>
              <w:snapToGrid/>
              <w:spacing w:beforeLines="0" w:afterLines="0" w:line="560" w:lineRule="exact"/>
              <w:jc w:val="center"/>
              <w:textAlignment w:val="auto"/>
              <w:rPr>
                <w:rFonts w:hint="eastAsia" w:ascii="仿宋" w:hAnsi="仿宋" w:eastAsia="仿宋" w:cs="仿宋"/>
                <w:b/>
                <w:kern w:val="0"/>
                <w:sz w:val="28"/>
                <w:szCs w:val="28"/>
                <w:lang w:eastAsia="zh-CN"/>
              </w:rPr>
            </w:pPr>
            <w:r>
              <w:rPr>
                <w:rFonts w:hint="eastAsia" w:ascii="仿宋" w:hAnsi="仿宋" w:eastAsia="仿宋" w:cs="仿宋"/>
                <w:b/>
                <w:kern w:val="0"/>
                <w:sz w:val="28"/>
                <w:szCs w:val="28"/>
                <w:lang w:eastAsia="zh-CN"/>
              </w:rPr>
              <w:t>最高限价（元）</w:t>
            </w:r>
          </w:p>
        </w:tc>
      </w:tr>
      <w:tr w14:paraId="1D883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488" w:type="pct"/>
            <w:tcBorders>
              <w:top w:val="single" w:color="auto" w:sz="4" w:space="0"/>
              <w:left w:val="single" w:color="auto" w:sz="4" w:space="0"/>
              <w:bottom w:val="single" w:color="auto" w:sz="4" w:space="0"/>
              <w:right w:val="single" w:color="auto" w:sz="4" w:space="0"/>
              <w:tl2br w:val="nil"/>
              <w:tr2bl w:val="nil"/>
            </w:tcBorders>
            <w:vAlign w:val="center"/>
          </w:tcPr>
          <w:p w14:paraId="13C159CA">
            <w:pPr>
              <w:keepNext w:val="0"/>
              <w:keepLines w:val="0"/>
              <w:pageBreakBefore w:val="0"/>
              <w:widowControl/>
              <w:kinsoku/>
              <w:wordWrap/>
              <w:overflowPunct/>
              <w:topLinePunct w:val="0"/>
              <w:autoSpaceDE/>
              <w:autoSpaceDN/>
              <w:bidi w:val="0"/>
              <w:adjustRightInd/>
              <w:snapToGrid/>
              <w:spacing w:beforeLines="0" w:afterLines="0" w:line="560" w:lineRule="exact"/>
              <w:jc w:val="both"/>
              <w:textAlignment w:val="auto"/>
              <w:rPr>
                <w:rFonts w:hint="eastAsia" w:ascii="仿宋" w:hAnsi="仿宋" w:eastAsia="仿宋" w:cs="仿宋"/>
                <w:b w:val="0"/>
                <w:bCs w:val="0"/>
                <w:i w:val="0"/>
                <w:iCs w:val="0"/>
                <w:kern w:val="0"/>
                <w:sz w:val="28"/>
                <w:szCs w:val="28"/>
                <w:lang w:val="en-US" w:eastAsia="zh-CN"/>
              </w:rPr>
            </w:pPr>
            <w:r>
              <w:rPr>
                <w:rFonts w:hint="eastAsia" w:ascii="仿宋" w:hAnsi="仿宋" w:eastAsia="仿宋" w:cs="仿宋"/>
                <w:b w:val="0"/>
                <w:bCs w:val="0"/>
                <w:i w:val="0"/>
                <w:iCs w:val="0"/>
                <w:kern w:val="0"/>
                <w:sz w:val="28"/>
                <w:szCs w:val="28"/>
                <w:lang w:val="en-US" w:eastAsia="zh-CN"/>
              </w:rPr>
              <w:t>大竹县人民医院外科大楼地下车库地面维修工程</w:t>
            </w:r>
          </w:p>
        </w:tc>
        <w:tc>
          <w:tcPr>
            <w:tcW w:w="1717" w:type="pct"/>
            <w:tcBorders>
              <w:top w:val="single" w:color="auto" w:sz="4" w:space="0"/>
              <w:left w:val="single" w:color="auto" w:sz="4" w:space="0"/>
              <w:bottom w:val="single" w:color="auto" w:sz="4" w:space="0"/>
              <w:right w:val="single" w:color="auto" w:sz="4" w:space="0"/>
              <w:tl2br w:val="nil"/>
              <w:tr2bl w:val="nil"/>
            </w:tcBorders>
            <w:vAlign w:val="center"/>
          </w:tcPr>
          <w:p w14:paraId="168BF8BF">
            <w:pPr>
              <w:keepNext w:val="0"/>
              <w:keepLines w:val="0"/>
              <w:pageBreakBefore w:val="0"/>
              <w:widowControl/>
              <w:kinsoku/>
              <w:wordWrap/>
              <w:overflowPunct/>
              <w:topLinePunct w:val="0"/>
              <w:autoSpaceDE/>
              <w:autoSpaceDN/>
              <w:bidi w:val="0"/>
              <w:adjustRightInd/>
              <w:snapToGrid/>
              <w:spacing w:beforeLines="0" w:afterLines="0" w:line="560" w:lineRule="exact"/>
              <w:jc w:val="both"/>
              <w:textAlignment w:val="auto"/>
              <w:rPr>
                <w:rFonts w:hint="eastAsia" w:ascii="仿宋" w:hAnsi="仿宋" w:eastAsia="仿宋" w:cs="仿宋"/>
                <w:b w:val="0"/>
                <w:bCs w:val="0"/>
                <w:i w:val="0"/>
                <w:iCs w:val="0"/>
                <w:kern w:val="0"/>
                <w:sz w:val="28"/>
                <w:szCs w:val="28"/>
                <w:lang w:eastAsia="zh-CN"/>
              </w:rPr>
            </w:pPr>
            <w:r>
              <w:rPr>
                <w:rFonts w:hint="eastAsia" w:ascii="仿宋" w:hAnsi="仿宋" w:eastAsia="仿宋" w:cs="仿宋"/>
                <w:b w:val="0"/>
                <w:bCs w:val="0"/>
                <w:i w:val="0"/>
                <w:iCs w:val="0"/>
                <w:sz w:val="28"/>
                <w:szCs w:val="28"/>
                <w:vertAlign w:val="baseline"/>
                <w:lang w:val="en-US" w:eastAsia="zh-CN"/>
              </w:rPr>
              <w:t>混凝土构件拆除、细石混凝土地面、环氧地坪漆—自流坪楼地面（车库）</w:t>
            </w:r>
          </w:p>
        </w:tc>
        <w:tc>
          <w:tcPr>
            <w:tcW w:w="1794" w:type="pct"/>
            <w:tcBorders>
              <w:top w:val="single" w:color="auto" w:sz="4" w:space="0"/>
              <w:left w:val="single" w:color="auto" w:sz="4" w:space="0"/>
              <w:bottom w:val="single" w:color="auto" w:sz="4" w:space="0"/>
              <w:right w:val="single" w:color="auto" w:sz="4" w:space="0"/>
              <w:tl2br w:val="nil"/>
              <w:tr2bl w:val="nil"/>
            </w:tcBorders>
            <w:vAlign w:val="center"/>
          </w:tcPr>
          <w:p w14:paraId="028D05FA">
            <w:pPr>
              <w:keepNext w:val="0"/>
              <w:keepLines w:val="0"/>
              <w:pageBreakBefore w:val="0"/>
              <w:widowControl/>
              <w:kinsoku/>
              <w:wordWrap/>
              <w:overflowPunct/>
              <w:topLinePunct w:val="0"/>
              <w:autoSpaceDE/>
              <w:autoSpaceDN/>
              <w:bidi w:val="0"/>
              <w:adjustRightInd/>
              <w:snapToGrid/>
              <w:spacing w:beforeLines="0" w:afterLines="0" w:line="560" w:lineRule="exact"/>
              <w:jc w:val="center"/>
              <w:textAlignment w:val="auto"/>
              <w:rPr>
                <w:rFonts w:hint="eastAsia" w:ascii="仿宋" w:hAnsi="仿宋" w:eastAsia="仿宋" w:cs="仿宋"/>
                <w:b w:val="0"/>
                <w:bCs w:val="0"/>
                <w:i w:val="0"/>
                <w:iCs w:val="0"/>
                <w:kern w:val="0"/>
                <w:sz w:val="28"/>
                <w:szCs w:val="28"/>
              </w:rPr>
            </w:pPr>
            <w:r>
              <w:rPr>
                <w:rFonts w:hint="eastAsia" w:ascii="仿宋" w:hAnsi="仿宋" w:eastAsia="仿宋" w:cs="仿宋"/>
                <w:b w:val="0"/>
                <w:bCs w:val="0"/>
                <w:i w:val="0"/>
                <w:iCs w:val="0"/>
                <w:sz w:val="28"/>
                <w:szCs w:val="28"/>
                <w:vertAlign w:val="baseline"/>
                <w:lang w:val="en-US" w:eastAsia="zh-CN"/>
              </w:rPr>
              <w:t>55430.06</w:t>
            </w:r>
          </w:p>
        </w:tc>
      </w:tr>
    </w:tbl>
    <w:p w14:paraId="6CA2E502">
      <w:pPr>
        <w:pStyle w:val="10"/>
        <w:keepNext w:val="0"/>
        <w:keepLines w:val="0"/>
        <w:pageBreakBefore w:val="0"/>
        <w:numPr>
          <w:ilvl w:val="0"/>
          <w:numId w:val="2"/>
        </w:numPr>
        <w:kinsoku/>
        <w:wordWrap/>
        <w:overflowPunct/>
        <w:topLinePunct w:val="0"/>
        <w:autoSpaceDE/>
        <w:autoSpaceDN/>
        <w:bidi w:val="0"/>
        <w:adjustRightInd/>
        <w:snapToGrid/>
        <w:spacing w:line="560" w:lineRule="exact"/>
        <w:ind w:firstLine="56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项目技术要求</w:t>
      </w:r>
    </w:p>
    <w:p w14:paraId="62C8F1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1、外观：平整无气泡、色差、分色、杂质。  </w:t>
      </w:r>
    </w:p>
    <w:p w14:paraId="0D26E0E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2、厚度：误差≤±10%（采用磁性测厚仪检测）。  </w:t>
      </w:r>
    </w:p>
    <w:p w14:paraId="536D471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 xml:space="preserve">3、性能测试：按GB/T 22374-2018《地坪涂装材料》执行。 </w:t>
      </w:r>
    </w:p>
    <w:p w14:paraId="4809EF6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4、供应商提供的施工及配套货物、服务事项须符合国家相关质量标准、技术标准、安全认证，符合国家有关安全、环保、卫生的规定等。</w:t>
      </w:r>
    </w:p>
    <w:p w14:paraId="47DEDA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若本项目的标的技术要求无明确说明或质量要求不明确的，按照强制性国家标准履行；没有强制性国家标准的，按照推荐性国家标准履行；没有推荐性国家标准的，按照行业标准履行；没有国家标准、行业标准的，按照通常标准或者符合项目目的的特定标准履行，包括标的的售后和质保期时间。</w:t>
      </w:r>
    </w:p>
    <w:p w14:paraId="014CED6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6、供应商未经采购人同意，不得擅自拆改原建筑物结构或设备管线，由此发生的损失或事故，由供应商负责承担全部责任和损失，采购人有权从工程款中扣除相应金额。</w:t>
      </w:r>
    </w:p>
    <w:p w14:paraId="0EA571C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7、工程在竣工验收合格并交付采购人使用前，供应商应负责清理并打扫工地现场。如供应商拒绝清理并打扫，采购人可以拒绝接收使用并有权聘请其他人员清理工地现场，由此发生的清理费用采购人可以从工程款中予以相应扣除。</w:t>
      </w:r>
    </w:p>
    <w:p w14:paraId="105A7A0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8、供应商应严格执行国家和地方最新的施工规范、安全操作规范、防火安全规定、合同相关对顶，制定详细施工计划并组织实施，严格按照施工设计要求保质保量进行施工，确保工程质量，并且严格按照合同规定期限要求完成施工任务。</w:t>
      </w:r>
    </w:p>
    <w:p w14:paraId="21E3275D">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sz w:val="28"/>
          <w:szCs w:val="28"/>
          <w:vertAlign w:val="baseline"/>
          <w:lang w:val="en-US" w:eastAsia="zh-CN"/>
        </w:rPr>
        <w:t>9、为了保证工程质量，采购人有权随时要求供应商提供材料和设备其相应的产品合格证、保修证书等供核对。如果供应商没有或者无法向采购人提供上述资料，采购人可以选择拒绝同意供应商使用相关材料、设备。</w:t>
      </w:r>
    </w:p>
    <w:p w14:paraId="39271882">
      <w:pPr>
        <w:pStyle w:val="17"/>
        <w:keepNext w:val="0"/>
        <w:keepLines w:val="0"/>
        <w:pageBreakBefore w:val="0"/>
        <w:kinsoku/>
        <w:wordWrap/>
        <w:overflowPunct/>
        <w:topLinePunct w:val="0"/>
        <w:autoSpaceDE/>
        <w:autoSpaceDN/>
        <w:bidi w:val="0"/>
        <w:adjustRightInd/>
        <w:snapToGrid/>
        <w:spacing w:line="560" w:lineRule="exact"/>
        <w:ind w:left="420" w:leftChars="200" w:firstLine="281" w:firstLineChars="100"/>
        <w:textAlignment w:val="auto"/>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val="en-US" w:eastAsia="zh-CN"/>
        </w:rPr>
        <w:t>五</w:t>
      </w:r>
      <w:r>
        <w:rPr>
          <w:rFonts w:hint="eastAsia" w:ascii="仿宋" w:hAnsi="仿宋" w:eastAsia="仿宋" w:cs="仿宋"/>
          <w:b/>
          <w:color w:val="auto"/>
          <w:sz w:val="28"/>
          <w:szCs w:val="28"/>
        </w:rPr>
        <w:t>、</w:t>
      </w:r>
      <w:r>
        <w:rPr>
          <w:rFonts w:hint="eastAsia" w:ascii="仿宋" w:hAnsi="仿宋" w:eastAsia="仿宋" w:cs="仿宋"/>
          <w:b/>
          <w:color w:val="auto"/>
          <w:sz w:val="28"/>
          <w:szCs w:val="28"/>
          <w:lang w:eastAsia="zh-CN"/>
        </w:rPr>
        <w:t>商务及其他要求</w:t>
      </w:r>
    </w:p>
    <w:p w14:paraId="0244803E">
      <w:pPr>
        <w:pStyle w:val="3"/>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b w:val="0"/>
          <w:bCs/>
          <w:color w:val="auto"/>
          <w:sz w:val="28"/>
          <w:szCs w:val="28"/>
        </w:rPr>
        <w:t>（一）</w:t>
      </w:r>
      <w:r>
        <w:rPr>
          <w:rFonts w:hint="eastAsia" w:ascii="仿宋" w:hAnsi="仿宋" w:eastAsia="仿宋" w:cs="仿宋"/>
          <w:sz w:val="28"/>
          <w:szCs w:val="28"/>
          <w:vertAlign w:val="baseline"/>
          <w:lang w:val="en-US" w:eastAsia="zh-CN"/>
        </w:rPr>
        <w:t>合同履行期限</w:t>
      </w:r>
    </w:p>
    <w:p w14:paraId="41E50683">
      <w:pPr>
        <w:pStyle w:val="3"/>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b w:val="0"/>
          <w:bCs/>
          <w:sz w:val="28"/>
          <w:szCs w:val="28"/>
          <w:vertAlign w:val="baseline"/>
          <w:lang w:val="en-US" w:eastAsia="zh-CN"/>
        </w:rPr>
        <w:t>自成交双方签订采购合同签字盖章之日起，到项目验收合格之日后一年截止。</w:t>
      </w:r>
    </w:p>
    <w:p w14:paraId="0BF4153B">
      <w:pPr>
        <w:pStyle w:val="3"/>
        <w:keepNext w:val="0"/>
        <w:keepLines w:val="0"/>
        <w:pageBreakBefore w:val="0"/>
        <w:numPr>
          <w:ilvl w:val="0"/>
          <w:numId w:val="3"/>
        </w:numPr>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工期</w:t>
      </w:r>
    </w:p>
    <w:p w14:paraId="37EA0434">
      <w:pPr>
        <w:pStyle w:val="3"/>
        <w:keepNext w:val="0"/>
        <w:keepLines w:val="0"/>
        <w:pageBreakBefore w:val="0"/>
        <w:numPr>
          <w:ilvl w:val="0"/>
          <w:numId w:val="0"/>
        </w:numPr>
        <w:kinsoku/>
        <w:wordWrap/>
        <w:overflowPunct/>
        <w:topLinePunct w:val="0"/>
        <w:autoSpaceDE/>
        <w:autoSpaceDN/>
        <w:bidi w:val="0"/>
        <w:adjustRightInd/>
        <w:snapToGrid/>
        <w:spacing w:line="560" w:lineRule="exact"/>
        <w:ind w:right="25" w:rightChars="12"/>
        <w:jc w:val="left"/>
        <w:textAlignment w:val="auto"/>
        <w:rPr>
          <w:rFonts w:hint="eastAsia" w:ascii="仿宋" w:hAnsi="仿宋" w:eastAsia="仿宋" w:cs="仿宋"/>
          <w:b w:val="0"/>
          <w:bCs/>
          <w:sz w:val="28"/>
          <w:szCs w:val="28"/>
          <w:vertAlign w:val="baseline"/>
          <w:lang w:val="en-US" w:eastAsia="zh-CN"/>
        </w:rPr>
      </w:pPr>
      <w:r>
        <w:rPr>
          <w:rFonts w:hint="eastAsia" w:ascii="仿宋" w:hAnsi="仿宋" w:eastAsia="仿宋" w:cs="仿宋"/>
          <w:sz w:val="28"/>
          <w:szCs w:val="28"/>
          <w:vertAlign w:val="baseline"/>
          <w:lang w:val="en-US" w:eastAsia="zh-CN"/>
        </w:rPr>
        <w:t xml:space="preserve">    </w:t>
      </w:r>
      <w:r>
        <w:rPr>
          <w:rFonts w:hint="eastAsia" w:ascii="仿宋" w:hAnsi="仿宋" w:eastAsia="仿宋" w:cs="仿宋"/>
          <w:b w:val="0"/>
          <w:bCs/>
          <w:sz w:val="28"/>
          <w:szCs w:val="28"/>
          <w:vertAlign w:val="baseline"/>
          <w:lang w:val="en-US" w:eastAsia="zh-CN"/>
        </w:rPr>
        <w:t>供应商自合同签订生效之日起，15 日内完成全部施工内容。</w:t>
      </w:r>
    </w:p>
    <w:p w14:paraId="1025ACF3">
      <w:pPr>
        <w:pStyle w:val="11"/>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568" w:firstLineChars="202"/>
        <w:textAlignment w:val="auto"/>
        <w:rPr>
          <w:rFonts w:hint="eastAsia" w:ascii="仿宋" w:hAnsi="仿宋" w:eastAsia="仿宋" w:cs="仿宋"/>
          <w:b w:val="0"/>
          <w:bCs/>
          <w:color w:val="auto"/>
          <w:sz w:val="28"/>
          <w:szCs w:val="28"/>
        </w:rPr>
      </w:pPr>
      <w:r>
        <w:rPr>
          <w:rFonts w:hint="eastAsia" w:ascii="仿宋" w:hAnsi="仿宋" w:eastAsia="仿宋" w:cs="仿宋"/>
          <w:b/>
          <w:bCs w:val="0"/>
          <w:color w:val="auto"/>
          <w:sz w:val="28"/>
          <w:szCs w:val="28"/>
        </w:rPr>
        <w:t>项目履行地点</w:t>
      </w:r>
    </w:p>
    <w:p w14:paraId="1BCC31EE">
      <w:pPr>
        <w:pStyle w:val="11"/>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color w:val="auto"/>
          <w:sz w:val="28"/>
          <w:szCs w:val="28"/>
        </w:rPr>
      </w:pPr>
      <w:r>
        <w:rPr>
          <w:rFonts w:hint="eastAsia" w:ascii="仿宋" w:hAnsi="仿宋" w:eastAsia="仿宋" w:cs="仿宋"/>
          <w:b w:val="0"/>
          <w:bCs/>
          <w:color w:val="auto"/>
          <w:sz w:val="28"/>
          <w:szCs w:val="28"/>
        </w:rPr>
        <w:t>大竹县人民医院院内指定地点。</w:t>
      </w:r>
      <w:r>
        <w:rPr>
          <w:rFonts w:hint="eastAsia" w:ascii="仿宋" w:hAnsi="仿宋" w:eastAsia="仿宋" w:cs="仿宋"/>
          <w:b w:val="0"/>
          <w:bCs/>
          <w:color w:val="auto"/>
          <w:sz w:val="28"/>
          <w:szCs w:val="28"/>
          <w:lang w:val="en-US" w:eastAsia="zh-CN"/>
        </w:rPr>
        <w:t>供应商完</w:t>
      </w:r>
      <w:r>
        <w:rPr>
          <w:rFonts w:hint="eastAsia" w:ascii="仿宋" w:hAnsi="仿宋" w:eastAsia="仿宋" w:cs="仿宋"/>
          <w:b w:val="0"/>
          <w:bCs/>
          <w:color w:val="auto"/>
          <w:sz w:val="28"/>
          <w:szCs w:val="28"/>
        </w:rPr>
        <w:t>工交付采购人之前，成品及半成品的损毁、灭失风险由供应商承担。在施工过程中以及工程竣工未移交采购人之前，供应商应该负责对现场的一切材料、设施和装修工程成品、半成品进行保护，如发生丢失或损坏，在供应商无法证明是由于采购人过错导致丢失或损坏的情况下，均由供应商自行承担相关损失。</w:t>
      </w:r>
    </w:p>
    <w:p w14:paraId="0AF3E8A1">
      <w:pPr>
        <w:pStyle w:val="11"/>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568" w:firstLineChars="202"/>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项目付款方式</w:t>
      </w:r>
    </w:p>
    <w:p w14:paraId="250D0D32">
      <w:pPr>
        <w:pStyle w:val="18"/>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人采用银行转账方式付款，采购人付款前，供应商必须提供工程量清单和验收资料（采购人出具的验收、签收资料）给采购人核对，供应商的工程量清单应清楚、准确、真实。供应商必须出具国家认可的足额有效发票，供应商为一般纳税人的，应当提供增值税专用发票。供应商未按前款要求提供资料和票据的，采购人有权拒绝付款。</w:t>
      </w:r>
    </w:p>
    <w:p w14:paraId="2DC5B3C3">
      <w:pPr>
        <w:pStyle w:val="18"/>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双方核对一致后，供应商才可开具发票。采购人在收到供应商前款所述有效票据后，工程完工，验收合格，采购人收到发票后15日内支付成交总金额97%，剩余成交总金额3%于质保验收合格后15日内付清。</w:t>
      </w:r>
    </w:p>
    <w:p w14:paraId="7F940FAC">
      <w:pPr>
        <w:pStyle w:val="10"/>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568" w:firstLineChars="202"/>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验收方式</w:t>
      </w:r>
    </w:p>
    <w:p w14:paraId="3DCC4486">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1、 外观：平整无气泡、色差、分色、杂质。  </w:t>
      </w:r>
    </w:p>
    <w:p w14:paraId="6E48ECDC">
      <w:pPr>
        <w:pStyle w:val="10"/>
        <w:keepNext w:val="0"/>
        <w:keepLines w:val="0"/>
        <w:pageBreakBefore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2.、厚度：误差≤±10%（采用磁性测厚仪检测）。  </w:t>
      </w:r>
    </w:p>
    <w:p w14:paraId="75600AA0">
      <w:pPr>
        <w:pStyle w:val="10"/>
        <w:keepNext w:val="0"/>
        <w:keepLines w:val="0"/>
        <w:pageBreakBefore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3、性能测试：按GB/T 22374-2018《地坪涂装材料》执行。</w:t>
      </w:r>
    </w:p>
    <w:p w14:paraId="7B46287A">
      <w:pPr>
        <w:pStyle w:val="10"/>
        <w:keepNext w:val="0"/>
        <w:keepLines w:val="0"/>
        <w:pageBreakBefore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4、验收方式。由采购人组织、供应商配合，根据国家有关强制性规定以及本项目的约定进行验收，若供应商履约不能实现协议约定，采购人有权拒绝支付费用。</w:t>
      </w:r>
    </w:p>
    <w:p w14:paraId="306F7D70">
      <w:pPr>
        <w:pStyle w:val="10"/>
        <w:keepNext w:val="0"/>
        <w:keepLines w:val="0"/>
        <w:pageBreakBefore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4.1、供应商应在采购人指定的院内任意地点接受采购人验收，并将标的的检验报告资料和履约质量资料，移交至采购人职能科室工作人员。采购人有权要求供应商提供前款资料，并核实资料真实性，如供应商无正当理由不予配合或证实实际履约与协议约定的要求不符，视为供应商违约，采购人有权拒绝支付费用并要求供应商承担违约责任。</w:t>
      </w:r>
    </w:p>
    <w:p w14:paraId="342FE49F">
      <w:pPr>
        <w:pStyle w:val="10"/>
        <w:keepNext w:val="0"/>
        <w:keepLines w:val="0"/>
        <w:pageBreakBefore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4.2、供应商按协议约定完成标的全部内容并通知采购人后，采购人在收到供应商通知后5个工作日内，采购人组织验收。采购人应当在检验期限内将标的完成情况不符合协议约定的情形通知供应商。采购人怠于通知的，视为标的完成情况符合协议约定。</w:t>
      </w:r>
    </w:p>
    <w:p w14:paraId="204F0A8F">
      <w:pPr>
        <w:pStyle w:val="10"/>
        <w:keepNext w:val="0"/>
        <w:keepLines w:val="0"/>
        <w:pageBreakBefore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4.3、协议约定的验收期限或者质量保证期短于法律、行政法规规定期限的，应当以法律、行政法规规定的期限为准。</w:t>
      </w:r>
    </w:p>
    <w:p w14:paraId="17B135C8">
      <w:pPr>
        <w:pStyle w:val="10"/>
        <w:keepNext w:val="0"/>
        <w:keepLines w:val="0"/>
        <w:pageBreakBefore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六</w:t>
      </w:r>
      <w:r>
        <w:rPr>
          <w:rFonts w:hint="eastAsia" w:ascii="仿宋" w:hAnsi="仿宋" w:eastAsia="仿宋" w:cs="仿宋"/>
          <w:b/>
          <w:bCs/>
          <w:color w:val="auto"/>
          <w:sz w:val="28"/>
          <w:szCs w:val="28"/>
        </w:rPr>
        <w:t>）运输要求</w:t>
      </w:r>
    </w:p>
    <w:p w14:paraId="3850ACF1">
      <w:pPr>
        <w:pStyle w:val="10"/>
        <w:keepNext w:val="0"/>
        <w:keepLines w:val="0"/>
        <w:pageBreakBefore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运输费、装卸费由成交供应商承担。</w:t>
      </w:r>
    </w:p>
    <w:p w14:paraId="5DF40799">
      <w:pPr>
        <w:pStyle w:val="10"/>
        <w:keepNext w:val="0"/>
        <w:keepLines w:val="0"/>
        <w:pageBreakBefore w:val="0"/>
        <w:kinsoku/>
        <w:wordWrap/>
        <w:overflowPunct/>
        <w:topLinePunct w:val="0"/>
        <w:autoSpaceDE/>
        <w:autoSpaceDN/>
        <w:bidi w:val="0"/>
        <w:adjustRightInd/>
        <w:snapToGrid/>
        <w:spacing w:line="560" w:lineRule="exact"/>
        <w:ind w:firstLine="562"/>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七</w:t>
      </w:r>
      <w:r>
        <w:rPr>
          <w:rFonts w:hint="eastAsia" w:ascii="仿宋" w:hAnsi="仿宋" w:eastAsia="仿宋" w:cs="仿宋"/>
          <w:b/>
          <w:bCs/>
          <w:color w:val="auto"/>
          <w:sz w:val="28"/>
          <w:szCs w:val="28"/>
        </w:rPr>
        <w:t>）售后服务要求</w:t>
      </w:r>
    </w:p>
    <w:p w14:paraId="7D8A7661">
      <w:pPr>
        <w:pStyle w:val="10"/>
        <w:keepNext w:val="0"/>
        <w:keepLines w:val="0"/>
        <w:pageBreakBefore w:val="0"/>
        <w:kinsoku/>
        <w:wordWrap/>
        <w:overflowPunct/>
        <w:topLinePunct w:val="0"/>
        <w:autoSpaceDE/>
        <w:autoSpaceDN/>
        <w:bidi w:val="0"/>
        <w:adjustRightInd/>
        <w:snapToGrid/>
        <w:spacing w:line="560" w:lineRule="exact"/>
        <w:ind w:firstLine="700" w:firstLineChars="25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1、质保服务响应时间：供应商维修人员电话指导维修响应时间≤2小时；达到现场维修时间≤48小时。</w:t>
      </w:r>
    </w:p>
    <w:p w14:paraId="6872C4BA">
      <w:pPr>
        <w:pStyle w:val="10"/>
        <w:keepNext w:val="0"/>
        <w:keepLines w:val="0"/>
        <w:pageBreakBefore w:val="0"/>
        <w:kinsoku/>
        <w:wordWrap/>
        <w:overflowPunct/>
        <w:topLinePunct w:val="0"/>
        <w:autoSpaceDE/>
        <w:autoSpaceDN/>
        <w:bidi w:val="0"/>
        <w:adjustRightInd/>
        <w:snapToGrid/>
        <w:spacing w:line="560" w:lineRule="exact"/>
        <w:ind w:firstLine="700" w:firstLineChars="25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2、服务内容与计划：一年保修期内，除采购人正常使用造成损坏外，供应商应无条件免费维修。</w:t>
      </w:r>
    </w:p>
    <w:p w14:paraId="2D7904FB">
      <w:pPr>
        <w:pStyle w:val="10"/>
        <w:keepNext w:val="0"/>
        <w:keepLines w:val="0"/>
        <w:pageBreakBefore w:val="0"/>
        <w:kinsoku/>
        <w:wordWrap/>
        <w:overflowPunct/>
        <w:topLinePunct w:val="0"/>
        <w:autoSpaceDE/>
        <w:autoSpaceDN/>
        <w:bidi w:val="0"/>
        <w:adjustRightInd/>
        <w:snapToGrid/>
        <w:spacing w:line="560" w:lineRule="exact"/>
        <w:ind w:firstLine="703" w:firstLineChars="250"/>
        <w:textAlignment w:val="auto"/>
        <w:rPr>
          <w:rFonts w:hint="eastAsia" w:ascii="仿宋" w:hAnsi="仿宋" w:eastAsia="仿宋" w:cs="仿宋"/>
          <w:sz w:val="28"/>
          <w:szCs w:val="28"/>
          <w:lang w:val="en-US" w:eastAsia="zh-CN"/>
        </w:rPr>
      </w:pPr>
      <w:r>
        <w:rPr>
          <w:rFonts w:hint="eastAsia" w:ascii="仿宋" w:hAnsi="仿宋" w:eastAsia="仿宋" w:cs="仿宋"/>
          <w:b/>
          <w:bCs/>
          <w:color w:val="auto"/>
          <w:sz w:val="28"/>
          <w:szCs w:val="28"/>
          <w:lang w:val="en-US" w:eastAsia="zh-CN"/>
        </w:rPr>
        <w:t>（八）</w:t>
      </w:r>
      <w:r>
        <w:rPr>
          <w:rFonts w:hint="eastAsia" w:ascii="仿宋" w:hAnsi="仿宋" w:eastAsia="仿宋" w:cs="仿宋"/>
          <w:b/>
          <w:bCs/>
          <w:sz w:val="28"/>
          <w:szCs w:val="28"/>
          <w:lang w:val="en-US" w:eastAsia="zh-CN"/>
        </w:rPr>
        <w:t>安全责任</w:t>
      </w:r>
    </w:p>
    <w:p w14:paraId="7AC4C76E">
      <w:pPr>
        <w:pStyle w:val="10"/>
        <w:keepNext w:val="0"/>
        <w:keepLines w:val="0"/>
        <w:pageBreakBefore w:val="0"/>
        <w:kinsoku/>
        <w:wordWrap/>
        <w:overflowPunct/>
        <w:topLinePunct w:val="0"/>
        <w:autoSpaceDE/>
        <w:autoSpaceDN/>
        <w:bidi w:val="0"/>
        <w:adjustRightInd/>
        <w:snapToGrid/>
        <w:spacing w:line="560" w:lineRule="exact"/>
        <w:ind w:firstLine="700" w:firstLineChars="25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应该安全、文明施工，并自行承担施工过程中发生的安全事故、责任事故及给采购人、第三方造成的全部损失。本项目约定由供应商提供设施设备、工具、物资、耗材的，供应商选用符合国标或国家强制要求的、三级甲等综合医院的运行标准的产品，并由供应商自行承担费用。若供应商提供假冒伪劣产品或有毒有害产品或存在安全隐患的产品而造成人身伤害或经济损失事件发生，其造成的后果由供应商自行承担全部责任。</w:t>
      </w:r>
    </w:p>
    <w:p w14:paraId="6134F573">
      <w:pPr>
        <w:pStyle w:val="10"/>
        <w:keepNext w:val="0"/>
        <w:keepLines w:val="0"/>
        <w:pageBreakBefore w:val="0"/>
        <w:kinsoku/>
        <w:wordWrap/>
        <w:overflowPunct/>
        <w:topLinePunct w:val="0"/>
        <w:autoSpaceDE/>
        <w:autoSpaceDN/>
        <w:bidi w:val="0"/>
        <w:adjustRightInd/>
        <w:snapToGrid/>
        <w:spacing w:line="560" w:lineRule="exact"/>
        <w:ind w:firstLine="700" w:firstLineChars="25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在采购人指定的区域内进行工作，供应商做好各项安全保障工作和预案，做好员工安全教育工作，确保员工安全及职业健康，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14:paraId="65C472DE">
      <w:pPr>
        <w:pStyle w:val="10"/>
        <w:keepNext w:val="0"/>
        <w:keepLines w:val="0"/>
        <w:pageBreakBefore w:val="0"/>
        <w:kinsoku/>
        <w:wordWrap/>
        <w:overflowPunct/>
        <w:topLinePunct w:val="0"/>
        <w:autoSpaceDE/>
        <w:autoSpaceDN/>
        <w:bidi w:val="0"/>
        <w:adjustRightInd/>
        <w:snapToGrid/>
        <w:spacing w:line="560" w:lineRule="exact"/>
        <w:ind w:firstLine="422" w:firstLineChars="150"/>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九</w:t>
      </w:r>
      <w:r>
        <w:rPr>
          <w:rFonts w:hint="eastAsia" w:ascii="仿宋" w:hAnsi="仿宋" w:eastAsia="仿宋" w:cs="仿宋"/>
          <w:b/>
          <w:bCs/>
          <w:color w:val="auto"/>
          <w:sz w:val="28"/>
          <w:szCs w:val="28"/>
        </w:rPr>
        <w:t>）违约责任</w:t>
      </w:r>
    </w:p>
    <w:p w14:paraId="6F12F348">
      <w:pPr>
        <w:pStyle w:val="10"/>
        <w:keepNext w:val="0"/>
        <w:keepLines w:val="0"/>
        <w:pageBreakBefore w:val="0"/>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1、当事人一方不履行合同义务或者履行合同义务不符合约定的，应当承担继续履行、采取补救措施或者赔偿损失等违约责任。</w:t>
      </w:r>
    </w:p>
    <w:p w14:paraId="117D9004">
      <w:pPr>
        <w:pStyle w:val="10"/>
        <w:keepNext w:val="0"/>
        <w:keepLines w:val="0"/>
        <w:pageBreakBefore w:val="0"/>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双方签订的合同实施过程中，当事人一方不能实现合同目的的，人民法院可以根据当事人的请求终止合同权利义务关系，但是不影响违约责任的承担。</w:t>
      </w:r>
    </w:p>
    <w:p w14:paraId="77E4D937">
      <w:pPr>
        <w:pStyle w:val="10"/>
        <w:keepNext w:val="0"/>
        <w:keepLines w:val="0"/>
        <w:pageBreakBefore w:val="0"/>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2、当事人一方不履行合同义务或者履行合同义务不符合约定的，在履行义务或者采取补救措施后，对方还有其他损失的，应当赔偿损失。</w:t>
      </w:r>
    </w:p>
    <w:p w14:paraId="5CE76787">
      <w:pPr>
        <w:pStyle w:val="10"/>
        <w:keepNext w:val="0"/>
        <w:keepLines w:val="0"/>
        <w:pageBreakBefore w:val="0"/>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3、采购人迟延支付的违约责任</w:t>
      </w:r>
    </w:p>
    <w:p w14:paraId="2A27A3FE">
      <w:pPr>
        <w:pStyle w:val="10"/>
        <w:keepNext w:val="0"/>
        <w:keepLines w:val="0"/>
        <w:pageBreakBefore w:val="0"/>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采购人未按合同约定付款期限迟延支付供应商合同款项的，采购人应当按未支付合同款项金额的千分之一/每天，向供应商支付违约金。采购人延迟支付60日的，供应商有权解除合同，追究采购人违约责任。</w:t>
      </w:r>
    </w:p>
    <w:p w14:paraId="46F2620F">
      <w:pPr>
        <w:pStyle w:val="10"/>
        <w:keepNext w:val="0"/>
        <w:keepLines w:val="0"/>
        <w:pageBreakBefore w:val="0"/>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4、供应商必须严格按照国家相关法律法规和本合同要求及供应商提交的响应文件约定履行合同，按时全面履行本合同的各项义务，供应商不履行本合同义务或瑕疵履行本合同义务或延迟履行本合同义务或履行合同义务不符合合同约定的，则供应商违约。</w:t>
      </w:r>
    </w:p>
    <w:p w14:paraId="332B2B1C">
      <w:pPr>
        <w:pStyle w:val="10"/>
        <w:keepNext w:val="0"/>
        <w:keepLines w:val="0"/>
        <w:pageBreakBefore w:val="0"/>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根据《中华人民共和国民法典》合同编的法律规定，采购人有权解除合同，并要求供应商承担相应违约责任并支付相应金额的违约金。采购人有权直接从供应商的合同报酬中扣除违约金，供应商因违约行为偿付的违约金不足以弥补采购人损失的，还应按采购人损失尚未弥补的部分，支付赔偿金全额赔偿采购人损失。同时供应商应采取补救措施，继续履行义务至采购人与新的供应商签订新的采购合同为止。</w:t>
      </w:r>
    </w:p>
    <w:p w14:paraId="32FA1F89">
      <w:pPr>
        <w:pStyle w:val="10"/>
        <w:keepNext w:val="0"/>
        <w:keepLines w:val="0"/>
        <w:pageBreakBefore w:val="0"/>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有下列情形之一的行为视为供应商违约，采购人有权按照以下条款要求供应商承担违约金及违约责任：</w:t>
      </w:r>
    </w:p>
    <w:p w14:paraId="0A035FF6">
      <w:pPr>
        <w:pStyle w:val="10"/>
        <w:keepNext w:val="0"/>
        <w:keepLines w:val="0"/>
        <w:pageBreakBefore w:val="0"/>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4.1、合同履行期限内，供应商明确表示或者以自己的行为表明不履行本合同的主要义务，则供应商违约，供应商应向采购人缴纳合同总价款20%的违约金，同时采购人有权解除合同。</w:t>
      </w:r>
    </w:p>
    <w:p w14:paraId="18EED39B">
      <w:pPr>
        <w:pStyle w:val="10"/>
        <w:keepNext w:val="0"/>
        <w:keepLines w:val="0"/>
        <w:pageBreakBefore w:val="0"/>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4.2、供应商履行本项目的主要义务（例如提供假冒伪劣材料）但不能实现合同目的的，则供应商违约，供应商应向采购人缴纳合同总价款20%的违约金，同时采购人有权解除合同。</w:t>
      </w:r>
    </w:p>
    <w:p w14:paraId="72E68AF6">
      <w:pPr>
        <w:pStyle w:val="10"/>
        <w:keepNext w:val="0"/>
        <w:keepLines w:val="0"/>
        <w:pageBreakBefore w:val="0"/>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4.3、因供应商或供应商员工原因，造成一般事故等级安全生产事故或以上等级安全生产事故的，供应商应向采购人支付合同总价款10%的违约金。</w:t>
      </w:r>
    </w:p>
    <w:p w14:paraId="70FB1DF5">
      <w:pPr>
        <w:pStyle w:val="10"/>
        <w:keepNext w:val="0"/>
        <w:keepLines w:val="0"/>
        <w:pageBreakBefore w:val="0"/>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4.4、供应商违反操作规程或管理制度，造成采购人重大经济损失，供应商应向采购人支付合同总价款10%的违约金。</w:t>
      </w:r>
    </w:p>
    <w:p w14:paraId="493255F4">
      <w:pPr>
        <w:pStyle w:val="10"/>
        <w:keepNext w:val="0"/>
        <w:keepLines w:val="0"/>
        <w:pageBreakBefore w:val="0"/>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4.5、供应商延迟履约，供应商未按照本合同规定的时间提供服务实现合同目的的，供应商每有一次延迟履约行为，供应商需支付违约金1000元给采购人，且供应商必须在延迟履约行为发生后的48小时内弥补完成合同约定内容，否则视为供应商再次延迟履约。供应商累计达3次延迟履约行为，则供应商应另向采购人支付合同总价款5%的违约金，同时采购人有权解除合同。</w:t>
      </w:r>
    </w:p>
    <w:p w14:paraId="3038A843">
      <w:pPr>
        <w:pStyle w:val="10"/>
        <w:keepNext w:val="0"/>
        <w:keepLines w:val="0"/>
        <w:pageBreakBefore w:val="0"/>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4.6、供应商履约不符合合同约定的瑕疵违约行为：</w:t>
      </w:r>
    </w:p>
    <w:p w14:paraId="18F3A76D">
      <w:pPr>
        <w:pStyle w:val="10"/>
        <w:keepNext w:val="0"/>
        <w:keepLines w:val="0"/>
        <w:pageBreakBefore w:val="0"/>
        <w:kinsoku/>
        <w:wordWrap/>
        <w:overflowPunct/>
        <w:topLinePunct w:val="0"/>
        <w:autoSpaceDE/>
        <w:autoSpaceDN/>
        <w:bidi w:val="0"/>
        <w:adjustRightInd/>
        <w:snapToGrid/>
        <w:spacing w:line="560" w:lineRule="exact"/>
        <w:ind w:left="0" w:leftChars="0" w:firstLine="560" w:firstLineChars="0"/>
        <w:jc w:val="left"/>
        <w:textAlignment w:val="auto"/>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lang w:val="en-US" w:eastAsia="zh-CN"/>
        </w:rPr>
        <w:t>供应商有瑕疵履行本项目义务的行为，但不影响向采购人交付合格标的成果的，视为供应商瑕疵违约，采购人根据供应商瑕疵违约情节轻重减少供应商报酬，每次扣除供应商报酬200-1000元，供应商更正当次瑕疵违约行为后，可以继续按合同约定履行合同。供应商累计3次瑕疵违约行为，则供应商应另向采购人支付合同总价款5%的违约金，同时采购人有权解除合同。</w:t>
      </w:r>
    </w:p>
    <w:p w14:paraId="2681D654">
      <w:pPr>
        <w:rPr>
          <w:color w:val="auto"/>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CB76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18634">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F18634">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34473"/>
    <w:multiLevelType w:val="singleLevel"/>
    <w:tmpl w:val="C6D34473"/>
    <w:lvl w:ilvl="0" w:tentative="0">
      <w:start w:val="4"/>
      <w:numFmt w:val="chineseCounting"/>
      <w:suff w:val="nothing"/>
      <w:lvlText w:val="%1、"/>
      <w:lvlJc w:val="left"/>
      <w:rPr>
        <w:rFonts w:hint="eastAsia"/>
      </w:rPr>
    </w:lvl>
  </w:abstractNum>
  <w:abstractNum w:abstractNumId="1">
    <w:nsid w:val="0474A1E7"/>
    <w:multiLevelType w:val="singleLevel"/>
    <w:tmpl w:val="0474A1E7"/>
    <w:lvl w:ilvl="0" w:tentative="0">
      <w:start w:val="2"/>
      <w:numFmt w:val="chineseCounting"/>
      <w:suff w:val="nothing"/>
      <w:lvlText w:val="（%1）"/>
      <w:lvlJc w:val="left"/>
      <w:rPr>
        <w:rFonts w:hint="eastAsia"/>
      </w:rPr>
    </w:lvl>
  </w:abstractNum>
  <w:abstractNum w:abstractNumId="2">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533AD"/>
    <w:rsid w:val="356C22A3"/>
    <w:rsid w:val="38037EA9"/>
    <w:rsid w:val="51A333AD"/>
    <w:rsid w:val="66747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0"/>
    <w:pPr>
      <w:ind w:firstLine="420" w:firstLineChars="200"/>
    </w:pPr>
    <w:rPr>
      <w:rFonts w:ascii="Times New Roman" w:hAnsi="Times New Roman"/>
      <w:kern w:val="0"/>
      <w:sz w:val="20"/>
      <w:szCs w:val="24"/>
    </w:rPr>
  </w:style>
  <w:style w:type="paragraph" w:styleId="4">
    <w:name w:val="Body Text"/>
    <w:basedOn w:val="1"/>
    <w:next w:val="5"/>
    <w:unhideWhenUsed/>
    <w:qFormat/>
    <w:uiPriority w:val="0"/>
    <w:pPr>
      <w:spacing w:after="120"/>
    </w:pPr>
    <w:rPr>
      <w:rFonts w:ascii="Times New Roman"/>
      <w:kern w:val="2"/>
      <w:sz w:val="21"/>
      <w:szCs w:val="24"/>
    </w:rPr>
  </w:style>
  <w:style w:type="paragraph" w:styleId="5">
    <w:name w:val="Subtitle"/>
    <w:basedOn w:val="1"/>
    <w:next w:val="1"/>
    <w:qFormat/>
    <w:uiPriority w:val="0"/>
    <w:pPr>
      <w:spacing w:before="240" w:after="60" w:line="312" w:lineRule="auto"/>
      <w:jc w:val="center"/>
      <w:outlineLvl w:val="1"/>
    </w:pPr>
    <w:rPr>
      <w:rFonts w:ascii="Cambria" w:hAnsi="Cambria"/>
      <w:b/>
      <w:bCs/>
      <w:color w:val="000000"/>
      <w:kern w:val="28"/>
      <w:sz w:val="32"/>
      <w:szCs w:val="32"/>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character" w:styleId="9">
    <w:name w:val="Strong"/>
    <w:basedOn w:val="8"/>
    <w:qFormat/>
    <w:uiPriority w:val="0"/>
    <w:rPr>
      <w:b/>
    </w:rPr>
  </w:style>
  <w:style w:type="paragraph" w:styleId="10">
    <w:name w:val="List Paragraph"/>
    <w:basedOn w:val="1"/>
    <w:autoRedefine/>
    <w:qFormat/>
    <w:uiPriority w:val="0"/>
    <w:pPr>
      <w:ind w:firstLine="420" w:firstLineChars="200"/>
    </w:pPr>
    <w:rPr>
      <w:szCs w:val="24"/>
    </w:rPr>
  </w:style>
  <w:style w:type="paragraph" w:customStyle="1" w:styleId="11">
    <w:name w:val="正文_1"/>
    <w:next w:val="12"/>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2">
    <w:name w:val="正文_2"/>
    <w:next w:val="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标题 5（有编号）（绿盟科技）"/>
    <w:basedOn w:val="12"/>
    <w:next w:val="14"/>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4">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15">
    <w:name w:val="font41"/>
    <w:basedOn w:val="8"/>
    <w:autoRedefine/>
    <w:qFormat/>
    <w:uiPriority w:val="0"/>
    <w:rPr>
      <w:rFonts w:ascii="Arial" w:hAnsi="Arial" w:cs="Arial"/>
      <w:color w:val="000000"/>
      <w:sz w:val="24"/>
      <w:szCs w:val="24"/>
      <w:u w:val="none"/>
    </w:rPr>
  </w:style>
  <w:style w:type="character" w:customStyle="1" w:styleId="16">
    <w:name w:val="font31"/>
    <w:basedOn w:val="8"/>
    <w:autoRedefine/>
    <w:qFormat/>
    <w:uiPriority w:val="0"/>
    <w:rPr>
      <w:rFonts w:hint="eastAsia" w:ascii="仿宋" w:hAnsi="仿宋" w:eastAsia="仿宋" w:cs="仿宋"/>
      <w:color w:val="000000"/>
      <w:sz w:val="24"/>
      <w:szCs w:val="24"/>
      <w:u w:val="none"/>
    </w:rPr>
  </w:style>
  <w:style w:type="paragraph" w:customStyle="1" w:styleId="17">
    <w:name w:val="正文文本_1"/>
    <w:basedOn w:val="18"/>
    <w:next w:val="18"/>
    <w:autoRedefine/>
    <w:unhideWhenUsed/>
    <w:qFormat/>
    <w:uiPriority w:val="99"/>
    <w:pPr>
      <w:spacing w:after="120"/>
    </w:pPr>
    <w:rPr>
      <w:rFonts w:ascii="Times New Roman" w:hAnsi="Times New Roman"/>
      <w:kern w:val="0"/>
      <w:sz w:val="20"/>
      <w:szCs w:val="20"/>
    </w:rPr>
  </w:style>
  <w:style w:type="paragraph" w:customStyle="1" w:styleId="18">
    <w:name w:val="正文_3"/>
    <w:autoRedefine/>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3962</Words>
  <Characters>4052</Characters>
  <Lines>0</Lines>
  <Paragraphs>0</Paragraphs>
  <TotalTime>0</TotalTime>
  <ScaleCrop>false</ScaleCrop>
  <LinksUpToDate>false</LinksUpToDate>
  <CharactersWithSpaces>4070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2025-04-21T07:27:00Z</dcterms:created>
  <dc:creator>Administrator</dc:creator>
  <cp:lastModifiedBy>.</cp:lastModifiedBy>
  <dcterms:modified xsi:type="dcterms:W3CDTF">2025-04-27T08:59:40Z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eyJoZGlkIjoiMTAzMTBlMjY5MTY5NTBhZjJkYTQzY2Y2YjcxYmI5YTMiLCJ1c2VySWQiOiI5OTEwMzk2NDYifQ==</vt:lpwstr>
  </property>
  <property fmtid="{D5CDD505-2E9C-101B-9397-08002B2CF9AE}" pid="4" name="ICV">
    <vt:lpwstr>4E7CA2B696C84509A43D2ECBEFBCCF3D_12</vt:lpwstr>
  </property>
</Properties>
</file>