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2E1F">
      <w:pPr>
        <w:spacing w:line="360" w:lineRule="auto"/>
        <w:rPr>
          <w:rFonts w:hint="eastAsia" w:ascii="仿宋" w:hAnsi="仿宋" w:eastAsia="仿宋" w:cs="仿宋"/>
          <w:b/>
          <w:sz w:val="28"/>
          <w:szCs w:val="28"/>
          <w:highlight w:val="none"/>
          <w:bdr w:val="single" w:color="auto" w:sz="4" w:space="0"/>
          <w:lang w:eastAsia="zh-CN"/>
        </w:rPr>
      </w:pPr>
      <w:bookmarkStart w:id="0" w:name="_Toc193106174"/>
      <w:bookmarkStart w:id="1" w:name="_Toc193105917"/>
      <w:bookmarkStart w:id="2" w:name="_Toc350864514"/>
      <w:bookmarkStart w:id="3" w:name="_Toc193106063"/>
      <w:r>
        <w:rPr>
          <w:rFonts w:hint="eastAsia" w:ascii="仿宋" w:hAnsi="仿宋" w:eastAsia="仿宋" w:cs="仿宋"/>
          <w:b/>
          <w:sz w:val="28"/>
          <w:szCs w:val="28"/>
          <w:highlight w:val="none"/>
          <w:bdr w:val="single" w:color="auto" w:sz="4" w:space="0"/>
        </w:rPr>
        <w:t>采购编号：</w:t>
      </w:r>
      <w:r>
        <w:rPr>
          <w:rFonts w:hint="eastAsia" w:ascii="仿宋" w:hAnsi="仿宋" w:eastAsia="仿宋" w:cs="仿宋"/>
          <w:b/>
          <w:sz w:val="28"/>
          <w:szCs w:val="28"/>
          <w:highlight w:val="none"/>
          <w:bdr w:val="single" w:color="auto" w:sz="4" w:space="0"/>
          <w:lang w:eastAsia="zh-CN"/>
        </w:rPr>
        <w:t>竹医总采（遴）【202</w:t>
      </w:r>
      <w:r>
        <w:rPr>
          <w:rFonts w:hint="eastAsia" w:ascii="仿宋" w:hAnsi="仿宋" w:eastAsia="仿宋" w:cs="仿宋"/>
          <w:b/>
          <w:sz w:val="28"/>
          <w:szCs w:val="28"/>
          <w:highlight w:val="none"/>
          <w:bdr w:val="single" w:color="auto" w:sz="4" w:space="0"/>
          <w:lang w:val="en-US" w:eastAsia="zh-CN"/>
        </w:rPr>
        <w:t>5</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2</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12</w:t>
      </w:r>
      <w:r>
        <w:rPr>
          <w:rFonts w:hint="eastAsia" w:ascii="仿宋" w:hAnsi="仿宋" w:eastAsia="仿宋" w:cs="仿宋"/>
          <w:b/>
          <w:sz w:val="28"/>
          <w:szCs w:val="28"/>
          <w:highlight w:val="none"/>
          <w:bdr w:val="single" w:color="auto" w:sz="4" w:space="0"/>
          <w:lang w:eastAsia="zh-CN"/>
        </w:rPr>
        <w:t>】</w:t>
      </w:r>
    </w:p>
    <w:p w14:paraId="26367F72">
      <w:pPr>
        <w:spacing w:line="360" w:lineRule="auto"/>
        <w:jc w:val="center"/>
        <w:rPr>
          <w:rFonts w:ascii="仿宋" w:hAnsi="仿宋" w:eastAsia="仿宋" w:cs="仿宋"/>
          <w:b/>
          <w:kern w:val="0"/>
          <w:sz w:val="40"/>
          <w:szCs w:val="40"/>
          <w:highlight w:val="none"/>
        </w:rPr>
      </w:pPr>
    </w:p>
    <w:p w14:paraId="69E001FF">
      <w:pPr>
        <w:spacing w:line="360" w:lineRule="auto"/>
        <w:jc w:val="center"/>
        <w:rPr>
          <w:rFonts w:hint="eastAsia" w:ascii="仿宋" w:hAnsi="仿宋" w:eastAsia="仿宋" w:cs="仿宋"/>
          <w:b/>
          <w:kern w:val="0"/>
          <w:sz w:val="40"/>
          <w:szCs w:val="40"/>
          <w:highlight w:val="none"/>
          <w:lang w:eastAsia="zh-CN"/>
        </w:rPr>
      </w:pPr>
      <w:bookmarkStart w:id="4" w:name="OLE_LINK1"/>
      <w:r>
        <w:rPr>
          <w:rFonts w:hint="eastAsia" w:ascii="仿宋" w:hAnsi="仿宋" w:eastAsia="仿宋" w:cs="仿宋"/>
          <w:b/>
          <w:kern w:val="0"/>
          <w:sz w:val="40"/>
          <w:szCs w:val="40"/>
          <w:highlight w:val="none"/>
          <w:lang w:eastAsia="zh-CN"/>
        </w:rPr>
        <w:t>大竹县人民医院锐器盒等低值耗材采购项目</w:t>
      </w:r>
      <w:bookmarkEnd w:id="4"/>
    </w:p>
    <w:p w14:paraId="267E5354">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遴</w:t>
      </w:r>
    </w:p>
    <w:p w14:paraId="290C5F05">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选</w:t>
      </w:r>
    </w:p>
    <w:p w14:paraId="091E22DE">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文</w:t>
      </w:r>
    </w:p>
    <w:p w14:paraId="47B5B1A1">
      <w:pPr>
        <w:spacing w:line="360" w:lineRule="auto"/>
        <w:jc w:val="center"/>
        <w:rPr>
          <w:rFonts w:hint="eastAsia" w:ascii="仿宋" w:hAnsi="仿宋" w:eastAsia="仿宋" w:cs="仿宋"/>
          <w:b/>
          <w:sz w:val="72"/>
          <w:szCs w:val="72"/>
          <w:highlight w:val="none"/>
          <w:lang w:eastAsia="zh-CN"/>
        </w:rPr>
      </w:pPr>
      <w:r>
        <w:rPr>
          <w:rFonts w:hint="eastAsia" w:ascii="仿宋" w:hAnsi="仿宋" w:eastAsia="仿宋" w:cs="仿宋"/>
          <w:b/>
          <w:sz w:val="96"/>
          <w:highlight w:val="none"/>
          <w:lang w:eastAsia="zh-CN"/>
        </w:rPr>
        <w:t>件</w:t>
      </w:r>
    </w:p>
    <w:p w14:paraId="11B5AA5F">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中国·四川（大竹）</w:t>
      </w:r>
    </w:p>
    <w:p w14:paraId="0E9F46D8">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大竹县人民医院</w:t>
      </w:r>
    </w:p>
    <w:p w14:paraId="38EB5277">
      <w:pPr>
        <w:spacing w:line="360" w:lineRule="auto"/>
        <w:jc w:val="center"/>
        <w:rPr>
          <w:rFonts w:ascii="仿宋" w:hAnsi="仿宋" w:eastAsia="仿宋" w:cs="仿宋"/>
          <w:sz w:val="44"/>
          <w:szCs w:val="44"/>
          <w:highlight w:val="none"/>
        </w:rPr>
      </w:pPr>
      <w:r>
        <w:rPr>
          <w:rFonts w:hint="eastAsia" w:ascii="仿宋" w:hAnsi="仿宋" w:eastAsia="仿宋" w:cs="仿宋"/>
          <w:b/>
          <w:bCs/>
          <w:sz w:val="32"/>
          <w:szCs w:val="32"/>
          <w:highlight w:val="none"/>
          <w:lang w:val="zh-CN"/>
        </w:rPr>
        <w:t>二〇二</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lang w:val="zh-CN"/>
        </w:rPr>
        <w:t>年</w:t>
      </w:r>
      <w:r>
        <w:rPr>
          <w:rFonts w:hint="eastAsia" w:ascii="仿宋" w:hAnsi="仿宋" w:eastAsia="仿宋" w:cs="仿宋"/>
          <w:b/>
          <w:bCs/>
          <w:sz w:val="32"/>
          <w:szCs w:val="32"/>
          <w:highlight w:val="none"/>
          <w:lang w:val="en-US" w:eastAsia="zh-CN"/>
        </w:rPr>
        <w:t>二</w:t>
      </w:r>
      <w:r>
        <w:rPr>
          <w:rFonts w:hint="eastAsia" w:ascii="仿宋" w:hAnsi="仿宋" w:eastAsia="仿宋" w:cs="仿宋"/>
          <w:b/>
          <w:bCs/>
          <w:sz w:val="32"/>
          <w:szCs w:val="32"/>
          <w:highlight w:val="none"/>
          <w:lang w:val="zh-CN"/>
        </w:rPr>
        <w:t>月</w:t>
      </w:r>
      <w:r>
        <w:rPr>
          <w:rFonts w:hint="eastAsia" w:ascii="仿宋" w:hAnsi="仿宋" w:eastAsia="仿宋" w:cs="仿宋"/>
          <w:b/>
          <w:sz w:val="32"/>
          <w:szCs w:val="32"/>
          <w:highlight w:val="none"/>
        </w:rPr>
        <w:br w:type="page"/>
      </w:r>
      <w:r>
        <w:rPr>
          <w:rFonts w:hint="eastAsia" w:ascii="仿宋" w:hAnsi="仿宋" w:eastAsia="仿宋" w:cs="仿宋"/>
          <w:sz w:val="44"/>
          <w:szCs w:val="44"/>
          <w:highlight w:val="none"/>
        </w:rPr>
        <w:t>目    录</w:t>
      </w:r>
    </w:p>
    <w:p w14:paraId="6ADD4403">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                                           2</w:t>
      </w:r>
    </w:p>
    <w:p w14:paraId="52BD8DF6">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                                           4</w:t>
      </w:r>
    </w:p>
    <w:p w14:paraId="27B68C6A">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rPr>
        <w:t>响应文件                                               7</w:t>
      </w:r>
    </w:p>
    <w:p w14:paraId="4B38B5BD">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遴选采购活动</w:t>
      </w:r>
      <w:r>
        <w:rPr>
          <w:rFonts w:hint="eastAsia" w:ascii="仿宋" w:hAnsi="仿宋" w:eastAsia="仿宋" w:cs="仿宋"/>
          <w:b/>
          <w:sz w:val="28"/>
          <w:szCs w:val="28"/>
          <w:highlight w:val="none"/>
        </w:rPr>
        <w:t xml:space="preserve">程序和成交标准                           </w:t>
      </w:r>
      <w:r>
        <w:rPr>
          <w:rFonts w:hint="eastAsia" w:ascii="仿宋" w:hAnsi="仿宋" w:eastAsia="仿宋" w:cs="仿宋"/>
          <w:b/>
          <w:sz w:val="28"/>
          <w:szCs w:val="28"/>
          <w:highlight w:val="none"/>
          <w:lang w:val="en-US" w:eastAsia="zh-CN"/>
        </w:rPr>
        <w:t xml:space="preserve">  9</w:t>
      </w:r>
    </w:p>
    <w:p w14:paraId="55F076F7">
      <w:pPr>
        <w:pStyle w:val="44"/>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               12</w:t>
      </w:r>
    </w:p>
    <w:p w14:paraId="22E91090">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                                   14</w:t>
      </w:r>
    </w:p>
    <w:p w14:paraId="59E918BF">
      <w:pPr>
        <w:pStyle w:val="35"/>
        <w:spacing w:line="360" w:lineRule="auto"/>
        <w:ind w:firstLine="0" w:firstLineChars="0"/>
        <w:jc w:val="lef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第七章 供应商应当提供的资格证明材料                           1</w:t>
      </w:r>
      <w:r>
        <w:rPr>
          <w:rFonts w:hint="eastAsia" w:ascii="仿宋" w:hAnsi="仿宋" w:eastAsia="仿宋" w:cs="仿宋"/>
          <w:b/>
          <w:sz w:val="28"/>
          <w:szCs w:val="28"/>
          <w:highlight w:val="none"/>
          <w:lang w:val="en-US" w:eastAsia="zh-CN"/>
        </w:rPr>
        <w:t>5</w:t>
      </w:r>
    </w:p>
    <w:p w14:paraId="7558DF01">
      <w:pPr>
        <w:pStyle w:val="35"/>
        <w:spacing w:line="360" w:lineRule="auto"/>
        <w:ind w:firstLine="0" w:firstLineChars="0"/>
        <w:jc w:val="left"/>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rPr>
        <w:t xml:space="preserve">第八章 采购项目内容和要求                                     </w:t>
      </w:r>
      <w:r>
        <w:rPr>
          <w:rFonts w:hint="eastAsia" w:ascii="仿宋" w:hAnsi="仿宋" w:eastAsia="仿宋" w:cs="仿宋"/>
          <w:b/>
          <w:sz w:val="28"/>
          <w:szCs w:val="28"/>
          <w:highlight w:val="none"/>
          <w:lang w:val="en-US" w:eastAsia="zh-CN"/>
        </w:rPr>
        <w:t>16</w:t>
      </w:r>
    </w:p>
    <w:p w14:paraId="2CA4D348">
      <w:pPr>
        <w:spacing w:line="360" w:lineRule="auto"/>
        <w:jc w:val="left"/>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rPr>
        <w:t xml:space="preserve">第九章 响应文件相关文书格式                                  </w:t>
      </w:r>
      <w:r>
        <w:rPr>
          <w:rFonts w:hint="eastAsia" w:ascii="仿宋" w:hAnsi="仿宋" w:eastAsia="仿宋" w:cs="仿宋"/>
          <w:b/>
          <w:sz w:val="28"/>
          <w:szCs w:val="28"/>
          <w:highlight w:val="none"/>
          <w:lang w:val="en-US" w:eastAsia="zh-CN"/>
        </w:rPr>
        <w:t xml:space="preserve"> 31</w:t>
      </w:r>
    </w:p>
    <w:p w14:paraId="13EDB8BB">
      <w:pPr>
        <w:pStyle w:val="3"/>
        <w:spacing w:line="360" w:lineRule="auto"/>
        <w:ind w:firstLine="0" w:firstLineChars="0"/>
        <w:rPr>
          <w:rFonts w:ascii="仿宋" w:hAnsi="仿宋" w:eastAsia="仿宋" w:cs="仿宋"/>
          <w:highlight w:val="none"/>
        </w:rPr>
      </w:pPr>
    </w:p>
    <w:p w14:paraId="7D6B54AB">
      <w:pPr>
        <w:pStyle w:val="3"/>
        <w:spacing w:line="360" w:lineRule="auto"/>
        <w:ind w:firstLine="0" w:firstLineChars="0"/>
        <w:rPr>
          <w:rFonts w:ascii="仿宋" w:hAnsi="仿宋" w:eastAsia="仿宋" w:cs="仿宋"/>
          <w:highlight w:val="none"/>
        </w:rPr>
      </w:pPr>
    </w:p>
    <w:p w14:paraId="6D1DC3F0">
      <w:pPr>
        <w:pStyle w:val="3"/>
        <w:spacing w:line="360" w:lineRule="auto"/>
        <w:ind w:firstLine="0" w:firstLineChars="0"/>
        <w:rPr>
          <w:rFonts w:ascii="仿宋" w:hAnsi="仿宋" w:eastAsia="仿宋" w:cs="仿宋"/>
          <w:highlight w:val="none"/>
        </w:rPr>
      </w:pPr>
    </w:p>
    <w:p w14:paraId="544BA546">
      <w:pPr>
        <w:pStyle w:val="3"/>
        <w:spacing w:line="360" w:lineRule="auto"/>
        <w:ind w:firstLine="0" w:firstLineChars="0"/>
        <w:rPr>
          <w:rFonts w:ascii="仿宋" w:hAnsi="仿宋" w:eastAsia="仿宋" w:cs="仿宋"/>
          <w:highlight w:val="none"/>
        </w:rPr>
      </w:pPr>
    </w:p>
    <w:p w14:paraId="6FCF00B1">
      <w:pPr>
        <w:pStyle w:val="3"/>
        <w:spacing w:line="360" w:lineRule="auto"/>
        <w:ind w:firstLine="0" w:firstLineChars="0"/>
        <w:rPr>
          <w:rFonts w:ascii="仿宋" w:hAnsi="仿宋" w:eastAsia="仿宋" w:cs="仿宋"/>
          <w:highlight w:val="none"/>
        </w:rPr>
      </w:pPr>
    </w:p>
    <w:p w14:paraId="71FEBBA2">
      <w:pPr>
        <w:pStyle w:val="3"/>
        <w:spacing w:line="360" w:lineRule="auto"/>
        <w:ind w:firstLine="0" w:firstLineChars="0"/>
        <w:rPr>
          <w:rFonts w:ascii="仿宋" w:hAnsi="仿宋" w:eastAsia="仿宋" w:cs="仿宋"/>
          <w:highlight w:val="none"/>
        </w:rPr>
      </w:pPr>
    </w:p>
    <w:p w14:paraId="24B29311">
      <w:pPr>
        <w:pStyle w:val="35"/>
        <w:spacing w:line="360" w:lineRule="auto"/>
        <w:ind w:firstLine="562"/>
        <w:jc w:val="center"/>
        <w:rPr>
          <w:rFonts w:ascii="仿宋" w:hAnsi="仿宋" w:eastAsia="仿宋" w:cs="仿宋"/>
          <w:b/>
          <w:sz w:val="28"/>
          <w:szCs w:val="28"/>
          <w:highlight w:val="none"/>
        </w:rPr>
      </w:pPr>
    </w:p>
    <w:p w14:paraId="0E722DCD">
      <w:pPr>
        <w:pStyle w:val="35"/>
        <w:spacing w:line="360" w:lineRule="auto"/>
        <w:ind w:firstLine="562"/>
        <w:jc w:val="center"/>
        <w:rPr>
          <w:rFonts w:ascii="仿宋" w:hAnsi="仿宋" w:eastAsia="仿宋" w:cs="仿宋"/>
          <w:b/>
          <w:sz w:val="28"/>
          <w:szCs w:val="28"/>
          <w:highlight w:val="none"/>
        </w:rPr>
      </w:pPr>
    </w:p>
    <w:p w14:paraId="72B5C8CA">
      <w:pPr>
        <w:pStyle w:val="35"/>
        <w:spacing w:line="360" w:lineRule="auto"/>
        <w:ind w:firstLine="562"/>
        <w:jc w:val="center"/>
        <w:rPr>
          <w:rFonts w:ascii="仿宋" w:hAnsi="仿宋" w:eastAsia="仿宋" w:cs="仿宋"/>
          <w:b/>
          <w:sz w:val="28"/>
          <w:szCs w:val="28"/>
          <w:highlight w:val="none"/>
        </w:rPr>
      </w:pPr>
    </w:p>
    <w:p w14:paraId="24DF409D">
      <w:pPr>
        <w:pStyle w:val="35"/>
        <w:spacing w:line="360" w:lineRule="auto"/>
        <w:ind w:firstLine="562"/>
        <w:jc w:val="center"/>
        <w:rPr>
          <w:rFonts w:ascii="仿宋" w:hAnsi="仿宋" w:eastAsia="仿宋" w:cs="仿宋"/>
          <w:b/>
          <w:sz w:val="28"/>
          <w:szCs w:val="28"/>
          <w:highlight w:val="none"/>
        </w:rPr>
      </w:pPr>
    </w:p>
    <w:p w14:paraId="04C5BA0D">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第一章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w:t>
      </w:r>
      <w:bookmarkEnd w:id="0"/>
      <w:bookmarkEnd w:id="1"/>
      <w:bookmarkEnd w:id="2"/>
      <w:bookmarkEnd w:id="3"/>
    </w:p>
    <w:p w14:paraId="4ACEFC8B">
      <w:pPr>
        <w:spacing w:line="360" w:lineRule="auto"/>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我院拟以遴选（遴选即我院自主独立采购，从参与我院组织的采购活动的供应商中按符合本文件全部要求的供应商中从优选择成交供应商）方式对《大竹县人民医院锐器盒等低值耗材采购项目》组织采购，兹邀请符合本次遴选文件全部要求的供应商参与本遴选文件所配套的采购活动。</w:t>
      </w:r>
    </w:p>
    <w:p w14:paraId="03036F57">
      <w:pPr>
        <w:pStyle w:val="35"/>
        <w:spacing w:line="360" w:lineRule="auto"/>
        <w:ind w:firstLine="562"/>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1.采购项目编号：</w:t>
      </w:r>
      <w:r>
        <w:rPr>
          <w:rFonts w:hint="eastAsia" w:ascii="仿宋" w:hAnsi="仿宋" w:eastAsia="仿宋" w:cs="仿宋"/>
          <w:sz w:val="28"/>
          <w:szCs w:val="28"/>
          <w:highlight w:val="none"/>
          <w:lang w:eastAsia="zh-CN"/>
        </w:rPr>
        <w:t>竹医总采（遴）【202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eastAsia="zh-CN"/>
        </w:rPr>
        <w:t>】</w:t>
      </w:r>
    </w:p>
    <w:p w14:paraId="28FA732A">
      <w:pPr>
        <w:pStyle w:val="35"/>
        <w:spacing w:line="360" w:lineRule="auto"/>
        <w:ind w:firstLine="562"/>
        <w:rPr>
          <w:rFonts w:hint="eastAsia" w:ascii="仿宋" w:hAnsi="仿宋" w:eastAsia="仿宋" w:cs="仿宋"/>
          <w:bCs/>
          <w:sz w:val="28"/>
          <w:szCs w:val="28"/>
          <w:highlight w:val="none"/>
        </w:rPr>
      </w:pPr>
      <w:r>
        <w:rPr>
          <w:rFonts w:hint="eastAsia" w:ascii="仿宋" w:hAnsi="仿宋" w:eastAsia="仿宋" w:cs="仿宋"/>
          <w:b/>
          <w:bCs/>
          <w:sz w:val="28"/>
          <w:szCs w:val="28"/>
          <w:highlight w:val="none"/>
        </w:rPr>
        <w:t>2.采购项目名称</w:t>
      </w:r>
      <w:r>
        <w:rPr>
          <w:rFonts w:hint="eastAsia" w:ascii="仿宋" w:hAnsi="仿宋" w:eastAsia="仿宋" w:cs="仿宋"/>
          <w:bCs/>
          <w:sz w:val="28"/>
          <w:szCs w:val="28"/>
          <w:highlight w:val="none"/>
        </w:rPr>
        <w:t>：大竹县人民医院锐器盒等低值耗材采购项目</w:t>
      </w:r>
    </w:p>
    <w:p w14:paraId="6A42061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3.报名时间和方式</w:t>
      </w:r>
    </w:p>
    <w:p w14:paraId="2CEA196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自</w:t>
      </w:r>
      <w:r>
        <w:rPr>
          <w:rFonts w:hint="eastAsia" w:ascii="仿宋" w:hAnsi="仿宋" w:eastAsia="仿宋" w:cs="仿宋"/>
          <w:color w:val="FF0000"/>
          <w:sz w:val="28"/>
          <w:szCs w:val="28"/>
          <w:highlight w:val="none"/>
        </w:rPr>
        <w:t>202</w:t>
      </w:r>
      <w:r>
        <w:rPr>
          <w:rFonts w:hint="eastAsia" w:ascii="仿宋" w:hAnsi="仿宋" w:eastAsia="仿宋" w:cs="仿宋"/>
          <w:color w:val="FF0000"/>
          <w:sz w:val="28"/>
          <w:szCs w:val="28"/>
          <w:highlight w:val="none"/>
          <w:lang w:val="en-US" w:eastAsia="zh-CN"/>
        </w:rPr>
        <w:t>5</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2</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18</w:t>
      </w:r>
      <w:r>
        <w:rPr>
          <w:rFonts w:hint="eastAsia" w:ascii="仿宋" w:hAnsi="仿宋" w:eastAsia="仿宋" w:cs="仿宋"/>
          <w:color w:val="FF0000"/>
          <w:sz w:val="28"/>
          <w:szCs w:val="28"/>
          <w:highlight w:val="none"/>
        </w:rPr>
        <w:t>日起至202</w:t>
      </w:r>
      <w:r>
        <w:rPr>
          <w:rFonts w:hint="eastAsia" w:ascii="仿宋" w:hAnsi="仿宋" w:eastAsia="仿宋" w:cs="仿宋"/>
          <w:color w:val="FF0000"/>
          <w:sz w:val="28"/>
          <w:szCs w:val="28"/>
          <w:highlight w:val="none"/>
          <w:lang w:val="en-US" w:eastAsia="zh-CN"/>
        </w:rPr>
        <w:t>5</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2</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19</w:t>
      </w:r>
      <w:r>
        <w:rPr>
          <w:rFonts w:hint="eastAsia" w:ascii="仿宋" w:hAnsi="仿宋" w:eastAsia="仿宋" w:cs="仿宋"/>
          <w:color w:val="FF0000"/>
          <w:sz w:val="28"/>
          <w:szCs w:val="28"/>
          <w:highlight w:val="none"/>
        </w:rPr>
        <w:t>日09:00 - 17:00</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北京时间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期间，供应商前往大竹县人民医院总务科办公室</w:t>
      </w:r>
      <w:r>
        <w:rPr>
          <w:rFonts w:hint="eastAsia" w:ascii="仿宋" w:hAnsi="仿宋" w:eastAsia="仿宋" w:cs="仿宋"/>
          <w:sz w:val="28"/>
          <w:szCs w:val="28"/>
          <w:highlight w:val="none"/>
          <w:u w:val="single"/>
        </w:rPr>
        <w:t>实地报名</w:t>
      </w:r>
      <w:r>
        <w:rPr>
          <w:rFonts w:hint="eastAsia" w:ascii="仿宋" w:hAnsi="仿宋" w:eastAsia="仿宋" w:cs="仿宋"/>
          <w:sz w:val="28"/>
          <w:szCs w:val="28"/>
          <w:highlight w:val="none"/>
        </w:rPr>
        <w:t>签到（报名资料：</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营业执照复印件，法人代表人身份证复印件，非法人代表报名的提供介绍信或法定代表人授权委托书、法人代表和</w:t>
      </w:r>
      <w:r>
        <w:rPr>
          <w:rFonts w:hint="eastAsia" w:ascii="仿宋" w:hAnsi="仿宋" w:eastAsia="仿宋" w:cs="仿宋"/>
          <w:sz w:val="28"/>
          <w:szCs w:val="28"/>
          <w:highlight w:val="none"/>
          <w:lang w:val="en-US" w:eastAsia="zh-CN"/>
        </w:rPr>
        <w:t>授权代表</w:t>
      </w:r>
      <w:r>
        <w:rPr>
          <w:rFonts w:hint="eastAsia" w:ascii="仿宋" w:hAnsi="仿宋" w:eastAsia="仿宋" w:cs="仿宋"/>
          <w:sz w:val="28"/>
          <w:szCs w:val="28"/>
          <w:highlight w:val="none"/>
        </w:rPr>
        <w:t>人的身份证复印件。上述资料均需加盖单位鲜章）。非本人报名，未按要求提供报名资料，逾期报名的均不予受理，供应商的报名资格不得转让。</w:t>
      </w:r>
    </w:p>
    <w:p w14:paraId="5F25DE8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供应商报名合格后，参加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、递交响应文件时，供应商的名称应与报名时的供应商名称一致。</w:t>
      </w:r>
    </w:p>
    <w:p w14:paraId="3FA196E8">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4.严禁参加本次</w:t>
      </w:r>
      <w:r>
        <w:rPr>
          <w:rFonts w:hint="eastAsia" w:ascii="仿宋" w:hAnsi="仿宋" w:eastAsia="仿宋" w:cs="仿宋"/>
          <w:b/>
          <w:bCs/>
          <w:sz w:val="28"/>
          <w:szCs w:val="28"/>
          <w:highlight w:val="none"/>
          <w:lang w:eastAsia="zh-CN"/>
        </w:rPr>
        <w:t>遴选采购活动</w:t>
      </w:r>
      <w:r>
        <w:rPr>
          <w:rFonts w:hint="eastAsia" w:ascii="仿宋" w:hAnsi="仿宋" w:eastAsia="仿宋" w:cs="仿宋"/>
          <w:b/>
          <w:bCs/>
          <w:sz w:val="28"/>
          <w:szCs w:val="28"/>
          <w:highlight w:val="none"/>
        </w:rPr>
        <w:t>的供应商</w:t>
      </w:r>
    </w:p>
    <w:p w14:paraId="53FEC085">
      <w:pPr>
        <w:pStyle w:val="35"/>
        <w:spacing w:line="360" w:lineRule="auto"/>
        <w:ind w:firstLine="560"/>
        <w:jc w:val="left"/>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w:t>
      </w:r>
    </w:p>
    <w:p w14:paraId="745994A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5.开标当日必备资料</w:t>
      </w:r>
    </w:p>
    <w:p w14:paraId="109FC59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递交方式：供应商现场递交</w:t>
      </w:r>
    </w:p>
    <w:p w14:paraId="60289A9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①本项目响应文件一份；</w:t>
      </w:r>
    </w:p>
    <w:p w14:paraId="41C95CF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②报价一览表一份。</w:t>
      </w:r>
    </w:p>
    <w:p w14:paraId="7B0AA85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递交资料截止时间</w:t>
      </w:r>
      <w:r>
        <w:rPr>
          <w:rFonts w:hint="eastAsia" w:ascii="仿宋" w:hAnsi="仿宋" w:eastAsia="仿宋" w:cs="仿宋"/>
          <w:sz w:val="28"/>
          <w:szCs w:val="28"/>
          <w:highlight w:val="none"/>
          <w:lang w:val="en-US" w:eastAsia="zh-CN"/>
        </w:rPr>
        <w:t>为</w:t>
      </w:r>
      <w:r>
        <w:rPr>
          <w:rFonts w:hint="eastAsia" w:ascii="仿宋" w:hAnsi="仿宋" w:eastAsia="仿宋" w:cs="仿宋"/>
          <w:color w:val="FF0000"/>
          <w:sz w:val="28"/>
          <w:szCs w:val="28"/>
          <w:highlight w:val="none"/>
          <w:u w:val="single"/>
        </w:rPr>
        <w:t xml:space="preserve">  202</w:t>
      </w:r>
      <w:r>
        <w:rPr>
          <w:rFonts w:hint="eastAsia" w:ascii="仿宋" w:hAnsi="仿宋" w:eastAsia="仿宋" w:cs="仿宋"/>
          <w:color w:val="FF0000"/>
          <w:sz w:val="28"/>
          <w:szCs w:val="28"/>
          <w:highlight w:val="none"/>
          <w:u w:val="single"/>
          <w:lang w:val="en-US" w:eastAsia="zh-CN"/>
        </w:rPr>
        <w:t>5</w:t>
      </w:r>
      <w:r>
        <w:rPr>
          <w:rFonts w:hint="eastAsia" w:ascii="仿宋" w:hAnsi="仿宋" w:eastAsia="仿宋" w:cs="仿宋"/>
          <w:color w:val="FF0000"/>
          <w:sz w:val="28"/>
          <w:szCs w:val="28"/>
          <w:highlight w:val="none"/>
          <w:u w:val="single"/>
        </w:rPr>
        <w:t>年</w:t>
      </w:r>
      <w:r>
        <w:rPr>
          <w:rFonts w:hint="eastAsia" w:ascii="仿宋" w:hAnsi="仿宋" w:eastAsia="仿宋" w:cs="仿宋"/>
          <w:color w:val="FF0000"/>
          <w:sz w:val="28"/>
          <w:szCs w:val="28"/>
          <w:highlight w:val="none"/>
          <w:u w:val="single"/>
          <w:lang w:val="en-US" w:eastAsia="zh-CN"/>
        </w:rPr>
        <w:t>2</w:t>
      </w:r>
      <w:r>
        <w:rPr>
          <w:rFonts w:hint="eastAsia" w:ascii="仿宋" w:hAnsi="仿宋" w:eastAsia="仿宋" w:cs="仿宋"/>
          <w:color w:val="FF0000"/>
          <w:sz w:val="28"/>
          <w:szCs w:val="28"/>
          <w:highlight w:val="none"/>
          <w:u w:val="single"/>
        </w:rPr>
        <w:t>月</w:t>
      </w:r>
      <w:r>
        <w:rPr>
          <w:rFonts w:hint="eastAsia" w:ascii="仿宋" w:hAnsi="仿宋" w:eastAsia="仿宋" w:cs="仿宋"/>
          <w:color w:val="FF0000"/>
          <w:sz w:val="28"/>
          <w:szCs w:val="28"/>
          <w:highlight w:val="none"/>
          <w:u w:val="single"/>
          <w:lang w:val="en-US" w:eastAsia="zh-CN"/>
        </w:rPr>
        <w:t>21</w:t>
      </w:r>
      <w:r>
        <w:rPr>
          <w:rFonts w:hint="eastAsia" w:ascii="仿宋" w:hAnsi="仿宋" w:eastAsia="仿宋" w:cs="仿宋"/>
          <w:color w:val="FF0000"/>
          <w:sz w:val="28"/>
          <w:szCs w:val="28"/>
          <w:highlight w:val="none"/>
          <w:u w:val="single"/>
        </w:rPr>
        <w:t>日</w:t>
      </w:r>
      <w:r>
        <w:rPr>
          <w:rFonts w:hint="eastAsia" w:ascii="仿宋" w:hAnsi="仿宋" w:eastAsia="仿宋" w:cs="仿宋"/>
          <w:color w:val="FF0000"/>
          <w:sz w:val="28"/>
          <w:szCs w:val="28"/>
          <w:highlight w:val="none"/>
          <w:lang w:val="en-US" w:eastAsia="zh-CN"/>
        </w:rPr>
        <w:t>15</w:t>
      </w:r>
      <w:r>
        <w:rPr>
          <w:rFonts w:hint="eastAsia" w:ascii="仿宋" w:hAnsi="仿宋" w:eastAsia="仿宋" w:cs="仿宋"/>
          <w:color w:val="FF0000"/>
          <w:sz w:val="28"/>
          <w:szCs w:val="28"/>
          <w:highlight w:val="none"/>
        </w:rPr>
        <w:t>：00</w:t>
      </w:r>
      <w:r>
        <w:rPr>
          <w:rFonts w:hint="eastAsia" w:ascii="仿宋" w:hAnsi="仿宋" w:eastAsia="仿宋" w:cs="仿宋"/>
          <w:sz w:val="28"/>
          <w:szCs w:val="28"/>
          <w:highlight w:val="none"/>
        </w:rPr>
        <w:t xml:space="preserve"> 时（北京时间）。必须在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要求的</w:t>
      </w:r>
      <w:r>
        <w:rPr>
          <w:rFonts w:hint="eastAsia" w:ascii="仿宋" w:hAnsi="仿宋" w:eastAsia="仿宋" w:cs="仿宋"/>
          <w:sz w:val="28"/>
          <w:szCs w:val="28"/>
          <w:highlight w:val="none"/>
        </w:rPr>
        <w:t>截止时间前将资料送达开标地点。未报名、逾期送达、密封盖章签字和标注</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不符合本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val="en-US" w:eastAsia="zh-CN"/>
        </w:rPr>
        <w:t>采购人不接受该供应商参与遴选活动</w:t>
      </w:r>
      <w:r>
        <w:rPr>
          <w:rFonts w:hint="eastAsia" w:ascii="仿宋" w:hAnsi="仿宋" w:eastAsia="仿宋" w:cs="仿宋"/>
          <w:sz w:val="28"/>
          <w:szCs w:val="28"/>
          <w:highlight w:val="none"/>
        </w:rPr>
        <w:t>。</w:t>
      </w:r>
    </w:p>
    <w:p w14:paraId="75DB70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不接受邮寄的响应文件。</w:t>
      </w:r>
    </w:p>
    <w:p w14:paraId="03FB1DC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递交资料、</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地点：大竹县人民医院总务科会议室（四川省达州市大竹县青年路99号）。</w:t>
      </w:r>
    </w:p>
    <w:p w14:paraId="64B6CBFC">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6.评审</w:t>
      </w:r>
    </w:p>
    <w:p w14:paraId="5F60838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开标后满足3家合格报名供应商时，采购人予以当日评审。采购人现场评审期间，供应商需在附近等候。当采购人通知供应商澄清、更正、报价时，若供应商20分钟内未到达评审现场，视为供应商放弃，采购人对该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无效化处理。</w:t>
      </w:r>
    </w:p>
    <w:p w14:paraId="1DA8409F">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7.信息发布</w:t>
      </w:r>
    </w:p>
    <w:p w14:paraId="282A1FC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本采购邀请在大竹县人民医院官网上以公告形式发布。</w:t>
      </w:r>
    </w:p>
    <w:p w14:paraId="18176B7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14:paraId="57C195B9">
      <w:pPr>
        <w:pStyle w:val="35"/>
        <w:spacing w:line="360" w:lineRule="auto"/>
        <w:ind w:firstLine="560"/>
        <w:jc w:val="center"/>
        <w:rPr>
          <w:rFonts w:ascii="仿宋" w:hAnsi="仿宋" w:eastAsia="仿宋" w:cs="仿宋"/>
          <w:b/>
          <w:sz w:val="28"/>
          <w:szCs w:val="28"/>
          <w:highlight w:val="none"/>
        </w:rPr>
      </w:pPr>
      <w:bookmarkStart w:id="5" w:name="_Toc350864515"/>
      <w:bookmarkStart w:id="6" w:name="_Toc193105918"/>
      <w:bookmarkStart w:id="7" w:name="_Toc193106064"/>
      <w:bookmarkStart w:id="8" w:name="_Toc193106175"/>
      <w:r>
        <w:rPr>
          <w:rFonts w:hint="eastAsia" w:ascii="仿宋" w:hAnsi="仿宋" w:eastAsia="仿宋" w:cs="仿宋"/>
          <w:sz w:val="28"/>
          <w:szCs w:val="28"/>
          <w:highlight w:val="none"/>
        </w:rPr>
        <w:br w:type="page"/>
      </w:r>
      <w:r>
        <w:rPr>
          <w:rFonts w:hint="eastAsia" w:ascii="仿宋" w:hAnsi="仿宋" w:eastAsia="仿宋" w:cs="仿宋"/>
          <w:b/>
          <w:sz w:val="28"/>
          <w:szCs w:val="28"/>
          <w:highlight w:val="none"/>
        </w:rPr>
        <w:t xml:space="preserve">第二章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w:t>
      </w:r>
      <w:bookmarkEnd w:id="5"/>
      <w:bookmarkEnd w:id="6"/>
      <w:bookmarkEnd w:id="7"/>
      <w:bookmarkEnd w:id="8"/>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2D5E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965" w:type="dxa"/>
            <w:noWrap/>
            <w:vAlign w:val="center"/>
          </w:tcPr>
          <w:p w14:paraId="14288E9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4"/>
                <w:szCs w:val="24"/>
                <w:highlight w:val="none"/>
              </w:rPr>
              <w:t>条款号</w:t>
            </w:r>
          </w:p>
        </w:tc>
        <w:tc>
          <w:tcPr>
            <w:tcW w:w="2005" w:type="dxa"/>
            <w:noWrap/>
            <w:vAlign w:val="center"/>
          </w:tcPr>
          <w:p w14:paraId="4E54330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条款名称</w:t>
            </w:r>
          </w:p>
        </w:tc>
        <w:tc>
          <w:tcPr>
            <w:tcW w:w="6364" w:type="dxa"/>
            <w:noWrap/>
            <w:vAlign w:val="center"/>
          </w:tcPr>
          <w:p w14:paraId="2C53B88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内          容</w:t>
            </w:r>
          </w:p>
        </w:tc>
      </w:tr>
      <w:tr w14:paraId="57C6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1384AA2">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005" w:type="dxa"/>
            <w:noWrap/>
            <w:vAlign w:val="center"/>
          </w:tcPr>
          <w:p w14:paraId="78E1C3D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6364" w:type="dxa"/>
            <w:noWrap/>
            <w:vAlign w:val="center"/>
          </w:tcPr>
          <w:p w14:paraId="5F021E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名    称：大竹县人民医院</w:t>
            </w:r>
          </w:p>
          <w:p w14:paraId="5DCD743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地    址：四川省达州市大竹县青年路99号</w:t>
            </w:r>
          </w:p>
          <w:p w14:paraId="32C1DA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 系 人：甘先生</w:t>
            </w:r>
          </w:p>
          <w:p w14:paraId="681D580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联系电话：15883703853</w:t>
            </w:r>
          </w:p>
        </w:tc>
      </w:tr>
      <w:tr w14:paraId="2BB5B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BFC23E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2005" w:type="dxa"/>
            <w:noWrap/>
            <w:vAlign w:val="center"/>
          </w:tcPr>
          <w:p w14:paraId="47836A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采购项目编号</w:t>
            </w:r>
          </w:p>
        </w:tc>
        <w:tc>
          <w:tcPr>
            <w:tcW w:w="6364" w:type="dxa"/>
            <w:noWrap/>
            <w:vAlign w:val="center"/>
          </w:tcPr>
          <w:p w14:paraId="082C18BF">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竹医总采（遴）【202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eastAsia="zh-CN"/>
              </w:rPr>
              <w:t>】</w:t>
            </w:r>
          </w:p>
        </w:tc>
      </w:tr>
      <w:tr w14:paraId="0F25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6A3B71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005" w:type="dxa"/>
            <w:noWrap/>
            <w:vAlign w:val="center"/>
          </w:tcPr>
          <w:p w14:paraId="2B75728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采购项目名称</w:t>
            </w:r>
          </w:p>
        </w:tc>
        <w:tc>
          <w:tcPr>
            <w:tcW w:w="6364" w:type="dxa"/>
            <w:noWrap/>
            <w:vAlign w:val="center"/>
          </w:tcPr>
          <w:p w14:paraId="4837C1E2">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kern w:val="2"/>
                <w:sz w:val="28"/>
                <w:szCs w:val="28"/>
                <w:highlight w:val="none"/>
                <w:lang w:val="en-US" w:eastAsia="zh-CN" w:bidi="ar-SA"/>
              </w:rPr>
              <w:t>大竹县人民医院锐器盒等低值耗材采购项目</w:t>
            </w:r>
          </w:p>
        </w:tc>
      </w:tr>
      <w:tr w14:paraId="23F0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1F02EE9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2005" w:type="dxa"/>
            <w:noWrap/>
            <w:vAlign w:val="center"/>
          </w:tcPr>
          <w:p w14:paraId="7937F53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采购主要内容</w:t>
            </w:r>
          </w:p>
        </w:tc>
        <w:tc>
          <w:tcPr>
            <w:tcW w:w="6364" w:type="dxa"/>
            <w:noWrap/>
            <w:vAlign w:val="center"/>
          </w:tcPr>
          <w:p w14:paraId="744C25B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本次采购的</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 xml:space="preserve">共计 </w:t>
            </w:r>
            <w:r>
              <w:rPr>
                <w:rFonts w:hint="eastAsia" w:ascii="仿宋" w:hAnsi="仿宋" w:eastAsia="仿宋" w:cs="仿宋"/>
                <w:color w:val="FF0000"/>
                <w:sz w:val="28"/>
                <w:szCs w:val="28"/>
                <w:highlight w:val="none"/>
              </w:rPr>
              <w:t xml:space="preserve">1 </w:t>
            </w:r>
            <w:r>
              <w:rPr>
                <w:rFonts w:hint="eastAsia" w:ascii="仿宋" w:hAnsi="仿宋" w:eastAsia="仿宋" w:cs="仿宋"/>
                <w:sz w:val="28"/>
                <w:szCs w:val="28"/>
                <w:highlight w:val="none"/>
              </w:rPr>
              <w:t>包，详细内容等详见本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章 采购项目内容和要求”</w:t>
            </w:r>
          </w:p>
        </w:tc>
      </w:tr>
      <w:tr w14:paraId="7541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6215EF5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2005" w:type="dxa"/>
            <w:noWrap/>
            <w:vAlign w:val="center"/>
          </w:tcPr>
          <w:p w14:paraId="758C9EB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6364" w:type="dxa"/>
            <w:noWrap/>
            <w:vAlign w:val="center"/>
          </w:tcPr>
          <w:p w14:paraId="20F4D723">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采购人院内自主独立采购，从参与我院组织的采购活动的供应商中按符合本文件全部要求的供应商中从优选择成交供应商，非政府采购行为。</w:t>
            </w:r>
          </w:p>
        </w:tc>
      </w:tr>
      <w:tr w14:paraId="2FD7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3C1B335">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2005" w:type="dxa"/>
            <w:noWrap/>
            <w:vAlign w:val="center"/>
          </w:tcPr>
          <w:p w14:paraId="0D1AFF3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项目预算</w:t>
            </w:r>
          </w:p>
          <w:p w14:paraId="1C8F1D2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最高限价</w:t>
            </w:r>
          </w:p>
        </w:tc>
        <w:tc>
          <w:tcPr>
            <w:tcW w:w="6364" w:type="dxa"/>
            <w:noWrap/>
            <w:vAlign w:val="center"/>
          </w:tcPr>
          <w:p w14:paraId="092E00F6">
            <w:pPr>
              <w:keepNext w:val="0"/>
              <w:keepLines w:val="0"/>
              <w:pageBreakBefore w:val="0"/>
              <w:widowControl w:val="0"/>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FF0000"/>
                <w:sz w:val="28"/>
                <w:szCs w:val="28"/>
                <w:highlight w:val="none"/>
              </w:rPr>
              <w:t>项目预算</w:t>
            </w:r>
            <w:r>
              <w:rPr>
                <w:rFonts w:hint="eastAsia" w:ascii="仿宋" w:hAnsi="仿宋" w:eastAsia="仿宋" w:cs="仿宋"/>
                <w:color w:val="FF0000"/>
                <w:sz w:val="28"/>
                <w:szCs w:val="28"/>
                <w:highlight w:val="none"/>
                <w:lang w:val="en-US" w:eastAsia="zh-CN"/>
              </w:rPr>
              <w:t>金额</w:t>
            </w:r>
            <w:r>
              <w:rPr>
                <w:rFonts w:hint="eastAsia" w:ascii="仿宋" w:hAnsi="仿宋" w:eastAsia="仿宋" w:cs="仿宋"/>
                <w:color w:val="FF0000"/>
                <w:sz w:val="28"/>
                <w:szCs w:val="28"/>
                <w:highlight w:val="none"/>
              </w:rPr>
              <w:t>：</w:t>
            </w:r>
            <w:bookmarkStart w:id="9" w:name="OLE_LINK2"/>
            <w:r>
              <w:rPr>
                <w:rFonts w:hint="eastAsia" w:ascii="仿宋_GB2312" w:hAnsi="仿宋_GB2312" w:eastAsia="仿宋_GB2312" w:cs="仿宋_GB2312"/>
                <w:b w:val="0"/>
                <w:bCs w:val="0"/>
                <w:sz w:val="28"/>
                <w:szCs w:val="28"/>
                <w:lang w:val="en-US" w:eastAsia="zh-CN"/>
              </w:rPr>
              <w:t>119391元</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b w:val="0"/>
                <w:bCs w:val="0"/>
                <w:color w:val="000000" w:themeColor="text1"/>
                <w:sz w:val="28"/>
                <w:szCs w:val="28"/>
                <w:highlight w:val="none"/>
                <w:u w:val="none"/>
                <w14:textFill>
                  <w14:solidFill>
                    <w14:schemeClr w14:val="tx1"/>
                  </w14:solidFill>
                </w14:textFill>
              </w:rPr>
              <w:t>人民币</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壹拾壹万玖仟叁佰玖拾壹元整</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r>
              <w:rPr>
                <w:rFonts w:hint="eastAsia" w:ascii="仿宋" w:hAnsi="仿宋" w:eastAsia="仿宋" w:cs="仿宋"/>
                <w:sz w:val="28"/>
                <w:szCs w:val="28"/>
              </w:rPr>
              <w:t>。</w:t>
            </w:r>
            <w:bookmarkEnd w:id="9"/>
            <w:r>
              <w:rPr>
                <w:rFonts w:hint="eastAsia" w:ascii="仿宋" w:hAnsi="仿宋" w:eastAsia="仿宋" w:cs="仿宋"/>
                <w:color w:val="FF0000"/>
                <w:sz w:val="28"/>
                <w:szCs w:val="28"/>
                <w:highlight w:val="none"/>
              </w:rPr>
              <w:t>超过项目预算</w:t>
            </w:r>
            <w:r>
              <w:rPr>
                <w:rFonts w:hint="eastAsia" w:ascii="仿宋" w:hAnsi="仿宋" w:eastAsia="仿宋" w:cs="仿宋"/>
                <w:color w:val="FF0000"/>
                <w:sz w:val="28"/>
                <w:szCs w:val="28"/>
                <w:highlight w:val="none"/>
                <w:lang w:val="en-US" w:eastAsia="zh-CN"/>
              </w:rPr>
              <w:t>金额的报价</w:t>
            </w:r>
            <w:r>
              <w:rPr>
                <w:rFonts w:hint="eastAsia" w:ascii="仿宋" w:hAnsi="仿宋" w:eastAsia="仿宋" w:cs="仿宋"/>
                <w:color w:val="FF0000"/>
                <w:sz w:val="28"/>
                <w:szCs w:val="28"/>
                <w:highlight w:val="none"/>
              </w:rPr>
              <w:t>为无效报价</w:t>
            </w:r>
            <w:r>
              <w:rPr>
                <w:rFonts w:hint="eastAsia" w:ascii="仿宋" w:hAnsi="仿宋" w:eastAsia="仿宋" w:cs="仿宋"/>
                <w:color w:val="FF0000"/>
                <w:sz w:val="28"/>
                <w:szCs w:val="28"/>
                <w:highlight w:val="none"/>
                <w:lang w:eastAsia="zh-CN"/>
              </w:rPr>
              <w:t>。</w:t>
            </w:r>
          </w:p>
        </w:tc>
      </w:tr>
      <w:tr w14:paraId="087B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23B95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2005" w:type="dxa"/>
            <w:noWrap/>
            <w:vAlign w:val="center"/>
          </w:tcPr>
          <w:p w14:paraId="13BA233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低于成本价不正当竞争预防措施</w:t>
            </w:r>
          </w:p>
          <w:p w14:paraId="08ACC3F7">
            <w:pPr>
              <w:pStyle w:val="35"/>
              <w:spacing w:line="360" w:lineRule="auto"/>
              <w:ind w:firstLine="560"/>
              <w:jc w:val="center"/>
              <w:rPr>
                <w:rFonts w:ascii="仿宋" w:hAnsi="仿宋" w:eastAsia="仿宋" w:cs="仿宋"/>
                <w:sz w:val="28"/>
                <w:szCs w:val="28"/>
                <w:highlight w:val="none"/>
              </w:rPr>
            </w:pPr>
          </w:p>
        </w:tc>
        <w:tc>
          <w:tcPr>
            <w:tcW w:w="6364" w:type="dxa"/>
            <w:noWrap/>
            <w:vAlign w:val="center"/>
          </w:tcPr>
          <w:p w14:paraId="119E3DBC">
            <w:pPr>
              <w:pStyle w:val="35"/>
              <w:spacing w:line="360" w:lineRule="auto"/>
              <w:ind w:firstLine="560"/>
              <w:rPr>
                <w:rFonts w:ascii="仿宋" w:hAnsi="仿宋" w:eastAsia="仿宋" w:cs="仿宋"/>
                <w:sz w:val="28"/>
                <w:szCs w:val="28"/>
                <w:highlight w:val="none"/>
                <w:u w:val="singl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highlight w:val="none"/>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ED6CAC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14:paraId="563B3BA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highlight w:val="none"/>
                <w:u w:val="single"/>
              </w:rPr>
              <w:t>供应商拒绝或者变相拒绝提供有效书面说明或者书面说明不能证明其报价合理性的，采购人应当将其</w:t>
            </w:r>
            <w:r>
              <w:rPr>
                <w:rFonts w:hint="eastAsia" w:ascii="仿宋" w:hAnsi="仿宋" w:eastAsia="仿宋" w:cs="仿宋"/>
                <w:sz w:val="28"/>
                <w:szCs w:val="28"/>
                <w:highlight w:val="none"/>
                <w:u w:val="single"/>
                <w:lang w:val="en-US" w:eastAsia="zh-CN"/>
              </w:rPr>
              <w:t>供应商成交资格</w:t>
            </w:r>
            <w:r>
              <w:rPr>
                <w:rFonts w:hint="eastAsia" w:ascii="仿宋" w:hAnsi="仿宋" w:eastAsia="仿宋" w:cs="仿宋"/>
                <w:sz w:val="28"/>
                <w:szCs w:val="28"/>
                <w:highlight w:val="none"/>
                <w:u w:val="single"/>
              </w:rPr>
              <w:t>作为无效处理。</w:t>
            </w:r>
          </w:p>
        </w:tc>
      </w:tr>
      <w:tr w14:paraId="6A9E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79DE8BD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2005" w:type="dxa"/>
            <w:noWrap/>
            <w:vAlign w:val="center"/>
          </w:tcPr>
          <w:p w14:paraId="3512FC5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w:t>
            </w:r>
          </w:p>
        </w:tc>
        <w:tc>
          <w:tcPr>
            <w:tcW w:w="6364" w:type="dxa"/>
            <w:noWrap/>
            <w:vAlign w:val="center"/>
          </w:tcPr>
          <w:p w14:paraId="2045F458">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。如有履约保证金，按成交金额的10%收取，供应商应在签订采购合同前将履约保证金以转账方式缴纳至采购人对公账户，并向采购人出示银行转账回执单。</w:t>
            </w:r>
          </w:p>
        </w:tc>
      </w:tr>
      <w:tr w14:paraId="244D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338BD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2005" w:type="dxa"/>
            <w:noWrap/>
            <w:vAlign w:val="center"/>
          </w:tcPr>
          <w:p w14:paraId="771C2F4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履约保证金的退还</w:t>
            </w:r>
          </w:p>
        </w:tc>
        <w:tc>
          <w:tcPr>
            <w:tcW w:w="6364" w:type="dxa"/>
            <w:noWrap/>
            <w:vAlign w:val="center"/>
          </w:tcPr>
          <w:p w14:paraId="564A0C22">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。如有履约保证金，供应商按本文件要求履约完毕后，无违约行为，项目验收合格后，采购人在收到供应商函件后，将履约保证金60日转账无息退还给供应商。</w:t>
            </w:r>
          </w:p>
        </w:tc>
      </w:tr>
      <w:tr w14:paraId="49BD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F208D3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2005" w:type="dxa"/>
            <w:noWrap/>
            <w:vAlign w:val="center"/>
          </w:tcPr>
          <w:p w14:paraId="7EC10918">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是否接受联合体</w:t>
            </w:r>
            <w:r>
              <w:rPr>
                <w:rFonts w:hint="eastAsia" w:ascii="仿宋" w:hAnsi="仿宋" w:eastAsia="仿宋" w:cs="仿宋"/>
                <w:sz w:val="28"/>
                <w:szCs w:val="28"/>
                <w:highlight w:val="none"/>
                <w:lang w:val="en-US" w:eastAsia="zh-CN"/>
              </w:rPr>
              <w:t>参加采购活动</w:t>
            </w:r>
          </w:p>
        </w:tc>
        <w:tc>
          <w:tcPr>
            <w:tcW w:w="6364" w:type="dxa"/>
            <w:noWrap/>
            <w:vAlign w:val="center"/>
          </w:tcPr>
          <w:p w14:paraId="6D3800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不接受     </w:t>
            </w:r>
          </w:p>
          <w:p w14:paraId="74CC8C7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接受，应满足下列要求：                   </w:t>
            </w:r>
          </w:p>
        </w:tc>
      </w:tr>
      <w:tr w14:paraId="4E81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DE73E4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11</w:t>
            </w:r>
          </w:p>
        </w:tc>
        <w:tc>
          <w:tcPr>
            <w:tcW w:w="2005" w:type="dxa"/>
            <w:noWrap/>
            <w:vAlign w:val="center"/>
          </w:tcPr>
          <w:p w14:paraId="2DAAE44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合同分包</w:t>
            </w:r>
          </w:p>
        </w:tc>
        <w:tc>
          <w:tcPr>
            <w:tcW w:w="6364" w:type="dxa"/>
            <w:noWrap/>
            <w:vAlign w:val="center"/>
          </w:tcPr>
          <w:p w14:paraId="58250EF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□允许  ☑不允许</w:t>
            </w:r>
          </w:p>
        </w:tc>
      </w:tr>
      <w:tr w14:paraId="6A87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33F85C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12</w:t>
            </w:r>
          </w:p>
        </w:tc>
        <w:tc>
          <w:tcPr>
            <w:tcW w:w="2005" w:type="dxa"/>
            <w:noWrap/>
            <w:vAlign w:val="center"/>
          </w:tcPr>
          <w:p w14:paraId="387A4E1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样品测试或</w:t>
            </w:r>
          </w:p>
          <w:p w14:paraId="5820199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现场演示</w:t>
            </w:r>
          </w:p>
        </w:tc>
        <w:tc>
          <w:tcPr>
            <w:tcW w:w="6364" w:type="dxa"/>
            <w:noWrap/>
            <w:vAlign w:val="center"/>
          </w:tcPr>
          <w:p w14:paraId="4589774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zh-CN"/>
              </w:rPr>
              <w:t>有，请供应商</w:t>
            </w:r>
            <w:r>
              <w:rPr>
                <w:rFonts w:hint="eastAsia" w:ascii="仿宋" w:hAnsi="仿宋" w:eastAsia="仿宋" w:cs="仿宋"/>
                <w:sz w:val="28"/>
                <w:szCs w:val="28"/>
                <w:highlight w:val="none"/>
              </w:rPr>
              <w:t>按本文件要求准备，未提供、延迟提供或提供的不符合本文件要求的样品，采购人对该供应商的</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资格作无效处理</w:t>
            </w:r>
            <w:r>
              <w:rPr>
                <w:rFonts w:hint="eastAsia" w:ascii="仿宋" w:hAnsi="仿宋" w:eastAsia="仿宋" w:cs="仿宋"/>
                <w:sz w:val="28"/>
                <w:szCs w:val="28"/>
                <w:highlight w:val="none"/>
                <w:lang w:val="zh-CN"/>
              </w:rPr>
              <w:t>。</w:t>
            </w:r>
          </w:p>
        </w:tc>
      </w:tr>
      <w:tr w14:paraId="4F74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4855C81">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13</w:t>
            </w:r>
          </w:p>
        </w:tc>
        <w:tc>
          <w:tcPr>
            <w:tcW w:w="2005" w:type="dxa"/>
            <w:noWrap/>
            <w:vAlign w:val="center"/>
          </w:tcPr>
          <w:p w14:paraId="6B734DBA">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遴选成交方式</w:t>
            </w:r>
          </w:p>
        </w:tc>
        <w:tc>
          <w:tcPr>
            <w:tcW w:w="6364" w:type="dxa"/>
            <w:noWrap/>
            <w:vAlign w:val="center"/>
          </w:tcPr>
          <w:p w14:paraId="61C379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满足</w:t>
            </w:r>
            <w:r>
              <w:rPr>
                <w:rFonts w:hint="eastAsia" w:ascii="仿宋" w:hAnsi="仿宋" w:eastAsia="仿宋" w:cs="仿宋"/>
                <w:sz w:val="28"/>
                <w:szCs w:val="28"/>
                <w:highlight w:val="none"/>
                <w:lang w:val="en-US" w:eastAsia="zh-CN"/>
              </w:rPr>
              <w:t>本文件对供应商的</w:t>
            </w:r>
            <w:r>
              <w:rPr>
                <w:rFonts w:hint="eastAsia" w:ascii="仿宋" w:hAnsi="仿宋" w:eastAsia="仿宋" w:cs="仿宋"/>
                <w:sz w:val="28"/>
                <w:szCs w:val="28"/>
                <w:highlight w:val="none"/>
              </w:rPr>
              <w:t>全部要求且报价最低</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供应商为</w:t>
            </w:r>
            <w:r>
              <w:rPr>
                <w:rFonts w:hint="eastAsia" w:ascii="仿宋" w:hAnsi="仿宋" w:eastAsia="仿宋" w:cs="仿宋"/>
                <w:sz w:val="28"/>
                <w:szCs w:val="28"/>
                <w:highlight w:val="none"/>
                <w:lang w:val="en-US" w:eastAsia="zh-CN"/>
              </w:rPr>
              <w:t>本项目成交供应商</w:t>
            </w:r>
            <w:r>
              <w:rPr>
                <w:rFonts w:hint="eastAsia" w:ascii="仿宋" w:hAnsi="仿宋" w:eastAsia="仿宋" w:cs="仿宋"/>
                <w:sz w:val="28"/>
                <w:szCs w:val="28"/>
                <w:highlight w:val="none"/>
              </w:rPr>
              <w:t>。</w:t>
            </w:r>
          </w:p>
        </w:tc>
      </w:tr>
      <w:tr w14:paraId="4641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14:paraId="7E0F30A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14</w:t>
            </w:r>
          </w:p>
        </w:tc>
        <w:tc>
          <w:tcPr>
            <w:tcW w:w="2005" w:type="dxa"/>
            <w:noWrap/>
            <w:vAlign w:val="center"/>
          </w:tcPr>
          <w:p w14:paraId="2F98B44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地点</w:t>
            </w:r>
          </w:p>
        </w:tc>
        <w:tc>
          <w:tcPr>
            <w:tcW w:w="6364" w:type="dxa"/>
            <w:noWrap/>
            <w:vAlign w:val="center"/>
          </w:tcPr>
          <w:p w14:paraId="418CEAAD">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大竹县人民医院</w:t>
            </w:r>
          </w:p>
        </w:tc>
      </w:tr>
      <w:tr w14:paraId="1C17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F58F7A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2005" w:type="dxa"/>
            <w:noWrap/>
            <w:vAlign w:val="center"/>
          </w:tcPr>
          <w:p w14:paraId="4037F7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期限</w:t>
            </w:r>
          </w:p>
        </w:tc>
        <w:tc>
          <w:tcPr>
            <w:tcW w:w="6364" w:type="dxa"/>
            <w:noWrap/>
            <w:vAlign w:val="center"/>
          </w:tcPr>
          <w:p w14:paraId="3692DACC">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按本文件要求执行</w:t>
            </w:r>
          </w:p>
        </w:tc>
      </w:tr>
      <w:tr w14:paraId="4648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2" w:hRule="atLeast"/>
          <w:jc w:val="center"/>
        </w:trPr>
        <w:tc>
          <w:tcPr>
            <w:tcW w:w="965" w:type="dxa"/>
            <w:noWrap/>
            <w:vAlign w:val="center"/>
          </w:tcPr>
          <w:p w14:paraId="7585E4A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2005" w:type="dxa"/>
            <w:noWrap/>
            <w:vAlign w:val="center"/>
          </w:tcPr>
          <w:p w14:paraId="2DFD08C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采购文件</w:t>
            </w:r>
          </w:p>
          <w:p w14:paraId="4DD4440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的解释</w:t>
            </w:r>
          </w:p>
        </w:tc>
        <w:tc>
          <w:tcPr>
            <w:tcW w:w="6364" w:type="dxa"/>
            <w:noWrap/>
            <w:vAlign w:val="center"/>
          </w:tcPr>
          <w:p w14:paraId="2CC6F545">
            <w:pPr>
              <w:pStyle w:val="35"/>
              <w:spacing w:line="24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的最终解释权由采购人享有。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中供应商参加本次遴选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活动应当具备的条件和采购项目技术、商务及其他要求等由采购人负责解释。</w:t>
            </w:r>
          </w:p>
        </w:tc>
      </w:tr>
    </w:tbl>
    <w:p w14:paraId="1284721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 适用范围</w:t>
      </w:r>
    </w:p>
    <w:p w14:paraId="741B501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仅适用于本次</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邀请中所叙述的采购项目。</w:t>
      </w:r>
    </w:p>
    <w:p w14:paraId="0DFA5E6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 有关定义</w:t>
      </w:r>
    </w:p>
    <w:p w14:paraId="47D39B6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2.1 “采购人”是</w:t>
      </w:r>
      <w:bookmarkStart w:id="10" w:name="EBcbe43c78da604413a28d81a1df4632e7"/>
      <w:r>
        <w:rPr>
          <w:rFonts w:hint="eastAsia" w:ascii="仿宋" w:hAnsi="仿宋" w:eastAsia="仿宋" w:cs="仿宋"/>
          <w:sz w:val="28"/>
          <w:szCs w:val="28"/>
          <w:highlight w:val="none"/>
        </w:rPr>
        <w:t>指大竹县人民医院</w:t>
      </w:r>
      <w:bookmarkEnd w:id="10"/>
      <w:r>
        <w:rPr>
          <w:rFonts w:hint="eastAsia" w:ascii="仿宋" w:hAnsi="仿宋" w:eastAsia="仿宋" w:cs="仿宋"/>
          <w:sz w:val="28"/>
          <w:szCs w:val="28"/>
          <w:highlight w:val="none"/>
        </w:rPr>
        <w:t>。</w:t>
      </w:r>
    </w:p>
    <w:p w14:paraId="07560AA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2.2 “供应商”系指报名合格，在采购人</w:t>
      </w:r>
      <w:r>
        <w:rPr>
          <w:rFonts w:hint="eastAsia" w:ascii="仿宋" w:hAnsi="仿宋" w:eastAsia="仿宋" w:cs="仿宋"/>
          <w:sz w:val="28"/>
          <w:szCs w:val="28"/>
          <w:highlight w:val="none"/>
          <w:lang w:val="en-US" w:eastAsia="zh-CN"/>
        </w:rPr>
        <w:t>处实地</w:t>
      </w:r>
      <w:r>
        <w:rPr>
          <w:rFonts w:hint="eastAsia" w:ascii="仿宋" w:hAnsi="仿宋" w:eastAsia="仿宋" w:cs="仿宋"/>
          <w:sz w:val="28"/>
          <w:szCs w:val="28"/>
          <w:highlight w:val="none"/>
        </w:rPr>
        <w:t>报名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获取了</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拟参加</w:t>
      </w:r>
      <w:r>
        <w:rPr>
          <w:rFonts w:hint="eastAsia" w:ascii="仿宋" w:hAnsi="仿宋" w:eastAsia="仿宋" w:cs="仿宋"/>
          <w:sz w:val="28"/>
          <w:szCs w:val="28"/>
          <w:highlight w:val="none"/>
          <w:lang w:val="en-US" w:eastAsia="zh-CN"/>
        </w:rPr>
        <w:t>遴选采购活动</w:t>
      </w:r>
      <w:r>
        <w:rPr>
          <w:rFonts w:hint="eastAsia" w:ascii="仿宋" w:hAnsi="仿宋" w:eastAsia="仿宋" w:cs="仿宋"/>
          <w:sz w:val="28"/>
          <w:szCs w:val="28"/>
          <w:highlight w:val="none"/>
        </w:rPr>
        <w:t>和向采购人提供货物及相应服务的供应商。</w:t>
      </w:r>
    </w:p>
    <w:p w14:paraId="685DC087">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 xml:space="preserve"> “响应文件”系指</w:t>
      </w:r>
      <w:r>
        <w:rPr>
          <w:rFonts w:hint="eastAsia" w:ascii="仿宋" w:hAnsi="仿宋" w:eastAsia="仿宋" w:cs="仿宋"/>
          <w:sz w:val="28"/>
          <w:szCs w:val="28"/>
          <w:highlight w:val="none"/>
        </w:rPr>
        <w:t>按本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zh-CN"/>
        </w:rPr>
        <w:t>完成编制后，</w:t>
      </w:r>
      <w:r>
        <w:rPr>
          <w:rFonts w:hint="eastAsia" w:ascii="仿宋" w:hAnsi="仿宋" w:eastAsia="仿宋" w:cs="仿宋"/>
          <w:sz w:val="28"/>
          <w:szCs w:val="28"/>
          <w:highlight w:val="none"/>
        </w:rPr>
        <w:t>在规定的时间合规密封后</w:t>
      </w:r>
      <w:r>
        <w:rPr>
          <w:rFonts w:hint="eastAsia" w:ascii="仿宋" w:hAnsi="仿宋" w:eastAsia="仿宋" w:cs="仿宋"/>
          <w:sz w:val="28"/>
          <w:szCs w:val="28"/>
          <w:highlight w:val="none"/>
          <w:lang w:val="zh-CN"/>
        </w:rPr>
        <w:t>送达开标现场的响应文件。</w:t>
      </w:r>
    </w:p>
    <w:p w14:paraId="3ABBA2A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2.4“报价一览表”</w:t>
      </w:r>
      <w:r>
        <w:rPr>
          <w:rFonts w:hint="eastAsia" w:ascii="仿宋" w:hAnsi="仿宋" w:eastAsia="仿宋" w:cs="仿宋"/>
          <w:sz w:val="28"/>
          <w:szCs w:val="28"/>
          <w:highlight w:val="none"/>
          <w:lang w:val="zh-CN"/>
        </w:rPr>
        <w:t>系指</w:t>
      </w:r>
      <w:r>
        <w:rPr>
          <w:rFonts w:hint="eastAsia" w:ascii="仿宋" w:hAnsi="仿宋" w:eastAsia="仿宋" w:cs="仿宋"/>
          <w:sz w:val="28"/>
          <w:szCs w:val="28"/>
          <w:highlight w:val="none"/>
        </w:rPr>
        <w:t>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要求，在规定的时间内合格供应商在评审现场提交的报价一览表。供应商须报出一次不得更改的价格。</w:t>
      </w:r>
    </w:p>
    <w:p w14:paraId="4FF06C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 有关要求</w:t>
      </w:r>
    </w:p>
    <w:p w14:paraId="5FA0FA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的供应商应仔细阅读</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的所有内容，按照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的要求提供响应文件，并保证所提供的全部资料的真实性和有效性，一经发现有虚假行为的，将取消其参加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或成交资格，</w:t>
      </w:r>
      <w:r>
        <w:rPr>
          <w:rFonts w:hint="eastAsia" w:ascii="仿宋" w:hAnsi="仿宋" w:eastAsia="仿宋" w:cs="仿宋"/>
          <w:sz w:val="28"/>
          <w:szCs w:val="28"/>
          <w:highlight w:val="none"/>
          <w:lang w:val="en-US" w:eastAsia="zh-CN"/>
        </w:rPr>
        <w:t>供应商自行</w:t>
      </w:r>
      <w:r>
        <w:rPr>
          <w:rFonts w:hint="eastAsia" w:ascii="仿宋" w:hAnsi="仿宋" w:eastAsia="仿宋" w:cs="仿宋"/>
          <w:sz w:val="28"/>
          <w:szCs w:val="28"/>
          <w:highlight w:val="none"/>
        </w:rPr>
        <w:t>承担相应的法律责任。</w:t>
      </w:r>
    </w:p>
    <w:p w14:paraId="7A275989">
      <w:pPr>
        <w:pStyle w:val="35"/>
        <w:spacing w:line="360" w:lineRule="auto"/>
        <w:ind w:left="0" w:leftChars="0" w:firstLine="0" w:firstLineChars="0"/>
        <w:jc w:val="both"/>
        <w:rPr>
          <w:rFonts w:ascii="仿宋" w:hAnsi="仿宋" w:eastAsia="仿宋" w:cs="仿宋"/>
          <w:b/>
          <w:sz w:val="28"/>
          <w:szCs w:val="28"/>
          <w:highlight w:val="none"/>
        </w:rPr>
      </w:pPr>
    </w:p>
    <w:p w14:paraId="009F4D84">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第三章 响应文件</w:t>
      </w:r>
    </w:p>
    <w:p w14:paraId="70D81306">
      <w:pPr>
        <w:pStyle w:val="35"/>
        <w:spacing w:line="360" w:lineRule="auto"/>
        <w:ind w:firstLine="560"/>
        <w:jc w:val="center"/>
        <w:rPr>
          <w:rFonts w:ascii="仿宋" w:hAnsi="仿宋" w:eastAsia="仿宋" w:cs="仿宋"/>
          <w:bCs/>
          <w:sz w:val="28"/>
          <w:szCs w:val="28"/>
          <w:highlight w:val="none"/>
        </w:rPr>
      </w:pPr>
    </w:p>
    <w:p w14:paraId="021906B6">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（一）响应文件的编制和签署</w:t>
      </w:r>
    </w:p>
    <w:p w14:paraId="145AFF31">
      <w:pPr>
        <w:adjustRightInd w:val="0"/>
        <w:snapToGri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rPr>
        <w:t>1、参加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的规定和要求编制响应文件。</w:t>
      </w:r>
      <w:r>
        <w:rPr>
          <w:rFonts w:hint="eastAsia" w:ascii="仿宋" w:hAnsi="仿宋" w:eastAsia="仿宋" w:cs="仿宋"/>
          <w:sz w:val="28"/>
          <w:szCs w:val="28"/>
          <w:highlight w:val="none"/>
          <w:lang w:val="zh-CN"/>
        </w:rPr>
        <w:t>供应商编写的响应文件应包括下列部分：</w:t>
      </w:r>
    </w:p>
    <w:p w14:paraId="5352F96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 资格部分</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要求提供的有关资质资格证明文件。</w:t>
      </w:r>
    </w:p>
    <w:p w14:paraId="4729BCEC">
      <w:pPr>
        <w:adjustRightInd w:val="0"/>
        <w:snapToGrid w:val="0"/>
        <w:spacing w:line="360" w:lineRule="auto"/>
        <w:ind w:firstLine="560" w:firstLineChars="200"/>
        <w:rPr>
          <w:rFonts w:ascii="仿宋" w:hAnsi="仿宋" w:eastAsia="仿宋" w:cs="仿宋"/>
          <w:color w:val="FF0000"/>
          <w:sz w:val="28"/>
          <w:szCs w:val="28"/>
          <w:highlight w:val="none"/>
        </w:rPr>
      </w:pPr>
      <w:r>
        <w:rPr>
          <w:rFonts w:hint="eastAsia" w:ascii="仿宋" w:hAnsi="仿宋" w:eastAsia="仿宋" w:cs="仿宋"/>
          <w:sz w:val="28"/>
          <w:szCs w:val="28"/>
          <w:highlight w:val="none"/>
        </w:rPr>
        <w:t>1.2</w:t>
      </w:r>
      <w:r>
        <w:rPr>
          <w:rFonts w:hint="eastAsia" w:ascii="仿宋" w:hAnsi="仿宋" w:eastAsia="仿宋" w:cs="仿宋"/>
          <w:color w:val="FF0000"/>
          <w:sz w:val="28"/>
          <w:szCs w:val="28"/>
          <w:highlight w:val="none"/>
        </w:rPr>
        <w:t>其他</w:t>
      </w:r>
      <w:r>
        <w:rPr>
          <w:rFonts w:hint="eastAsia" w:ascii="仿宋" w:hAnsi="仿宋" w:eastAsia="仿宋" w:cs="仿宋"/>
          <w:color w:val="FF0000"/>
          <w:sz w:val="28"/>
          <w:szCs w:val="28"/>
          <w:highlight w:val="none"/>
          <w:lang w:val="zh-CN"/>
        </w:rPr>
        <w:t>部分：供应商按照遴选文件“</w:t>
      </w:r>
      <w:r>
        <w:rPr>
          <w:rFonts w:hint="eastAsia" w:ascii="仿宋" w:hAnsi="仿宋" w:eastAsia="仿宋" w:cs="仿宋"/>
          <w:color w:val="FF0000"/>
          <w:sz w:val="28"/>
          <w:szCs w:val="28"/>
          <w:highlight w:val="none"/>
          <w:lang w:val="en-US" w:eastAsia="zh-CN"/>
        </w:rPr>
        <w:t>第八章采购项目内容和要求</w:t>
      </w:r>
      <w:r>
        <w:rPr>
          <w:rFonts w:hint="eastAsia" w:ascii="仿宋" w:hAnsi="仿宋" w:eastAsia="仿宋" w:cs="仿宋"/>
          <w:color w:val="FF0000"/>
          <w:sz w:val="28"/>
          <w:szCs w:val="28"/>
          <w:highlight w:val="none"/>
          <w:lang w:val="zh-CN"/>
        </w:rPr>
        <w:t>”</w:t>
      </w:r>
      <w:r>
        <w:rPr>
          <w:rFonts w:hint="eastAsia" w:ascii="仿宋" w:hAnsi="仿宋" w:eastAsia="仿宋" w:cs="仿宋"/>
          <w:color w:val="FF0000"/>
          <w:sz w:val="28"/>
          <w:szCs w:val="28"/>
          <w:highlight w:val="none"/>
          <w:lang w:val="en-US" w:eastAsia="zh-CN"/>
        </w:rPr>
        <w:t>的所有内容</w:t>
      </w:r>
      <w:r>
        <w:rPr>
          <w:rFonts w:hint="eastAsia" w:ascii="仿宋" w:hAnsi="仿宋" w:eastAsia="仿宋" w:cs="仿宋"/>
          <w:color w:val="FF0000"/>
          <w:sz w:val="28"/>
          <w:szCs w:val="28"/>
          <w:highlight w:val="none"/>
          <w:lang w:val="zh-CN"/>
        </w:rPr>
        <w:t>做出技术、</w:t>
      </w:r>
      <w:r>
        <w:rPr>
          <w:rFonts w:hint="eastAsia" w:ascii="仿宋" w:hAnsi="仿宋" w:eastAsia="仿宋" w:cs="仿宋"/>
          <w:color w:val="FF0000"/>
          <w:sz w:val="28"/>
          <w:szCs w:val="28"/>
          <w:highlight w:val="none"/>
        </w:rPr>
        <w:t>服务、商务要求</w:t>
      </w:r>
      <w:r>
        <w:rPr>
          <w:rFonts w:hint="eastAsia" w:ascii="仿宋" w:hAnsi="仿宋" w:eastAsia="仿宋" w:cs="仿宋"/>
          <w:color w:val="FF0000"/>
          <w:sz w:val="28"/>
          <w:szCs w:val="28"/>
          <w:highlight w:val="none"/>
          <w:lang w:val="en-US" w:eastAsia="zh-CN"/>
        </w:rPr>
        <w:t>响应、</w:t>
      </w:r>
      <w:r>
        <w:rPr>
          <w:rFonts w:hint="eastAsia" w:ascii="仿宋" w:hAnsi="仿宋" w:eastAsia="仿宋" w:cs="仿宋"/>
          <w:color w:val="FF0000"/>
          <w:sz w:val="28"/>
          <w:szCs w:val="28"/>
          <w:highlight w:val="none"/>
          <w:lang w:val="zh-CN"/>
        </w:rPr>
        <w:t>应答、</w:t>
      </w:r>
      <w:r>
        <w:rPr>
          <w:rFonts w:hint="eastAsia" w:ascii="仿宋" w:hAnsi="仿宋" w:eastAsia="仿宋" w:cs="仿宋"/>
          <w:color w:val="FF0000"/>
          <w:sz w:val="28"/>
          <w:szCs w:val="28"/>
          <w:highlight w:val="none"/>
        </w:rPr>
        <w:t>承诺等</w:t>
      </w:r>
      <w:r>
        <w:rPr>
          <w:rFonts w:hint="eastAsia" w:ascii="仿宋" w:hAnsi="仿宋" w:eastAsia="仿宋" w:cs="仿宋"/>
          <w:color w:val="FF0000"/>
          <w:sz w:val="28"/>
          <w:szCs w:val="28"/>
          <w:highlight w:val="none"/>
          <w:lang w:val="zh-CN"/>
        </w:rPr>
        <w:t>。</w:t>
      </w:r>
    </w:p>
    <w:p w14:paraId="36E093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响应文件</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用不褪色、不变质的墨水书写或打印，在规定签字处逐一签署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响应文件需要逐页</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响应文件如有修改错漏处，必须由供应商的法定代表人或其授权代表签字或盖供应商公章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未按</w:t>
      </w:r>
      <w:r>
        <w:rPr>
          <w:rFonts w:hint="eastAsia" w:ascii="仿宋" w:hAnsi="仿宋" w:eastAsia="仿宋" w:cs="仿宋"/>
          <w:sz w:val="28"/>
          <w:szCs w:val="28"/>
          <w:highlight w:val="none"/>
          <w:lang w:val="en-US" w:eastAsia="zh-CN"/>
        </w:rPr>
        <w:t>上述</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编制响应文件，或响应文件</w:t>
      </w:r>
      <w:r>
        <w:rPr>
          <w:rFonts w:hint="eastAsia" w:ascii="仿宋" w:hAnsi="仿宋" w:eastAsia="仿宋" w:cs="仿宋"/>
          <w:sz w:val="28"/>
          <w:szCs w:val="28"/>
          <w:highlight w:val="none"/>
        </w:rPr>
        <w:t>字迹潦草、表达不清、非唯一理解的响应文件</w:t>
      </w:r>
      <w:r>
        <w:rPr>
          <w:rFonts w:hint="eastAsia" w:ascii="仿宋" w:hAnsi="仿宋" w:eastAsia="仿宋" w:cs="仿宋"/>
          <w:sz w:val="28"/>
          <w:szCs w:val="28"/>
          <w:highlight w:val="none"/>
          <w:lang w:val="en-US" w:eastAsia="zh-CN"/>
        </w:rPr>
        <w:t>将</w:t>
      </w:r>
      <w:r>
        <w:rPr>
          <w:rFonts w:hint="eastAsia" w:ascii="仿宋" w:hAnsi="仿宋" w:eastAsia="仿宋" w:cs="仿宋"/>
          <w:sz w:val="28"/>
          <w:szCs w:val="28"/>
          <w:highlight w:val="none"/>
        </w:rPr>
        <w:t>被</w:t>
      </w:r>
      <w:r>
        <w:rPr>
          <w:rFonts w:hint="eastAsia" w:ascii="仿宋" w:hAnsi="仿宋" w:eastAsia="仿宋" w:cs="仿宋"/>
          <w:sz w:val="28"/>
          <w:szCs w:val="28"/>
          <w:highlight w:val="none"/>
          <w:lang w:val="en-US" w:eastAsia="zh-CN"/>
        </w:rPr>
        <w:t>无效化处理[</w:t>
      </w:r>
      <w:r>
        <w:rPr>
          <w:rFonts w:hint="eastAsia" w:ascii="仿宋" w:hAnsi="仿宋" w:eastAsia="仿宋" w:cs="仿宋"/>
          <w:sz w:val="28"/>
          <w:szCs w:val="28"/>
          <w:highlight w:val="none"/>
        </w:rPr>
        <w:t>个别地方（不超过2个）</w:t>
      </w:r>
      <w:r>
        <w:rPr>
          <w:rFonts w:hint="eastAsia" w:ascii="仿宋" w:hAnsi="仿宋" w:eastAsia="仿宋" w:cs="仿宋"/>
          <w:sz w:val="28"/>
          <w:szCs w:val="28"/>
          <w:highlight w:val="none"/>
          <w:lang w:val="en-US" w:eastAsia="zh-CN"/>
        </w:rPr>
        <w:t>没有供应商公章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但该页面有供应商</w:t>
      </w:r>
      <w:r>
        <w:rPr>
          <w:rFonts w:hint="eastAsia" w:ascii="仿宋" w:hAnsi="仿宋" w:eastAsia="仿宋" w:cs="仿宋"/>
          <w:sz w:val="28"/>
          <w:szCs w:val="28"/>
          <w:highlight w:val="none"/>
        </w:rPr>
        <w:t>骑缝章</w:t>
      </w:r>
      <w:r>
        <w:rPr>
          <w:rFonts w:hint="eastAsia" w:ascii="仿宋" w:hAnsi="仿宋" w:eastAsia="仿宋" w:cs="仿宋"/>
          <w:sz w:val="28"/>
          <w:szCs w:val="28"/>
          <w:highlight w:val="none"/>
          <w:lang w:val="en-US" w:eastAsia="zh-CN"/>
        </w:rPr>
        <w:t>覆盖的</w:t>
      </w:r>
      <w:r>
        <w:rPr>
          <w:rFonts w:hint="eastAsia" w:ascii="仿宋" w:hAnsi="仿宋" w:eastAsia="仿宋" w:cs="仿宋"/>
          <w:sz w:val="28"/>
          <w:szCs w:val="28"/>
          <w:highlight w:val="none"/>
        </w:rPr>
        <w:t>可以</w:t>
      </w:r>
      <w:r>
        <w:rPr>
          <w:rFonts w:hint="eastAsia" w:ascii="仿宋" w:hAnsi="仿宋" w:eastAsia="仿宋" w:cs="仿宋"/>
          <w:sz w:val="28"/>
          <w:szCs w:val="28"/>
          <w:highlight w:val="none"/>
          <w:lang w:val="en-US" w:eastAsia="zh-CN"/>
        </w:rPr>
        <w:t>视作响应文件有效</w:t>
      </w:r>
      <w:r>
        <w:rPr>
          <w:rFonts w:hint="eastAsia" w:ascii="仿宋" w:hAnsi="仿宋" w:eastAsia="仿宋" w:cs="仿宋"/>
          <w:sz w:val="28"/>
          <w:szCs w:val="28"/>
          <w:highlight w:val="none"/>
        </w:rPr>
        <w:t>（但是骑缝章模糊不清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印章名称无法辨认</w:t>
      </w:r>
      <w:r>
        <w:rPr>
          <w:rFonts w:hint="eastAsia" w:ascii="仿宋" w:hAnsi="仿宋" w:eastAsia="仿宋" w:cs="仿宋"/>
          <w:sz w:val="28"/>
          <w:szCs w:val="28"/>
          <w:highlight w:val="none"/>
          <w:lang w:val="en-US" w:eastAsia="zh-CN"/>
        </w:rPr>
        <w:t>的或该页面即无公章又无骑缝章</w:t>
      </w:r>
      <w:r>
        <w:rPr>
          <w:rFonts w:hint="eastAsia" w:ascii="仿宋" w:hAnsi="仿宋" w:eastAsia="仿宋" w:cs="仿宋"/>
          <w:sz w:val="28"/>
          <w:szCs w:val="28"/>
          <w:highlight w:val="none"/>
        </w:rPr>
        <w:t>的除外）</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4B326A0D">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3、响应文件逐页编目编码并</w:t>
      </w:r>
      <w:r>
        <w:rPr>
          <w:rFonts w:hint="eastAsia" w:ascii="仿宋" w:hAnsi="仿宋" w:eastAsia="仿宋" w:cs="仿宋"/>
          <w:sz w:val="28"/>
          <w:szCs w:val="28"/>
          <w:highlight w:val="none"/>
          <w:bdr w:val="single" w:color="auto" w:sz="4" w:space="0"/>
        </w:rPr>
        <w:t>胶装</w:t>
      </w:r>
      <w:r>
        <w:rPr>
          <w:rFonts w:hint="eastAsia" w:ascii="仿宋" w:hAnsi="仿宋" w:eastAsia="仿宋" w:cs="仿宋"/>
          <w:sz w:val="28"/>
          <w:szCs w:val="28"/>
          <w:highlight w:val="none"/>
        </w:rPr>
        <w:t>成册，每本响应文件装订方式应为左侧装订。</w:t>
      </w:r>
    </w:p>
    <w:p w14:paraId="48A9FE1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3.1、响应文件包括（但不限于）资格性材料部分以下内容：</w:t>
      </w:r>
    </w:p>
    <w:p w14:paraId="596E356A">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第六、七章“</w:t>
      </w:r>
      <w:r>
        <w:rPr>
          <w:rFonts w:hint="eastAsia" w:ascii="仿宋" w:hAnsi="仿宋" w:eastAsia="仿宋" w:cs="仿宋"/>
          <w:sz w:val="28"/>
          <w:szCs w:val="28"/>
          <w:highlight w:val="none"/>
          <w:u w:val="single"/>
        </w:rPr>
        <w:t>供应商应当提供的资格证明材料</w:t>
      </w:r>
      <w:r>
        <w:rPr>
          <w:rFonts w:hint="eastAsia" w:ascii="仿宋" w:hAnsi="仿宋" w:eastAsia="仿宋" w:cs="仿宋"/>
          <w:sz w:val="28"/>
          <w:szCs w:val="28"/>
          <w:highlight w:val="none"/>
        </w:rPr>
        <w:t>”；</w:t>
      </w:r>
    </w:p>
    <w:p w14:paraId="3D4761D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3.2、响应文件包括（但不限于）技术、服务性部分以下内容：</w:t>
      </w:r>
    </w:p>
    <w:p w14:paraId="507939A2">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第九章 响应文件相关文书格式</w:t>
      </w:r>
      <w:r>
        <w:rPr>
          <w:rFonts w:hint="eastAsia" w:ascii="仿宋" w:hAnsi="仿宋" w:eastAsia="仿宋" w:cs="仿宋"/>
          <w:sz w:val="28"/>
          <w:szCs w:val="28"/>
          <w:highlight w:val="none"/>
        </w:rPr>
        <w:t>”的响应文件封面模板和“附件”1-7要求提供的各报价文书，按附件格式编制响应文件，并签字加盖供应商公章。</w:t>
      </w:r>
    </w:p>
    <w:p w14:paraId="36763A92">
      <w:pPr>
        <w:pStyle w:val="7"/>
        <w:spacing w:line="360" w:lineRule="auto"/>
        <w:ind w:firstLine="540"/>
        <w:rPr>
          <w:rFonts w:ascii="仿宋" w:hAnsi="仿宋" w:eastAsia="仿宋" w:cs="仿宋"/>
          <w:sz w:val="28"/>
          <w:szCs w:val="28"/>
          <w:highlight w:val="none"/>
        </w:rPr>
      </w:pPr>
      <w:r>
        <w:rPr>
          <w:rFonts w:hint="eastAsia" w:ascii="仿宋" w:hAnsi="仿宋" w:eastAsia="仿宋" w:cs="仿宋"/>
          <w:sz w:val="28"/>
          <w:szCs w:val="28"/>
          <w:highlight w:val="none"/>
        </w:rPr>
        <w:t>以上要求资料必须据实提供，不得有实质性遗漏，如</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中提供了统一格式，应按格式要求准备文件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否则被视为没有实质性响应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p>
    <w:p w14:paraId="0711D7B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4、响应文件统一用A4幅面纸。</w:t>
      </w:r>
    </w:p>
    <w:p w14:paraId="25EBBAEE">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（二）响应文件的密封及递交</w:t>
      </w:r>
    </w:p>
    <w:p w14:paraId="3358DEC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1、响应文件须密封送达</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规定的遴选采购活动</w:t>
      </w: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响应文件必须用不透明文件袋密封，文件袋密封后封面注明“响应文件”、供应商名称、采购项目编号、采购项目名称等并加盖单位鲜章；文件袋密封以响应文件不外露直视为标准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文件袋的封口处应用纸张妥善密封并加盖单位鲜章，避免文件袋封口可在无明显破坏痕迹的情况取出响应文件并恢复原状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，如未按上述要求密封、未盖章、未签字、或未注明相关信息，该供应商将失去参加采购活动的资格，其责任由该供应商自行负责。</w:t>
      </w:r>
    </w:p>
    <w:p w14:paraId="1FD2BB37">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2、</w:t>
      </w:r>
      <w:r>
        <w:rPr>
          <w:rFonts w:hint="eastAsia" w:ascii="仿宋" w:hAnsi="仿宋" w:eastAsia="仿宋" w:cs="仿宋"/>
          <w:bCs/>
          <w:sz w:val="28"/>
          <w:szCs w:val="28"/>
          <w:highlight w:val="none"/>
          <w:lang w:val="zh-CN"/>
        </w:rPr>
        <w:t>供应商必须在</w:t>
      </w:r>
      <w:r>
        <w:rPr>
          <w:rFonts w:hint="eastAsia" w:ascii="仿宋" w:hAnsi="仿宋" w:eastAsia="仿宋" w:cs="仿宋"/>
          <w:bCs/>
          <w:sz w:val="28"/>
          <w:szCs w:val="28"/>
          <w:highlight w:val="none"/>
        </w:rPr>
        <w:t>开标</w:t>
      </w:r>
      <w:r>
        <w:rPr>
          <w:rFonts w:hint="eastAsia" w:ascii="仿宋" w:hAnsi="仿宋" w:eastAsia="仿宋" w:cs="仿宋"/>
          <w:bCs/>
          <w:sz w:val="28"/>
          <w:szCs w:val="28"/>
          <w:highlight w:val="none"/>
          <w:lang w:val="zh-CN"/>
        </w:rPr>
        <w:t>截止时间前将</w:t>
      </w:r>
      <w:r>
        <w:rPr>
          <w:rFonts w:hint="eastAsia" w:ascii="仿宋" w:hAnsi="仿宋" w:eastAsia="仿宋" w:cs="仿宋"/>
          <w:bCs/>
          <w:sz w:val="28"/>
          <w:szCs w:val="28"/>
          <w:highlight w:val="none"/>
        </w:rPr>
        <w:t>按规定密封的响应文件现场递交至规定的开标地点，</w:t>
      </w:r>
      <w:r>
        <w:rPr>
          <w:rFonts w:hint="eastAsia" w:ascii="仿宋" w:hAnsi="仿宋" w:eastAsia="仿宋" w:cs="仿宋"/>
          <w:bCs/>
          <w:sz w:val="28"/>
          <w:szCs w:val="28"/>
          <w:highlight w:val="none"/>
          <w:lang w:val="zh-CN"/>
        </w:rPr>
        <w:t>逾期送达或者未按照规定送达，视为</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放弃。</w:t>
      </w:r>
    </w:p>
    <w:p w14:paraId="3AF6A8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本次</w:t>
      </w:r>
      <w:r>
        <w:rPr>
          <w:rFonts w:hint="eastAsia" w:ascii="仿宋" w:hAnsi="仿宋" w:eastAsia="仿宋" w:cs="仿宋"/>
          <w:bCs/>
          <w:sz w:val="28"/>
          <w:szCs w:val="28"/>
          <w:highlight w:val="none"/>
        </w:rPr>
        <w:t>采购</w:t>
      </w:r>
      <w:r>
        <w:rPr>
          <w:rFonts w:hint="eastAsia" w:ascii="仿宋" w:hAnsi="仿宋" w:eastAsia="仿宋" w:cs="仿宋"/>
          <w:bCs/>
          <w:sz w:val="28"/>
          <w:szCs w:val="28"/>
          <w:highlight w:val="none"/>
          <w:lang w:val="zh-CN"/>
        </w:rPr>
        <w:t>不接受邮寄的响应文件。</w:t>
      </w:r>
    </w:p>
    <w:p w14:paraId="2397B708">
      <w:pPr>
        <w:spacing w:line="360" w:lineRule="auto"/>
        <w:rPr>
          <w:rFonts w:ascii="仿宋" w:hAnsi="仿宋" w:eastAsia="仿宋" w:cs="仿宋"/>
          <w:sz w:val="28"/>
          <w:szCs w:val="28"/>
          <w:highlight w:val="none"/>
        </w:rPr>
      </w:pPr>
    </w:p>
    <w:p w14:paraId="38AB5D23">
      <w:pPr>
        <w:pStyle w:val="3"/>
        <w:spacing w:line="360" w:lineRule="auto"/>
        <w:ind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程序和成交标准</w:t>
      </w:r>
    </w:p>
    <w:p w14:paraId="73300FC8">
      <w:pPr>
        <w:spacing w:line="360" w:lineRule="auto"/>
        <w:ind w:firstLine="630" w:firstLineChars="224"/>
        <w:rPr>
          <w:rFonts w:ascii="仿宋" w:hAnsi="仿宋" w:eastAsia="仿宋" w:cs="仿宋"/>
          <w:b/>
          <w:bCs/>
          <w:sz w:val="28"/>
          <w:szCs w:val="28"/>
          <w:highlight w:val="none"/>
        </w:rPr>
      </w:pPr>
      <w:r>
        <w:rPr>
          <w:rFonts w:hint="eastAsia" w:ascii="仿宋" w:hAnsi="仿宋" w:eastAsia="仿宋" w:cs="仿宋"/>
          <w:b/>
          <w:bCs/>
          <w:sz w:val="28"/>
          <w:szCs w:val="28"/>
          <w:highlight w:val="none"/>
        </w:rPr>
        <w:t>（一）总流程概要一览</w:t>
      </w:r>
    </w:p>
    <w:p w14:paraId="273692F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1、供应商报名。</w:t>
      </w:r>
    </w:p>
    <w:p w14:paraId="5C4643D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2、开标当日，供应商按时递交响应文件、样品（如有）。</w:t>
      </w:r>
    </w:p>
    <w:p w14:paraId="4BE7205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3、开标合格供应商满足3家及以上，采购人对开标合格的供应商的样品（如有）进行实质性审查。</w:t>
      </w:r>
    </w:p>
    <w:p w14:paraId="38E795F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4、样品合格供应商满足3家及以上，采购人对样品合格的供应商的“响应文件”进行资格、技术、服务、商务要求等进行实质性审查，是否满足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规定要求。</w:t>
      </w:r>
    </w:p>
    <w:p w14:paraId="01F3666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5、“响应文件”实质性响应通过的供应商，且合格供应商满足3家及以上，采购人要求合格的供应商进行现场报价，供应商现场填写“报价一览表”。</w:t>
      </w:r>
    </w:p>
    <w:p w14:paraId="78916A65">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6、采购人根据符合</w:t>
      </w:r>
      <w:r>
        <w:rPr>
          <w:rFonts w:hint="eastAsia" w:ascii="仿宋" w:hAnsi="仿宋" w:eastAsia="仿宋" w:cs="仿宋"/>
          <w:sz w:val="28"/>
          <w:szCs w:val="28"/>
          <w:highlight w:val="none"/>
          <w:lang w:val="en-US" w:eastAsia="zh-CN"/>
        </w:rPr>
        <w:t>本文件</w:t>
      </w:r>
      <w:r>
        <w:rPr>
          <w:rFonts w:hint="eastAsia" w:ascii="仿宋" w:hAnsi="仿宋" w:eastAsia="仿宋" w:cs="仿宋"/>
          <w:sz w:val="28"/>
          <w:szCs w:val="28"/>
          <w:highlight w:val="none"/>
        </w:rPr>
        <w:t>采购需求、质量和服务相等且报价最低的原则，按照供应商的报价由低到高排序</w:t>
      </w:r>
      <w:r>
        <w:rPr>
          <w:rFonts w:hint="eastAsia" w:ascii="仿宋" w:hAnsi="仿宋" w:eastAsia="仿宋" w:cs="仿宋"/>
          <w:sz w:val="28"/>
          <w:szCs w:val="28"/>
          <w:highlight w:val="none"/>
          <w:lang w:val="en-US" w:eastAsia="zh-CN"/>
        </w:rPr>
        <w:t>列出</w:t>
      </w:r>
      <w:r>
        <w:rPr>
          <w:rFonts w:hint="eastAsia" w:ascii="仿宋" w:hAnsi="仿宋" w:eastAsia="仿宋" w:cs="仿宋"/>
          <w:sz w:val="28"/>
          <w:szCs w:val="28"/>
          <w:highlight w:val="none"/>
        </w:rPr>
        <w:t>成交候选供应商名单，并由采购人确定顺序第1名的为成交供应商。</w:t>
      </w:r>
    </w:p>
    <w:p w14:paraId="0A115F7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7、供应商质量和服务相等且报价相同的，以抽签方式确定成交候选供应商顺序。</w:t>
      </w:r>
    </w:p>
    <w:p w14:paraId="548A0DA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8、评审结果在</w:t>
      </w:r>
      <w:r>
        <w:rPr>
          <w:rFonts w:hint="eastAsia" w:ascii="仿宋" w:hAnsi="仿宋" w:eastAsia="仿宋" w:cs="仿宋"/>
          <w:color w:val="000000"/>
          <w:spacing w:val="-2"/>
          <w:sz w:val="28"/>
          <w:szCs w:val="28"/>
          <w:highlight w:val="none"/>
        </w:rPr>
        <w:t>大竹县人民医院官网上</w:t>
      </w:r>
      <w:r>
        <w:rPr>
          <w:rFonts w:hint="eastAsia" w:ascii="仿宋" w:hAnsi="仿宋" w:eastAsia="仿宋" w:cs="仿宋"/>
          <w:sz w:val="28"/>
          <w:szCs w:val="28"/>
          <w:highlight w:val="none"/>
        </w:rPr>
        <w:t>公</w:t>
      </w:r>
      <w:r>
        <w:rPr>
          <w:rFonts w:hint="eastAsia" w:ascii="仿宋" w:hAnsi="仿宋" w:eastAsia="仿宋" w:cs="仿宋"/>
          <w:color w:val="000000"/>
          <w:sz w:val="28"/>
          <w:szCs w:val="28"/>
          <w:highlight w:val="none"/>
        </w:rPr>
        <w:t>示</w:t>
      </w:r>
      <w:r>
        <w:rPr>
          <w:rFonts w:hint="eastAsia" w:ascii="仿宋" w:hAnsi="仿宋" w:eastAsia="仿宋" w:cs="仿宋"/>
          <w:sz w:val="28"/>
          <w:szCs w:val="28"/>
          <w:highlight w:val="none"/>
        </w:rPr>
        <w:t>，供应商对评审结果有异议的，可提出书面质疑。</w:t>
      </w:r>
    </w:p>
    <w:p w14:paraId="79D36D0D">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9、成交供应商接到采购人</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通知后，20日内来院签订合同，逾期未到者，按弃权处理。</w:t>
      </w:r>
    </w:p>
    <w:p w14:paraId="766A039D">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（二）开标细则</w:t>
      </w:r>
    </w:p>
    <w:p w14:paraId="04B2D58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1、开标在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规定的时间和地点进行，采购人、供应商须派代表参加并签到以证明其出席。开标由采购人主持、供应商代表参加。</w:t>
      </w:r>
    </w:p>
    <w:p w14:paraId="1CDC355D">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val="zh-CN"/>
        </w:rPr>
        <w:t>开标时，</w:t>
      </w:r>
      <w:r>
        <w:rPr>
          <w:rFonts w:hint="eastAsia" w:ascii="仿宋" w:hAnsi="仿宋" w:eastAsia="仿宋" w:cs="仿宋"/>
          <w:bCs/>
          <w:sz w:val="28"/>
          <w:szCs w:val="28"/>
          <w:highlight w:val="none"/>
        </w:rPr>
        <w:t>可能</w:t>
      </w:r>
      <w:r>
        <w:rPr>
          <w:rFonts w:hint="eastAsia" w:ascii="仿宋" w:hAnsi="仿宋" w:eastAsia="仿宋" w:cs="仿宋"/>
          <w:bCs/>
          <w:sz w:val="28"/>
          <w:szCs w:val="28"/>
          <w:highlight w:val="none"/>
          <w:lang w:val="zh-CN"/>
        </w:rPr>
        <w:t>根据具体情况邀请有关监督管理部门对开标活动进行现场监督。</w:t>
      </w:r>
    </w:p>
    <w:p w14:paraId="009AE06A">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开标会主持人按照遴选文件规定的开标时间宣布开标，开标将按以下程序进行：</w:t>
      </w:r>
    </w:p>
    <w:p w14:paraId="05DFF9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3.1</w:t>
      </w:r>
      <w:r>
        <w:rPr>
          <w:rFonts w:hint="eastAsia" w:ascii="仿宋" w:hAnsi="仿宋" w:eastAsia="仿宋" w:cs="仿宋"/>
          <w:bCs/>
          <w:sz w:val="28"/>
          <w:szCs w:val="28"/>
          <w:highlight w:val="none"/>
          <w:lang w:val="zh-CN"/>
        </w:rPr>
        <w:t>宣布开标会开始。主持人当众宣布参加开标会</w:t>
      </w:r>
      <w:r>
        <w:rPr>
          <w:rFonts w:hint="eastAsia" w:ascii="仿宋" w:hAnsi="仿宋" w:eastAsia="仿宋" w:cs="仿宋"/>
          <w:bCs/>
          <w:sz w:val="28"/>
          <w:szCs w:val="28"/>
          <w:highlight w:val="none"/>
        </w:rPr>
        <w:t>的工作人员</w:t>
      </w:r>
      <w:r>
        <w:rPr>
          <w:rFonts w:hint="eastAsia" w:ascii="仿宋" w:hAnsi="仿宋" w:eastAsia="仿宋" w:cs="仿宋"/>
          <w:bCs/>
          <w:sz w:val="28"/>
          <w:szCs w:val="28"/>
          <w:highlight w:val="none"/>
          <w:lang w:val="zh-CN"/>
        </w:rPr>
        <w:t>、现场监督人员，根据“供应商</w:t>
      </w:r>
      <w:r>
        <w:rPr>
          <w:rFonts w:hint="eastAsia" w:ascii="仿宋" w:hAnsi="仿宋" w:eastAsia="仿宋" w:cs="仿宋"/>
          <w:bCs/>
          <w:sz w:val="28"/>
          <w:szCs w:val="28"/>
          <w:highlight w:val="none"/>
        </w:rPr>
        <w:t>报名表</w:t>
      </w:r>
      <w:r>
        <w:rPr>
          <w:rFonts w:hint="eastAsia" w:ascii="仿宋" w:hAnsi="仿宋" w:eastAsia="仿宋" w:cs="仿宋"/>
          <w:bCs/>
          <w:sz w:val="28"/>
          <w:szCs w:val="28"/>
          <w:highlight w:val="none"/>
          <w:lang w:val="zh-CN"/>
        </w:rPr>
        <w:t>”和</w:t>
      </w:r>
      <w:r>
        <w:rPr>
          <w:rFonts w:hint="eastAsia" w:ascii="仿宋" w:hAnsi="仿宋" w:eastAsia="仿宋" w:cs="仿宋"/>
          <w:bCs/>
          <w:sz w:val="28"/>
          <w:szCs w:val="28"/>
          <w:highlight w:val="none"/>
        </w:rPr>
        <w:t>供应商签到情况，宣读参加</w:t>
      </w:r>
      <w:r>
        <w:rPr>
          <w:rFonts w:hint="eastAsia" w:ascii="仿宋" w:hAnsi="仿宋" w:eastAsia="仿宋" w:cs="仿宋"/>
          <w:bCs/>
          <w:sz w:val="28"/>
          <w:szCs w:val="28"/>
          <w:highlight w:val="none"/>
          <w:lang w:val="zh-CN"/>
        </w:rPr>
        <w:t>遴选采购活动的供应商名单。宣布会场纪律和有关注意事项。</w:t>
      </w:r>
    </w:p>
    <w:p w14:paraId="5000FE9F">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3.2</w:t>
      </w:r>
      <w:r>
        <w:rPr>
          <w:rFonts w:hint="eastAsia" w:ascii="仿宋" w:hAnsi="仿宋" w:eastAsia="仿宋" w:cs="仿宋"/>
          <w:bCs/>
          <w:sz w:val="28"/>
          <w:szCs w:val="28"/>
          <w:highlight w:val="none"/>
          <w:lang w:val="zh-CN"/>
        </w:rPr>
        <w:t>开标时，由供应商对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情况进行</w:t>
      </w:r>
      <w:r>
        <w:rPr>
          <w:rFonts w:hint="eastAsia" w:ascii="仿宋" w:hAnsi="仿宋" w:eastAsia="仿宋" w:cs="仿宋"/>
          <w:bCs/>
          <w:sz w:val="28"/>
          <w:szCs w:val="28"/>
          <w:highlight w:val="none"/>
        </w:rPr>
        <w:t>互相</w:t>
      </w:r>
      <w:r>
        <w:rPr>
          <w:rFonts w:hint="eastAsia" w:ascii="仿宋" w:hAnsi="仿宋" w:eastAsia="仿宋" w:cs="仿宋"/>
          <w:bCs/>
          <w:sz w:val="28"/>
          <w:szCs w:val="28"/>
          <w:highlight w:val="none"/>
          <w:lang w:val="zh-CN"/>
        </w:rPr>
        <w:t>检查，经</w:t>
      </w:r>
      <w:r>
        <w:rPr>
          <w:rFonts w:hint="eastAsia" w:ascii="仿宋" w:hAnsi="仿宋" w:eastAsia="仿宋" w:cs="仿宋"/>
          <w:bCs/>
          <w:sz w:val="28"/>
          <w:szCs w:val="28"/>
          <w:highlight w:val="none"/>
        </w:rPr>
        <w:t>签字</w:t>
      </w:r>
      <w:r>
        <w:rPr>
          <w:rFonts w:hint="eastAsia" w:ascii="仿宋" w:hAnsi="仿宋" w:eastAsia="仿宋" w:cs="仿宋"/>
          <w:bCs/>
          <w:sz w:val="28"/>
          <w:szCs w:val="28"/>
          <w:highlight w:val="none"/>
          <w:lang w:val="zh-CN"/>
        </w:rPr>
        <w:t>确认后当众宣布。</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none"/>
        </w:rPr>
        <w:t>人员</w:t>
      </w:r>
      <w:r>
        <w:rPr>
          <w:rFonts w:hint="eastAsia" w:ascii="仿宋" w:hAnsi="仿宋" w:eastAsia="仿宋" w:cs="仿宋"/>
          <w:bCs/>
          <w:sz w:val="28"/>
          <w:szCs w:val="28"/>
          <w:highlight w:val="none"/>
          <w:lang w:val="zh-CN"/>
        </w:rPr>
        <w:t>予以认定处理，但不得影响开标工作的正常进行。</w:t>
      </w:r>
    </w:p>
    <w:p w14:paraId="14294851">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3.3供应商对样品（如有）提供情况互相检查，对样品提供</w:t>
      </w:r>
      <w:r>
        <w:rPr>
          <w:rFonts w:hint="eastAsia" w:ascii="仿宋" w:hAnsi="仿宋" w:eastAsia="仿宋" w:cs="仿宋"/>
          <w:bCs/>
          <w:sz w:val="28"/>
          <w:szCs w:val="28"/>
          <w:highlight w:val="none"/>
          <w:lang w:val="zh-CN"/>
        </w:rPr>
        <w:t>情况有异议的，可以当场向开标主持人或者现场监督人员反映。</w:t>
      </w:r>
    </w:p>
    <w:p w14:paraId="2BFE77DF">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3.4</w:t>
      </w:r>
      <w:r>
        <w:rPr>
          <w:rFonts w:hint="eastAsia" w:ascii="仿宋" w:hAnsi="仿宋" w:eastAsia="仿宋" w:cs="仿宋"/>
          <w:bCs/>
          <w:sz w:val="28"/>
          <w:szCs w:val="28"/>
          <w:highlight w:val="none"/>
        </w:rPr>
        <w:t>主持人宣布参加本次</w:t>
      </w:r>
      <w:r>
        <w:rPr>
          <w:rFonts w:hint="eastAsia" w:ascii="仿宋" w:hAnsi="仿宋" w:eastAsia="仿宋" w:cs="仿宋"/>
          <w:bCs/>
          <w:sz w:val="28"/>
          <w:szCs w:val="28"/>
          <w:highlight w:val="none"/>
          <w:lang w:eastAsia="zh-CN"/>
        </w:rPr>
        <w:t>遴选</w:t>
      </w:r>
      <w:r>
        <w:rPr>
          <w:rFonts w:hint="eastAsia" w:ascii="仿宋" w:hAnsi="仿宋" w:eastAsia="仿宋" w:cs="仿宋"/>
          <w:bCs/>
          <w:sz w:val="28"/>
          <w:szCs w:val="28"/>
          <w:highlight w:val="none"/>
          <w:lang w:val="en-US" w:eastAsia="zh-CN"/>
        </w:rPr>
        <w:t>采购活动</w:t>
      </w:r>
      <w:r>
        <w:rPr>
          <w:rFonts w:hint="eastAsia" w:ascii="仿宋" w:hAnsi="仿宋" w:eastAsia="仿宋" w:cs="仿宋"/>
          <w:bCs/>
          <w:sz w:val="28"/>
          <w:szCs w:val="28"/>
          <w:highlight w:val="none"/>
        </w:rPr>
        <w:t>的有效供应商名单，工作人员做开标记录</w:t>
      </w:r>
      <w:r>
        <w:rPr>
          <w:rFonts w:hint="eastAsia" w:ascii="仿宋" w:hAnsi="仿宋" w:eastAsia="仿宋" w:cs="仿宋"/>
          <w:sz w:val="28"/>
          <w:szCs w:val="28"/>
          <w:highlight w:val="none"/>
        </w:rPr>
        <w:t>。</w:t>
      </w:r>
    </w:p>
    <w:p w14:paraId="22BA6935">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3.5主持人宣布开标会结束后，所有供应商代表应立即退场，在指定的区域等候</w:t>
      </w:r>
      <w:r>
        <w:rPr>
          <w:rFonts w:hint="eastAsia" w:ascii="仿宋" w:hAnsi="仿宋" w:eastAsia="仿宋" w:cs="仿宋"/>
          <w:bCs/>
          <w:spacing w:val="8"/>
          <w:sz w:val="28"/>
          <w:szCs w:val="28"/>
          <w:highlight w:val="none"/>
        </w:rPr>
        <w:t>；响应文件、样品交由</w:t>
      </w:r>
      <w:r>
        <w:rPr>
          <w:rFonts w:hint="eastAsia" w:ascii="仿宋" w:hAnsi="仿宋" w:eastAsia="仿宋" w:cs="仿宋"/>
          <w:bCs/>
          <w:sz w:val="28"/>
          <w:szCs w:val="28"/>
          <w:highlight w:val="none"/>
          <w:lang w:val="zh-CN"/>
        </w:rPr>
        <w:t>评审委员会</w:t>
      </w:r>
      <w:r>
        <w:rPr>
          <w:rFonts w:hint="eastAsia" w:ascii="仿宋" w:hAnsi="仿宋" w:eastAsia="仿宋" w:cs="仿宋"/>
          <w:bCs/>
          <w:spacing w:val="8"/>
          <w:sz w:val="28"/>
          <w:szCs w:val="28"/>
          <w:highlight w:val="none"/>
        </w:rPr>
        <w:t>独立评审，进入评审阶段。</w:t>
      </w:r>
    </w:p>
    <w:p w14:paraId="7DCC0DC1">
      <w:pPr>
        <w:numPr>
          <w:ilvl w:val="0"/>
          <w:numId w:val="4"/>
        </w:num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实物样品/现场演示（如有）</w:t>
      </w:r>
    </w:p>
    <w:p w14:paraId="62FC0E37">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样品/现场演示的顺序以现场抽签或其他公平的方式确定。</w:t>
      </w:r>
    </w:p>
    <w:p w14:paraId="24A816F0">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评审委员会对开标通过的供应商的实物样品/现场演示对照</w:t>
      </w:r>
      <w:r>
        <w:rPr>
          <w:rFonts w:hint="eastAsia" w:ascii="仿宋" w:hAnsi="仿宋" w:eastAsia="仿宋" w:cs="仿宋"/>
          <w:bCs/>
          <w:sz w:val="28"/>
          <w:szCs w:val="28"/>
          <w:highlight w:val="none"/>
          <w:lang w:val="en-US" w:eastAsia="zh-CN"/>
        </w:rPr>
        <w:t>本文件</w:t>
      </w:r>
      <w:r>
        <w:rPr>
          <w:rFonts w:hint="eastAsia" w:ascii="仿宋" w:hAnsi="仿宋" w:eastAsia="仿宋" w:cs="仿宋"/>
          <w:bCs/>
          <w:sz w:val="28"/>
          <w:szCs w:val="28"/>
          <w:highlight w:val="none"/>
        </w:rPr>
        <w:t>要求进行评定。</w:t>
      </w:r>
    </w:p>
    <w:p w14:paraId="341A363B">
      <w:pPr>
        <w:numPr>
          <w:ilvl w:val="0"/>
          <w:numId w:val="4"/>
        </w:num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响应文件实质性审查</w:t>
      </w:r>
    </w:p>
    <w:p w14:paraId="5DE47A51">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保留样品测试合格的供应商响应文件，满足3家及以上合格供应商的情况下，评审人员解封后进行书面审查。</w:t>
      </w:r>
    </w:p>
    <w:p w14:paraId="5FD2EE97">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评审委员会应依据法律法规和本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的规定，对响应文件是否按照规定要求提供资格性证明材料、是否属于禁止参加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的供应商等进行审查，以确定供应商是否具备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资格。没有通过资格审查的供应商，评审委员会应当向供应商说明原因。</w:t>
      </w:r>
    </w:p>
    <w:p w14:paraId="5B2C75F4">
      <w:pPr>
        <w:adjustRightInd w:val="0"/>
        <w:snapToGrid w:val="0"/>
        <w:spacing w:line="360" w:lineRule="auto"/>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3、供应商资格审查结束后，评审委员会按照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的规定对供应商的响应文件进行书面审查。供应商响应文件未实质性响应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的，评审委员会应当对</w:t>
      </w:r>
      <w:r>
        <w:rPr>
          <w:rFonts w:hint="eastAsia" w:ascii="仿宋" w:hAnsi="仿宋" w:eastAsia="仿宋" w:cs="仿宋"/>
          <w:sz w:val="28"/>
          <w:szCs w:val="28"/>
          <w:highlight w:val="none"/>
          <w:lang w:val="en-US" w:eastAsia="zh-CN"/>
        </w:rPr>
        <w:t>该供应商成交资格</w:t>
      </w:r>
      <w:r>
        <w:rPr>
          <w:rFonts w:hint="eastAsia" w:ascii="仿宋" w:hAnsi="仿宋" w:eastAsia="仿宋" w:cs="仿宋"/>
          <w:sz w:val="28"/>
          <w:szCs w:val="28"/>
          <w:highlight w:val="none"/>
        </w:rPr>
        <w:t>按无效处理，并告知供应商，说明理由。</w:t>
      </w:r>
    </w:p>
    <w:p w14:paraId="3FB1356B">
      <w:pPr>
        <w:pStyle w:val="22"/>
        <w:spacing w:line="360" w:lineRule="auto"/>
        <w:rPr>
          <w:rFonts w:ascii="仿宋" w:hAnsi="仿宋" w:eastAsia="仿宋" w:cs="仿宋"/>
          <w:bCs/>
          <w:sz w:val="28"/>
          <w:highlight w:val="none"/>
        </w:rPr>
      </w:pPr>
      <w:r>
        <w:rPr>
          <w:rFonts w:hint="eastAsia" w:ascii="仿宋" w:hAnsi="仿宋" w:eastAsia="仿宋" w:cs="仿宋"/>
          <w:bCs/>
          <w:sz w:val="28"/>
          <w:highlight w:val="none"/>
        </w:rPr>
        <w:t>（五）一次性报价</w:t>
      </w:r>
    </w:p>
    <w:p w14:paraId="74DB47D5">
      <w:pPr>
        <w:pStyle w:val="35"/>
        <w:spacing w:line="360" w:lineRule="auto"/>
        <w:ind w:firstLine="560"/>
        <w:rPr>
          <w:rFonts w:ascii="仿宋" w:hAnsi="仿宋" w:eastAsia="仿宋" w:cs="仿宋"/>
          <w:sz w:val="28"/>
          <w:szCs w:val="28"/>
          <w:highlight w:val="none"/>
        </w:rPr>
      </w:pPr>
      <w:r>
        <w:rPr>
          <w:rFonts w:hint="eastAsia" w:ascii="仿宋" w:hAnsi="仿宋" w:eastAsia="仿宋" w:cs="仿宋"/>
          <w:bCs/>
          <w:sz w:val="28"/>
          <w:szCs w:val="28"/>
          <w:highlight w:val="none"/>
        </w:rPr>
        <w:t>1、评审委员会响应文件审查结束后，</w:t>
      </w:r>
      <w:r>
        <w:rPr>
          <w:rFonts w:hint="eastAsia" w:ascii="仿宋" w:hAnsi="仿宋" w:eastAsia="仿宋" w:cs="仿宋"/>
          <w:sz w:val="28"/>
          <w:szCs w:val="28"/>
          <w:highlight w:val="none"/>
        </w:rPr>
        <w:t>“响应文件”实质性响应通过的供应商，且合格供应商满足3家及以上时，采购人要求合格的供应商进行现场报价，“报价一览表”为响应文件审核合格后，由合格供应商现场提交，否则无效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“报价一览表”不得密封至响应文件内，否则对该供应商成交资格按无效处理</w:t>
      </w:r>
      <w:r>
        <w:rPr>
          <w:rFonts w:hint="eastAsia" w:ascii="仿宋" w:hAnsi="仿宋" w:eastAsia="仿宋" w:cs="仿宋"/>
          <w:sz w:val="28"/>
          <w:szCs w:val="28"/>
          <w:highlight w:val="none"/>
          <w:lang w:eastAsia="zh-CN"/>
        </w:rPr>
        <w:t>。</w:t>
      </w:r>
    </w:p>
    <w:p w14:paraId="5B2D4C06">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2、所有实质性响应的供应商按照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的规定一次报出不得更改的价格。供应商的“报价一览表”是供应商响应</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rPr>
        <w:t>项目要求的全部工作内容的价格体现，包括供应商完成本项目所需的一切费用。</w:t>
      </w:r>
    </w:p>
    <w:p w14:paraId="768909BF">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14:paraId="1939E31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14:paraId="0528ACC8">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5、供应商在报价过程中，不得串通。发现供应商存在串通的，评审委员会应当将</w:t>
      </w:r>
      <w:r>
        <w:rPr>
          <w:rFonts w:hint="eastAsia" w:ascii="仿宋" w:hAnsi="仿宋" w:eastAsia="仿宋" w:cs="仿宋"/>
          <w:sz w:val="28"/>
          <w:szCs w:val="28"/>
          <w:highlight w:val="none"/>
          <w:lang w:val="en-US" w:eastAsia="zh-CN"/>
        </w:rPr>
        <w:t>实施串通行为的所有供应商的成交资格</w:t>
      </w:r>
      <w:r>
        <w:rPr>
          <w:rFonts w:hint="eastAsia" w:ascii="仿宋" w:hAnsi="仿宋" w:eastAsia="仿宋" w:cs="仿宋"/>
          <w:sz w:val="28"/>
          <w:szCs w:val="28"/>
          <w:highlight w:val="none"/>
        </w:rPr>
        <w:t>作无效处理，并在评审报告中注明。</w:t>
      </w:r>
    </w:p>
    <w:p w14:paraId="61B7BDA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6、低于成本价不正当竞争预防措施（详见“第二章</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须知”低于成本价不正当竞争预防措施）。</w:t>
      </w:r>
    </w:p>
    <w:p w14:paraId="5A5FB176">
      <w:pPr>
        <w:spacing w:line="360" w:lineRule="auto"/>
        <w:ind w:firstLine="562" w:firstLineChars="200"/>
        <w:rPr>
          <w:rFonts w:ascii="仿宋" w:hAnsi="仿宋" w:eastAsia="仿宋" w:cs="仿宋"/>
          <w:b/>
          <w:bCs/>
          <w:sz w:val="28"/>
          <w:szCs w:val="28"/>
          <w:highlight w:val="none"/>
        </w:rPr>
      </w:pPr>
      <w:bookmarkStart w:id="11" w:name="_Toc350864516"/>
      <w:r>
        <w:rPr>
          <w:rFonts w:hint="eastAsia" w:ascii="仿宋" w:hAnsi="仿宋" w:eastAsia="仿宋" w:cs="仿宋"/>
          <w:b/>
          <w:bCs/>
          <w:sz w:val="28"/>
          <w:szCs w:val="28"/>
          <w:highlight w:val="none"/>
        </w:rPr>
        <w:t>（六）确定成交供应商</w:t>
      </w:r>
    </w:p>
    <w:p w14:paraId="6EB78CA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1、本项目</w:t>
      </w:r>
      <w:r>
        <w:rPr>
          <w:rFonts w:hint="eastAsia" w:ascii="仿宋" w:hAnsi="仿宋" w:eastAsia="仿宋" w:cs="仿宋"/>
          <w:sz w:val="28"/>
          <w:szCs w:val="28"/>
          <w:highlight w:val="none"/>
          <w:lang w:val="en-US" w:eastAsia="zh-CN"/>
        </w:rPr>
        <w:t>遴选成交方式</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最低评标价法确定成交供应商，</w:t>
      </w:r>
      <w:r>
        <w:rPr>
          <w:rFonts w:hint="eastAsia" w:ascii="仿宋" w:hAnsi="仿宋" w:eastAsia="仿宋" w:cs="仿宋"/>
          <w:sz w:val="28"/>
          <w:szCs w:val="28"/>
          <w:highlight w:val="none"/>
          <w:u w:val="single"/>
        </w:rPr>
        <w:t>即在</w:t>
      </w:r>
      <w:r>
        <w:rPr>
          <w:rFonts w:hint="eastAsia" w:ascii="仿宋" w:hAnsi="仿宋" w:eastAsia="仿宋" w:cs="仿宋"/>
          <w:sz w:val="28"/>
          <w:szCs w:val="28"/>
          <w:highlight w:val="none"/>
          <w:u w:val="single"/>
          <w:lang w:val="en-US" w:eastAsia="zh-CN"/>
        </w:rPr>
        <w:t>供应商</w:t>
      </w:r>
      <w:r>
        <w:rPr>
          <w:rFonts w:hint="eastAsia" w:ascii="仿宋" w:hAnsi="仿宋" w:eastAsia="仿宋" w:cs="仿宋"/>
          <w:sz w:val="28"/>
          <w:szCs w:val="28"/>
          <w:highlight w:val="none"/>
          <w:u w:val="single"/>
        </w:rPr>
        <w:t>符合</w:t>
      </w:r>
      <w:r>
        <w:rPr>
          <w:rFonts w:hint="eastAsia" w:ascii="仿宋" w:hAnsi="仿宋" w:eastAsia="仿宋" w:cs="仿宋"/>
          <w:sz w:val="28"/>
          <w:szCs w:val="28"/>
          <w:highlight w:val="none"/>
          <w:u w:val="single"/>
          <w:lang w:val="en-US" w:eastAsia="zh-CN"/>
        </w:rPr>
        <w:t>本项目文件规定的所有</w:t>
      </w:r>
      <w:r>
        <w:rPr>
          <w:rFonts w:hint="eastAsia" w:ascii="仿宋" w:hAnsi="仿宋" w:eastAsia="仿宋" w:cs="仿宋"/>
          <w:bCs/>
          <w:sz w:val="28"/>
          <w:szCs w:val="28"/>
          <w:highlight w:val="none"/>
          <w:u w:val="single"/>
        </w:rPr>
        <w:t>要求</w:t>
      </w:r>
      <w:r>
        <w:rPr>
          <w:rFonts w:hint="eastAsia" w:ascii="仿宋" w:hAnsi="仿宋" w:eastAsia="仿宋" w:cs="仿宋"/>
          <w:sz w:val="28"/>
          <w:szCs w:val="28"/>
          <w:highlight w:val="none"/>
          <w:u w:val="single"/>
        </w:rPr>
        <w:t>前提下，以提出最低报价的供应商作为成交供应商</w:t>
      </w:r>
      <w:r>
        <w:rPr>
          <w:rFonts w:hint="eastAsia" w:ascii="仿宋" w:hAnsi="仿宋" w:eastAsia="仿宋" w:cs="仿宋"/>
          <w:sz w:val="28"/>
          <w:szCs w:val="28"/>
          <w:highlight w:val="none"/>
        </w:rPr>
        <w:t>。</w:t>
      </w:r>
      <w:bookmarkEnd w:id="11"/>
    </w:p>
    <w:p w14:paraId="5F2A2CB2">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2、评审委员会从质量和服务均能满足</w:t>
      </w:r>
      <w:r>
        <w:rPr>
          <w:rFonts w:hint="eastAsia" w:ascii="仿宋" w:hAnsi="仿宋" w:eastAsia="仿宋" w:cs="仿宋"/>
          <w:bCs/>
          <w:sz w:val="28"/>
          <w:szCs w:val="28"/>
          <w:highlight w:val="none"/>
          <w:lang w:val="en-US" w:eastAsia="zh-CN"/>
        </w:rPr>
        <w:t>遴选</w:t>
      </w:r>
      <w:r>
        <w:rPr>
          <w:rFonts w:hint="eastAsia" w:ascii="仿宋" w:hAnsi="仿宋" w:eastAsia="仿宋" w:cs="仿宋"/>
          <w:bCs/>
          <w:sz w:val="28"/>
          <w:szCs w:val="28"/>
          <w:highlight w:val="none"/>
        </w:rPr>
        <w:t>文件实质性响应要求的供应商中，按照报价由低到高的顺序提出成交候选人。</w:t>
      </w:r>
    </w:p>
    <w:p w14:paraId="5D92097B">
      <w:pPr>
        <w:pStyle w:val="35"/>
        <w:numPr>
          <w:ilvl w:val="0"/>
          <w:numId w:val="7"/>
        </w:numPr>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合同签订、履行</w:t>
      </w:r>
    </w:p>
    <w:p w14:paraId="2F388BF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1、成交供应商依照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规定和响应文件承诺与采购人签订采购合同。</w:t>
      </w:r>
    </w:p>
    <w:p w14:paraId="766ACF4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2、成交供应商应在成交公告</w:t>
      </w:r>
      <w:r>
        <w:rPr>
          <w:rFonts w:hint="eastAsia" w:ascii="仿宋" w:hAnsi="仿宋" w:eastAsia="仿宋" w:cs="仿宋"/>
          <w:sz w:val="28"/>
          <w:szCs w:val="28"/>
          <w:highlight w:val="none"/>
          <w:lang w:val="en-US" w:eastAsia="zh-CN"/>
        </w:rPr>
        <w:t>发布</w:t>
      </w:r>
      <w:r>
        <w:rPr>
          <w:rFonts w:hint="eastAsia" w:ascii="仿宋" w:hAnsi="仿宋" w:eastAsia="仿宋" w:cs="仿宋"/>
          <w:sz w:val="28"/>
          <w:szCs w:val="28"/>
          <w:highlight w:val="none"/>
        </w:rPr>
        <w:t>之日起二十日内与采购人签订采购合同。由于成交供应商的原因逾期未与采购人签订采购合同的，将视为放弃成交。</w:t>
      </w:r>
    </w:p>
    <w:p w14:paraId="6E3BED8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3、成交供应商因不可抗力原因不能履行采购合同或放弃成交的，采购人可以与排在成交供应商之后第一位的成交候选人签订采购合同，以此类推。也可以重新开展采购活动。</w:t>
      </w:r>
    </w:p>
    <w:p w14:paraId="60148BE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4、采购人按《采购合同》约定，按相关规定程序向成交供应商付款；成交供应商应向采购人开具正式等额有效发票。  </w:t>
      </w:r>
    </w:p>
    <w:p w14:paraId="5C9812EC">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本采购项目严禁成交供应商将采购合同义务转包。成交</w:t>
      </w:r>
      <w:r>
        <w:rPr>
          <w:rFonts w:hint="eastAsia" w:ascii="仿宋" w:hAnsi="仿宋" w:eastAsia="仿宋" w:cs="仿宋"/>
          <w:sz w:val="28"/>
          <w:szCs w:val="28"/>
          <w:highlight w:val="none"/>
        </w:rPr>
        <w:t>供应</w:t>
      </w:r>
      <w:r>
        <w:rPr>
          <w:rFonts w:hint="eastAsia" w:ascii="仿宋" w:hAnsi="仿宋" w:eastAsia="仿宋" w:cs="仿宋"/>
          <w:sz w:val="28"/>
          <w:szCs w:val="28"/>
          <w:highlight w:val="none"/>
          <w:lang w:val="zh-CN"/>
        </w:rPr>
        <w:t>商转包的，视同拒绝履行采购合同义务，将依法追究法律责任。</w:t>
      </w:r>
    </w:p>
    <w:p w14:paraId="05D31151">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bCs/>
          <w:sz w:val="28"/>
          <w:szCs w:val="28"/>
          <w:highlight w:val="none"/>
          <w:lang w:val="zh-CN"/>
        </w:rPr>
        <w:t>成交供应商与采购人签订合同后，合同双方应严格执行合同条款，履行合同规定的义务，保证合同的顺利完成。</w:t>
      </w:r>
    </w:p>
    <w:p w14:paraId="3EEC40A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7、</w:t>
      </w:r>
      <w:r>
        <w:rPr>
          <w:rFonts w:hint="eastAsia" w:ascii="仿宋" w:hAnsi="仿宋" w:eastAsia="仿宋" w:cs="仿宋"/>
          <w:bCs/>
          <w:sz w:val="28"/>
          <w:szCs w:val="28"/>
          <w:highlight w:val="none"/>
          <w:lang w:val="zh-CN"/>
        </w:rPr>
        <w:t>在合同</w:t>
      </w:r>
      <w:r>
        <w:rPr>
          <w:rFonts w:hint="eastAsia" w:ascii="仿宋" w:hAnsi="仿宋" w:eastAsia="仿宋" w:cs="仿宋"/>
          <w:bCs/>
          <w:sz w:val="28"/>
          <w:szCs w:val="28"/>
          <w:highlight w:val="none"/>
        </w:rPr>
        <w:t>履行</w:t>
      </w:r>
      <w:r>
        <w:rPr>
          <w:rFonts w:hint="eastAsia" w:ascii="仿宋" w:hAnsi="仿宋" w:eastAsia="仿宋" w:cs="仿宋"/>
          <w:bCs/>
          <w:sz w:val="28"/>
          <w:szCs w:val="28"/>
          <w:highlight w:val="none"/>
          <w:lang w:val="zh-CN"/>
        </w:rPr>
        <w:t>过程中，如发生合同纠纷，合同双方应按照《中华人民共和国民法典》的有关规定进行处理。</w:t>
      </w:r>
    </w:p>
    <w:p w14:paraId="3E0F51EF">
      <w:pPr>
        <w:tabs>
          <w:tab w:val="left" w:pos="1080"/>
        </w:tabs>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rPr>
        <w:t>国家或行业主管部门对</w:t>
      </w:r>
      <w:r>
        <w:rPr>
          <w:rFonts w:hint="eastAsia" w:ascii="仿宋" w:hAnsi="仿宋" w:eastAsia="仿宋" w:cs="仿宋"/>
          <w:kern w:val="0"/>
          <w:sz w:val="28"/>
          <w:szCs w:val="28"/>
          <w:highlight w:val="none"/>
          <w:lang w:val="en-US" w:eastAsia="zh-CN"/>
        </w:rPr>
        <w:t>本项目</w:t>
      </w:r>
      <w:r>
        <w:rPr>
          <w:rFonts w:hint="eastAsia" w:ascii="仿宋" w:hAnsi="仿宋" w:eastAsia="仿宋" w:cs="仿宋"/>
          <w:kern w:val="0"/>
          <w:sz w:val="28"/>
          <w:szCs w:val="28"/>
          <w:highlight w:val="none"/>
        </w:rPr>
        <w:t>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的技术、标准、质量等有特殊要求的，</w:t>
      </w:r>
      <w:r>
        <w:rPr>
          <w:rFonts w:hint="eastAsia" w:ascii="仿宋" w:hAnsi="仿宋" w:eastAsia="仿宋" w:cs="仿宋"/>
          <w:kern w:val="0"/>
          <w:sz w:val="28"/>
          <w:szCs w:val="28"/>
          <w:highlight w:val="none"/>
          <w:lang w:val="en-US" w:eastAsia="zh-CN"/>
        </w:rPr>
        <w:t>供应商</w:t>
      </w:r>
      <w:r>
        <w:rPr>
          <w:rFonts w:hint="eastAsia" w:ascii="仿宋" w:hAnsi="仿宋" w:eastAsia="仿宋" w:cs="仿宋"/>
          <w:kern w:val="0"/>
          <w:sz w:val="28"/>
          <w:szCs w:val="28"/>
          <w:highlight w:val="none"/>
        </w:rPr>
        <w:t>所供货物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必须满足。</w:t>
      </w:r>
    </w:p>
    <w:p w14:paraId="1FA8E2D7">
      <w:pPr>
        <w:pStyle w:val="22"/>
        <w:rPr>
          <w:highlight w:val="none"/>
        </w:rPr>
      </w:pPr>
    </w:p>
    <w:p w14:paraId="3A6F4C6F">
      <w:pPr>
        <w:pStyle w:val="44"/>
        <w:snapToGrid w:val="0"/>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w:t>
      </w:r>
    </w:p>
    <w:p w14:paraId="76E7190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（一）有以下情形之一的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其</w:t>
      </w:r>
      <w:r>
        <w:rPr>
          <w:rFonts w:hint="eastAsia" w:ascii="仿宋" w:hAnsi="仿宋" w:eastAsia="仿宋" w:cs="仿宋"/>
          <w:sz w:val="28"/>
          <w:szCs w:val="28"/>
          <w:highlight w:val="none"/>
        </w:rPr>
        <w:t>响应文件不予以受理：</w:t>
      </w:r>
    </w:p>
    <w:p w14:paraId="74DB86B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1、未报名。</w:t>
      </w:r>
    </w:p>
    <w:p w14:paraId="34DCFAF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2、不在开标截止时间前履行签到手续的，迟到的。</w:t>
      </w:r>
    </w:p>
    <w:p w14:paraId="3C82A51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3、响应文件、样品不符合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规定数量、要求的，响应文件、样品未提供或逾期送达的。</w:t>
      </w:r>
    </w:p>
    <w:p w14:paraId="002AFBC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4、响应文件的供应商的名称与报名表的供应商名称不一致的。</w:t>
      </w:r>
    </w:p>
    <w:p w14:paraId="6113571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5、响应文件的采购项目名称、采购编号和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不一致的。</w:t>
      </w:r>
    </w:p>
    <w:p w14:paraId="2083EC6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6、响应文件密封袋未注明相关信息、未密封、未按要求密封、未盖章、未签字的等不符合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p>
    <w:p w14:paraId="6C9829F5">
      <w:pPr>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其他违反</w:t>
      </w:r>
      <w:r>
        <w:rPr>
          <w:rFonts w:hint="eastAsia" w:ascii="仿宋" w:hAnsi="仿宋" w:eastAsia="仿宋" w:cs="仿宋"/>
          <w:sz w:val="28"/>
          <w:szCs w:val="28"/>
          <w:highlight w:val="none"/>
        </w:rPr>
        <w:t>法律、法规和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的情形。</w:t>
      </w:r>
    </w:p>
    <w:p w14:paraId="73855ED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（二）出现下列情形之一的，本次</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终止：</w:t>
      </w:r>
    </w:p>
    <w:p w14:paraId="31CD961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1、参加报名的供应商不足三家的；</w:t>
      </w:r>
    </w:p>
    <w:p w14:paraId="56A01D6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2、递交响应文件、样品的供应商不足三家的；</w:t>
      </w:r>
    </w:p>
    <w:p w14:paraId="1B4127E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3、通过样品审查的供应商不足三家的。</w:t>
      </w:r>
    </w:p>
    <w:p w14:paraId="60F5128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结束，供应商响应文件满足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规定的实质性要求的不足三家；</w:t>
      </w:r>
    </w:p>
    <w:p w14:paraId="2E29750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5、报价未超过</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采购预算</w:t>
      </w:r>
      <w:r>
        <w:rPr>
          <w:rFonts w:hint="eastAsia" w:ascii="仿宋" w:hAnsi="仿宋" w:eastAsia="仿宋" w:cs="仿宋"/>
          <w:sz w:val="28"/>
          <w:szCs w:val="28"/>
          <w:highlight w:val="none"/>
          <w:lang w:val="en-US" w:eastAsia="zh-CN"/>
        </w:rPr>
        <w:t>金额</w:t>
      </w:r>
      <w:r>
        <w:rPr>
          <w:rFonts w:hint="eastAsia" w:ascii="仿宋" w:hAnsi="仿宋" w:eastAsia="仿宋" w:cs="仿宋"/>
          <w:sz w:val="28"/>
          <w:szCs w:val="28"/>
          <w:highlight w:val="none"/>
        </w:rPr>
        <w:t>的供应商不足3家的；</w:t>
      </w:r>
    </w:p>
    <w:p w14:paraId="32DC36A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6、其他无法继续开展</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或者无法成交的情形。</w:t>
      </w:r>
    </w:p>
    <w:p w14:paraId="43D5AF3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纪律要求</w:t>
      </w:r>
    </w:p>
    <w:p w14:paraId="6A003C7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1、供应商不得具有的情形：</w:t>
      </w:r>
    </w:p>
    <w:p w14:paraId="2A87D22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（1）提供虚假材料谋取成交；</w:t>
      </w:r>
    </w:p>
    <w:p w14:paraId="40808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（2）采取不正当手段诋毁、排挤其他供应商；</w:t>
      </w:r>
    </w:p>
    <w:p w14:paraId="7B91A2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（3）与</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采购单位、其他供应商恶意串通；</w:t>
      </w:r>
    </w:p>
    <w:p w14:paraId="4435E76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（4）向</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采购单位成员行贿或者提供其他不正当利益；</w:t>
      </w:r>
    </w:p>
    <w:p w14:paraId="207F20F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（5）在</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过程中与采购单位进行协商谈判；</w:t>
      </w:r>
    </w:p>
    <w:p w14:paraId="596CF9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（6）成交后无正当理由拒不与采购人签订合同；</w:t>
      </w:r>
    </w:p>
    <w:p w14:paraId="2FCF778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（7）未按照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确定的事项签订合同；</w:t>
      </w:r>
    </w:p>
    <w:p w14:paraId="5032305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（8）将合同转包或者违规分包；</w:t>
      </w:r>
    </w:p>
    <w:p w14:paraId="281ADA8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（9）提供假冒伪劣产品；</w:t>
      </w:r>
    </w:p>
    <w:p w14:paraId="45782BD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（10）擅自变更、中止或者终止合同；</w:t>
      </w:r>
    </w:p>
    <w:p w14:paraId="773722F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（11）拒绝有关部门的监督检查或者向监督检查部门提供虚假情况；</w:t>
      </w:r>
    </w:p>
    <w:p w14:paraId="43A3AE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（12）法律法规规定的其他情形。</w:t>
      </w:r>
    </w:p>
    <w:p w14:paraId="2D1CA63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供应商有上述情形的，按照规定追究法律责任，具备（1）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（10）条情形之一的，同时将取消成交资格或者认定成交无效。</w:t>
      </w:r>
    </w:p>
    <w:p w14:paraId="66519AC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2、供应商有下列情形之一的，视为供应商串通，其</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w:t>
      </w:r>
    </w:p>
    <w:p w14:paraId="20A8296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（1）不同供应商的响应文件由同一单位或者个人编制；</w:t>
      </w:r>
    </w:p>
    <w:p w14:paraId="09081751">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（2）不同供应商委托同一单位或者个人办理</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事宜；</w:t>
      </w:r>
    </w:p>
    <w:p w14:paraId="05EC1DC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（3）不同供应商的响应文件载明的项目管理成员或者联系人员为同一人；</w:t>
      </w:r>
    </w:p>
    <w:p w14:paraId="1E13670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（4）不同供应商的响应文件异常一致或者文件报价呈规律性差异；</w:t>
      </w:r>
    </w:p>
    <w:p w14:paraId="049216B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（5）不同供应商的响应文件相互混装；</w:t>
      </w:r>
    </w:p>
    <w:p w14:paraId="4640262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3、供应商存在下列情况之一的，</w:t>
      </w:r>
      <w:r>
        <w:rPr>
          <w:rFonts w:hint="eastAsia" w:ascii="仿宋" w:hAnsi="仿宋" w:eastAsia="仿宋" w:cs="仿宋"/>
          <w:sz w:val="28"/>
          <w:szCs w:val="28"/>
          <w:highlight w:val="none"/>
          <w:lang w:val="en-US" w:eastAsia="zh-CN"/>
        </w:rPr>
        <w:t>其成交资格</w:t>
      </w:r>
      <w:r>
        <w:rPr>
          <w:rFonts w:hint="eastAsia" w:ascii="仿宋" w:hAnsi="仿宋" w:eastAsia="仿宋" w:cs="仿宋"/>
          <w:sz w:val="28"/>
          <w:szCs w:val="28"/>
          <w:highlight w:val="none"/>
        </w:rPr>
        <w:t>无效</w:t>
      </w:r>
      <w:r>
        <w:rPr>
          <w:rFonts w:hint="eastAsia" w:ascii="仿宋" w:hAnsi="仿宋" w:eastAsia="仿宋" w:cs="仿宋"/>
          <w:sz w:val="28"/>
          <w:szCs w:val="28"/>
          <w:highlight w:val="none"/>
          <w:lang w:eastAsia="zh-CN"/>
        </w:rPr>
        <w:t>：</w:t>
      </w:r>
    </w:p>
    <w:p w14:paraId="0F7DF19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（1）响应文件未按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要求签署、盖章的；</w:t>
      </w:r>
    </w:p>
    <w:p w14:paraId="045F2F4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（2）不具备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中规定的要求的；</w:t>
      </w:r>
    </w:p>
    <w:p w14:paraId="20D3B11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（3）报价超过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中规定的预算金额或者最高限价的；</w:t>
      </w:r>
    </w:p>
    <w:p w14:paraId="19D87BB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（4）响应文件含有采购人不能接受的附加条件的；</w:t>
      </w:r>
    </w:p>
    <w:p w14:paraId="604D41A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rPr>
        <w:t>损害采购人或</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参与人的情形。</w:t>
      </w:r>
    </w:p>
    <w:p w14:paraId="1B940367">
      <w:pPr>
        <w:pStyle w:val="35"/>
        <w:spacing w:line="360" w:lineRule="auto"/>
        <w:ind w:firstLine="560"/>
        <w:rPr>
          <w:rFonts w:ascii="仿宋" w:hAnsi="仿宋" w:eastAsia="仿宋" w:cs="仿宋"/>
          <w:sz w:val="28"/>
          <w:szCs w:val="28"/>
          <w:highlight w:val="none"/>
        </w:rPr>
      </w:pPr>
      <w:bookmarkStart w:id="12" w:name="_Toc193106065"/>
      <w:bookmarkStart w:id="13" w:name="_Toc193105919"/>
      <w:bookmarkStart w:id="14" w:name="_Toc350864517"/>
      <w:bookmarkStart w:id="15" w:name="_Toc192318381"/>
      <w:bookmarkStart w:id="16" w:name="_Toc193106176"/>
      <w:bookmarkStart w:id="17" w:name="_Toc192318708"/>
      <w:bookmarkStart w:id="18" w:name="_Toc192318461"/>
    </w:p>
    <w:bookmarkEnd w:id="12"/>
    <w:bookmarkEnd w:id="13"/>
    <w:bookmarkEnd w:id="14"/>
    <w:bookmarkEnd w:id="15"/>
    <w:bookmarkEnd w:id="16"/>
    <w:bookmarkEnd w:id="17"/>
    <w:bookmarkEnd w:id="18"/>
    <w:p w14:paraId="55A7A60C">
      <w:pPr>
        <w:spacing w:line="360" w:lineRule="auto"/>
        <w:rPr>
          <w:rFonts w:ascii="仿宋" w:hAnsi="仿宋" w:eastAsia="仿宋" w:cs="仿宋"/>
          <w:b/>
          <w:sz w:val="28"/>
          <w:szCs w:val="28"/>
          <w:highlight w:val="none"/>
        </w:rPr>
      </w:pPr>
    </w:p>
    <w:p w14:paraId="4B8A5272">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w:t>
      </w:r>
    </w:p>
    <w:p w14:paraId="38E5974A">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参加</w:t>
      </w:r>
      <w:r>
        <w:rPr>
          <w:rFonts w:hint="eastAsia" w:ascii="仿宋" w:hAnsi="仿宋" w:eastAsia="仿宋" w:cs="仿宋"/>
          <w:b/>
          <w:bCs/>
          <w:sz w:val="28"/>
          <w:szCs w:val="28"/>
          <w:highlight w:val="none"/>
          <w:lang w:eastAsia="zh-CN"/>
        </w:rPr>
        <w:t>遴选</w:t>
      </w:r>
      <w:r>
        <w:rPr>
          <w:rFonts w:hint="eastAsia" w:ascii="仿宋" w:hAnsi="仿宋" w:eastAsia="仿宋" w:cs="仿宋"/>
          <w:b/>
          <w:bCs/>
          <w:sz w:val="28"/>
          <w:szCs w:val="28"/>
          <w:highlight w:val="none"/>
          <w:lang w:val="en-US" w:eastAsia="zh-CN"/>
        </w:rPr>
        <w:t>采购活动</w:t>
      </w:r>
      <w:r>
        <w:rPr>
          <w:rFonts w:hint="eastAsia" w:ascii="仿宋" w:hAnsi="仿宋" w:eastAsia="仿宋" w:cs="仿宋"/>
          <w:b/>
          <w:bCs/>
          <w:sz w:val="28"/>
          <w:szCs w:val="28"/>
          <w:highlight w:val="none"/>
        </w:rPr>
        <w:t>的供应商应具备</w:t>
      </w:r>
      <w:bookmarkStart w:id="19" w:name="_Toc350864518"/>
      <w:r>
        <w:rPr>
          <w:rFonts w:hint="eastAsia" w:ascii="仿宋" w:hAnsi="仿宋" w:eastAsia="仿宋" w:cs="仿宋"/>
          <w:b/>
          <w:bCs/>
          <w:sz w:val="28"/>
          <w:szCs w:val="28"/>
          <w:highlight w:val="none"/>
        </w:rPr>
        <w:t>的条件：</w:t>
      </w:r>
    </w:p>
    <w:p w14:paraId="27D975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1、具有独立承担民事责任的能力；</w:t>
      </w:r>
    </w:p>
    <w:p w14:paraId="1B9CAA8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2、具有良好的商业信誉和健全的财务会计制度；</w:t>
      </w:r>
    </w:p>
    <w:p w14:paraId="1FB7E7E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3、具有履行合同所必需的设备和专业技术能力；</w:t>
      </w:r>
    </w:p>
    <w:p w14:paraId="458B190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4、具有依法缴纳税收和社会保障资金的良好记录；</w:t>
      </w:r>
    </w:p>
    <w:p w14:paraId="2BC842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5、参加采购活动前三年内，在经营活动中没有重大违法记录；</w:t>
      </w:r>
    </w:p>
    <w:p w14:paraId="03BDF353">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6、法律、行政法规规定的其他条件；    </w:t>
      </w:r>
    </w:p>
    <w:p w14:paraId="69C7AD9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7、本项目不接受联合体投标 ；  </w:t>
      </w:r>
    </w:p>
    <w:p w14:paraId="412012F5">
      <w:pPr>
        <w:pStyle w:val="35"/>
        <w:spacing w:line="56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8、根据采购项目提出的特殊条件：</w:t>
      </w:r>
    </w:p>
    <w:p w14:paraId="73942502">
      <w:pPr>
        <w:pStyle w:val="35"/>
        <w:spacing w:line="360" w:lineRule="auto"/>
        <w:ind w:firstLine="560"/>
        <w:rPr>
          <w:rFonts w:ascii="仿宋" w:hAnsi="仿宋" w:eastAsia="仿宋" w:cs="仿宋"/>
          <w:sz w:val="28"/>
          <w:szCs w:val="28"/>
          <w:highlight w:val="none"/>
        </w:rPr>
      </w:pPr>
    </w:p>
    <w:p w14:paraId="4695BA4C">
      <w:pPr>
        <w:pStyle w:val="35"/>
        <w:spacing w:line="360" w:lineRule="auto"/>
        <w:rPr>
          <w:rFonts w:ascii="仿宋" w:hAnsi="仿宋" w:eastAsia="仿宋" w:cs="仿宋"/>
          <w:sz w:val="28"/>
          <w:szCs w:val="28"/>
          <w:highlight w:val="none"/>
        </w:rPr>
      </w:pPr>
    </w:p>
    <w:p w14:paraId="233C4004">
      <w:pPr>
        <w:pStyle w:val="35"/>
        <w:spacing w:line="360" w:lineRule="auto"/>
        <w:ind w:firstLine="0" w:firstLineChars="0"/>
        <w:rPr>
          <w:rFonts w:ascii="仿宋" w:hAnsi="仿宋" w:eastAsia="仿宋" w:cs="仿宋"/>
          <w:b/>
          <w:color w:val="auto"/>
          <w:sz w:val="28"/>
          <w:szCs w:val="28"/>
          <w:highlight w:val="none"/>
        </w:rPr>
      </w:pPr>
    </w:p>
    <w:p w14:paraId="62CE33A7">
      <w:pPr>
        <w:pStyle w:val="35"/>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第七章  供应商应当提供的资格证明材料</w:t>
      </w:r>
      <w:bookmarkEnd w:id="19"/>
    </w:p>
    <w:p w14:paraId="20C5624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供应商应提供以下资格证明资料，装订进响应文件内：</w:t>
      </w:r>
    </w:p>
    <w:p w14:paraId="21B496E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1、供应商提供本</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要求的报价函、承诺函原件等；</w:t>
      </w:r>
    </w:p>
    <w:p w14:paraId="2ABEBDB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2、供应商有效的加载统一社会信用代码的营业执照副本复印件（非企业法人提供符合</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要求的合法证件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33533BB">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3、如</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代表不是单位法人代表（负责人）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须附有“法定代表人（负责人）授权书”原件；</w:t>
      </w:r>
    </w:p>
    <w:p w14:paraId="5425029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4、法定代表人身份证复印件；</w:t>
      </w:r>
    </w:p>
    <w:p w14:paraId="2F6A1257">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代表本人身份证复印件（如</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代表不是单位法人代表）；</w:t>
      </w:r>
    </w:p>
    <w:p w14:paraId="59CE72C1">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6、供应商提供</w:t>
      </w:r>
      <w:r>
        <w:rPr>
          <w:rFonts w:hint="eastAsia" w:ascii="仿宋" w:hAnsi="仿宋" w:eastAsia="仿宋" w:cs="仿宋"/>
          <w:color w:val="auto"/>
          <w:sz w:val="28"/>
          <w:szCs w:val="28"/>
          <w:highlight w:val="none"/>
          <w:lang w:val="en-US" w:eastAsia="zh-CN"/>
        </w:rPr>
        <w:t>下列之一资料：</w:t>
      </w:r>
    </w:p>
    <w:p w14:paraId="0CE74FB2">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最近一年的经审计的完整的财务状况报告复印件（四表一注：资产负债表、现金流量表、利润表、所有者权益变动表、财务报表附注）；或承诺函；或健全的财务</w:t>
      </w:r>
      <w:r>
        <w:rPr>
          <w:color w:val="auto"/>
          <w:highlight w:val="none"/>
        </w:rPr>
        <w:fldChar w:fldCharType="begin"/>
      </w:r>
      <w:r>
        <w:rPr>
          <w:color w:val="auto"/>
          <w:highlight w:val="none"/>
        </w:rPr>
        <w:instrText xml:space="preserve"> HYPERLINK "http://baike.haosou.com/doc/388251.html" \t "_blank" </w:instrText>
      </w:r>
      <w:r>
        <w:rPr>
          <w:color w:val="auto"/>
          <w:highlight w:val="none"/>
        </w:rPr>
        <w:fldChar w:fldCharType="separate"/>
      </w:r>
      <w:r>
        <w:rPr>
          <w:rFonts w:hint="eastAsia" w:ascii="仿宋" w:hAnsi="仿宋" w:eastAsia="仿宋" w:cs="仿宋"/>
          <w:color w:val="auto"/>
          <w:sz w:val="28"/>
          <w:szCs w:val="28"/>
          <w:highlight w:val="none"/>
        </w:rPr>
        <w:t>会计制度</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；或部分其他组织和自然人可以提供银行出具的资信证明。</w:t>
      </w:r>
      <w:bookmarkStart w:id="20" w:name="_Toc350864519"/>
    </w:p>
    <w:p w14:paraId="6E55F010">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7、本项目特殊要求须提供的资料。</w:t>
      </w:r>
    </w:p>
    <w:p w14:paraId="7019318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以上资料各提供一份并加盖单位印章，必须和其他技术、服务、商务要求等资料一并装订成册，封面上注明“响应文件”。</w:t>
      </w:r>
    </w:p>
    <w:p w14:paraId="4288A85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14:paraId="07A523C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1.以上提供的所有证件必须是有效证件，均需加盖供应商鲜章；</w:t>
      </w:r>
    </w:p>
    <w:p w14:paraId="71B8AA9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2.复印件必须完整、清晰、真实、有效，同时加盖供应商鲜章；</w:t>
      </w:r>
    </w:p>
    <w:p w14:paraId="1E726A3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3.以上资料是资格审查时需要提供的资料，如提供不全或不实或不清晰，将自行承担</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无效的风险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失去</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，供应商前期所发生的任何费用均自行承担，与采购人无关。</w:t>
      </w:r>
    </w:p>
    <w:bookmarkEnd w:id="20"/>
    <w:p w14:paraId="3CFC7DBB">
      <w:pPr>
        <w:pStyle w:val="35"/>
        <w:spacing w:line="360" w:lineRule="auto"/>
        <w:ind w:firstLine="0" w:firstLineChars="0"/>
        <w:jc w:val="both"/>
        <w:rPr>
          <w:rFonts w:hint="eastAsia" w:ascii="仿宋" w:hAnsi="仿宋" w:eastAsia="仿宋" w:cs="仿宋"/>
          <w:b/>
          <w:color w:val="auto"/>
          <w:sz w:val="28"/>
          <w:szCs w:val="28"/>
          <w:highlight w:val="none"/>
        </w:rPr>
      </w:pPr>
    </w:p>
    <w:p w14:paraId="7D587D64">
      <w:pPr>
        <w:pStyle w:val="35"/>
        <w:spacing w:line="360" w:lineRule="auto"/>
        <w:ind w:firstLine="0" w:firstLineChars="0"/>
        <w:jc w:val="center"/>
        <w:rPr>
          <w:rFonts w:hint="eastAsia" w:ascii="黑体" w:hAnsi="黑体" w:eastAsia="黑体" w:cs="黑体"/>
          <w:b w:val="0"/>
          <w:bCs/>
          <w:sz w:val="28"/>
          <w:szCs w:val="28"/>
          <w:lang w:val="en-US" w:eastAsia="zh-CN"/>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第八章 采购项目内容和要求</w:t>
      </w:r>
    </w:p>
    <w:p w14:paraId="314AEF27">
      <w:pPr>
        <w:pStyle w:val="40"/>
        <w:spacing w:line="360" w:lineRule="auto"/>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i w:val="0"/>
          <w:iCs w:val="0"/>
          <w:caps w:val="0"/>
          <w:color w:val="222222"/>
          <w:spacing w:val="0"/>
          <w:sz w:val="32"/>
          <w:szCs w:val="32"/>
          <w:vertAlign w:val="baseline"/>
        </w:rPr>
        <w:t>大竹县人民医院</w:t>
      </w:r>
      <w:r>
        <w:rPr>
          <w:rFonts w:hint="eastAsia" w:ascii="方正公文小标宋" w:hAnsi="方正公文小标宋" w:eastAsia="方正公文小标宋" w:cs="方正公文小标宋"/>
          <w:i w:val="0"/>
          <w:iCs w:val="0"/>
          <w:caps w:val="0"/>
          <w:color w:val="222222"/>
          <w:spacing w:val="0"/>
          <w:sz w:val="32"/>
          <w:szCs w:val="32"/>
          <w:vertAlign w:val="baseline"/>
          <w:lang w:val="en-US" w:eastAsia="zh-CN"/>
        </w:rPr>
        <w:t>锐器盒等低值耗材采购项目</w:t>
      </w:r>
    </w:p>
    <w:p w14:paraId="108227FF">
      <w:pPr>
        <w:pStyle w:val="13"/>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45"/>
        <w:jc w:val="both"/>
        <w:textAlignment w:val="baseline"/>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 xml:space="preserve">项目概述 </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技术要求</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w:t>
      </w:r>
    </w:p>
    <w:p w14:paraId="07C9AACB">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560" w:firstLineChars="200"/>
        <w:jc w:val="both"/>
        <w:textAlignment w:val="baseline"/>
        <w:rPr>
          <w:rFonts w:hint="eastAsia" w:ascii="仿宋_GB2312" w:hAnsi="仿宋_GB2312" w:eastAsia="仿宋_GB2312" w:cs="仿宋_GB2312"/>
          <w:i w:val="0"/>
          <w:iCs w:val="0"/>
          <w:caps w:val="0"/>
          <w:color w:val="222222"/>
          <w:spacing w:val="0"/>
          <w:sz w:val="28"/>
          <w:szCs w:val="28"/>
        </w:rPr>
      </w:pPr>
      <w:r>
        <w:rPr>
          <w:rFonts w:hint="eastAsia" w:ascii="仿宋_GB2312" w:hAnsi="仿宋_GB2312" w:eastAsia="仿宋_GB2312" w:cs="仿宋_GB2312"/>
          <w:i w:val="0"/>
          <w:iCs w:val="0"/>
          <w:caps w:val="0"/>
          <w:color w:val="222222"/>
          <w:spacing w:val="0"/>
          <w:sz w:val="28"/>
          <w:szCs w:val="28"/>
          <w:vertAlign w:val="baseline"/>
        </w:rPr>
        <w:t>大竹县人民医院是集医疗、教学、科研、预防保健为一体的国家三级甲等综合医院。全院现有需配送货物的区域工作业务用房建筑面82313.13平方米，共计63个科室。</w:t>
      </w:r>
    </w:p>
    <w:p w14:paraId="67FC0ED9">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jc w:val="both"/>
        <w:textAlignment w:val="baseline"/>
        <w:rPr>
          <w:rFonts w:hint="eastAsia" w:ascii="仿宋_GB2312" w:hAnsi="仿宋_GB2312" w:eastAsia="仿宋_GB2312" w:cs="仿宋_GB2312"/>
          <w:i w:val="0"/>
          <w:iCs w:val="0"/>
          <w:caps w:val="0"/>
          <w:color w:val="222222"/>
          <w:spacing w:val="0"/>
          <w:sz w:val="28"/>
          <w:szCs w:val="28"/>
          <w:u w:val="none"/>
        </w:rPr>
      </w:pPr>
      <w:r>
        <w:rPr>
          <w:rFonts w:hint="eastAsia" w:ascii="仿宋_GB2312" w:hAnsi="仿宋_GB2312" w:eastAsia="仿宋_GB2312" w:cs="仿宋_GB2312"/>
          <w:i w:val="0"/>
          <w:iCs w:val="0"/>
          <w:caps w:val="0"/>
          <w:color w:val="222222"/>
          <w:spacing w:val="0"/>
          <w:sz w:val="28"/>
          <w:szCs w:val="28"/>
          <w:vertAlign w:val="baseline"/>
        </w:rPr>
        <w:t>本项目为零星分批采购，并非一次性采购全部货物。在项目履行期内医院根据业务开展需要，不定期地采购货物。</w:t>
      </w:r>
      <w:r>
        <w:rPr>
          <w:rFonts w:hint="eastAsia" w:ascii="仿宋_GB2312" w:hAnsi="仿宋_GB2312" w:eastAsia="仿宋_GB2312" w:cs="仿宋_GB2312"/>
          <w:i w:val="0"/>
          <w:iCs w:val="0"/>
          <w:caps w:val="0"/>
          <w:color w:val="222222"/>
          <w:spacing w:val="0"/>
          <w:sz w:val="28"/>
          <w:szCs w:val="28"/>
          <w:u w:val="none"/>
          <w:vertAlign w:val="baseline"/>
        </w:rPr>
        <w:t>供应商自行考虑批发与零售价格的区别。采用固定货物单价、每月根据货物实际消耗数量，据实结算金额的方式进行支付。</w:t>
      </w:r>
    </w:p>
    <w:p w14:paraId="60BFA2E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jc w:val="both"/>
        <w:textAlignment w:val="baseline"/>
        <w:rPr>
          <w:rFonts w:hint="eastAsia" w:ascii="仿宋_GB2312" w:hAnsi="仿宋_GB2312" w:eastAsia="仿宋_GB2312" w:cs="仿宋_GB2312"/>
          <w:i w:val="0"/>
          <w:iCs w:val="0"/>
          <w:caps w:val="0"/>
          <w:color w:val="222222"/>
          <w:spacing w:val="0"/>
          <w:sz w:val="28"/>
          <w:szCs w:val="28"/>
        </w:rPr>
      </w:pPr>
      <w:r>
        <w:rPr>
          <w:rFonts w:hint="eastAsia" w:ascii="仿宋_GB2312" w:hAnsi="仿宋_GB2312" w:eastAsia="仿宋_GB2312" w:cs="仿宋_GB2312"/>
          <w:i w:val="0"/>
          <w:iCs w:val="0"/>
          <w:caps w:val="0"/>
          <w:color w:val="222222"/>
          <w:spacing w:val="0"/>
          <w:sz w:val="28"/>
          <w:szCs w:val="28"/>
          <w:u w:val="none"/>
          <w:vertAlign w:val="baseline"/>
        </w:rPr>
        <w:t>日常供货方式，供应商在接我院通知后，72小时内将当批次货物送货上楼到我院院内指定地点。</w:t>
      </w:r>
      <w:r>
        <w:rPr>
          <w:rFonts w:hint="eastAsia" w:ascii="仿宋_GB2312" w:hAnsi="仿宋_GB2312" w:eastAsia="仿宋_GB2312" w:cs="仿宋_GB2312"/>
          <w:i w:val="0"/>
          <w:iCs w:val="0"/>
          <w:caps w:val="0"/>
          <w:color w:val="222222"/>
          <w:spacing w:val="0"/>
          <w:sz w:val="28"/>
          <w:szCs w:val="28"/>
          <w:vertAlign w:val="baseline"/>
        </w:rPr>
        <w:t>供应商承担货物搬运上楼费用，供应商服务区域涉及总务库房（3楼、步梯）、门诊大楼（10层、可用1部电梯）、内科大楼（14层、可用1部电梯搬货）、外科大楼（19层、可用1部电梯搬货）、感染科楼、发热门诊等。</w:t>
      </w:r>
    </w:p>
    <w:p w14:paraId="6197BA4B">
      <w:pPr>
        <w:spacing w:line="360" w:lineRule="auto"/>
        <w:ind w:right="31" w:rightChars="15"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本项目采购总预算为：</w:t>
      </w:r>
      <w:r>
        <w:rPr>
          <w:rFonts w:hint="eastAsia" w:ascii="仿宋_GB2312" w:hAnsi="仿宋_GB2312" w:eastAsia="仿宋_GB2312" w:cs="仿宋_GB2312"/>
          <w:b w:val="0"/>
          <w:bCs w:val="0"/>
          <w:sz w:val="28"/>
          <w:szCs w:val="28"/>
          <w:lang w:val="en-US" w:eastAsia="zh-CN"/>
        </w:rPr>
        <w:t>119391元</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b w:val="0"/>
          <w:bCs w:val="0"/>
          <w:color w:val="000000" w:themeColor="text1"/>
          <w:sz w:val="28"/>
          <w:szCs w:val="28"/>
          <w:highlight w:val="none"/>
          <w:u w:val="none"/>
          <w14:textFill>
            <w14:solidFill>
              <w14:schemeClr w14:val="tx1"/>
            </w14:solidFill>
          </w14:textFill>
        </w:rPr>
        <w:t>人民币</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壹拾壹万玖仟叁佰玖拾壹元整</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 xml:space="preserve"> </w:t>
      </w:r>
    </w:p>
    <w:p w14:paraId="25AFFB7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555"/>
        <w:jc w:val="both"/>
        <w:textAlignment w:val="baseline"/>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i w:val="0"/>
          <w:iCs w:val="0"/>
          <w:caps w:val="0"/>
          <w:color w:val="222222"/>
          <w:spacing w:val="0"/>
          <w:sz w:val="28"/>
          <w:szCs w:val="28"/>
          <w:vertAlign w:val="baseline"/>
        </w:rPr>
        <w:t>供应商的报价为包干价，供应商的报价是供应商响应本项目内容、范围、要求等全部工作的价格体现，包括供应商完成本项目所需的一切费用，包括且不限于：货物、人工费用、运输费、搬运费、运损费、税费等满足本项目需求的全部费用。</w:t>
      </w:r>
    </w:p>
    <w:p w14:paraId="60D44BF7">
      <w:pPr>
        <w:pStyle w:val="43"/>
        <w:widowControl/>
        <w:numPr>
          <w:ilvl w:val="0"/>
          <w:numId w:val="8"/>
        </w:numPr>
        <w:spacing w:line="360" w:lineRule="auto"/>
        <w:ind w:left="0" w:leftChars="0" w:firstLine="645" w:firstLineChars="0"/>
        <w:jc w:val="left"/>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采购标的</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技术要求</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w:t>
      </w:r>
    </w:p>
    <w:p w14:paraId="1CEC0914">
      <w:pPr>
        <w:pStyle w:val="35"/>
        <w:keepNext w:val="0"/>
        <w:keepLines w:val="0"/>
        <w:pageBreakBefore w:val="0"/>
        <w:widowControl w:val="0"/>
        <w:kinsoku/>
        <w:wordWrap/>
        <w:overflowPunct/>
        <w:topLinePunct w:val="0"/>
        <w:autoSpaceDE/>
        <w:autoSpaceDN/>
        <w:bidi w:val="0"/>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供应商应将合格货物按时配送到采购人院区内指定地点，</w:t>
      </w:r>
      <w:r>
        <w:rPr>
          <w:rFonts w:hint="eastAsia" w:ascii="仿宋_GB2312" w:hAnsi="仿宋_GB2312" w:eastAsia="仿宋_GB2312" w:cs="仿宋_GB2312"/>
          <w:color w:val="auto"/>
          <w:sz w:val="28"/>
          <w:szCs w:val="28"/>
          <w:lang w:val="en-US" w:eastAsia="zh-CN"/>
        </w:rPr>
        <w:t>承担搬运上楼费用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sz w:val="28"/>
          <w:szCs w:val="28"/>
        </w:rPr>
        <w:t>同时根据采购人需要提供货物相应配套服务，对破损的货物包退换，不再额外收取费用。</w:t>
      </w:r>
    </w:p>
    <w:tbl>
      <w:tblPr>
        <w:tblStyle w:val="15"/>
        <w:tblpPr w:leftFromText="180" w:rightFromText="180" w:vertAnchor="text" w:horzAnchor="page" w:tblpX="1285" w:tblpY="594"/>
        <w:tblOverlap w:val="never"/>
        <w:tblW w:w="9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28"/>
        <w:gridCol w:w="5187"/>
        <w:gridCol w:w="888"/>
        <w:gridCol w:w="1242"/>
      </w:tblGrid>
      <w:tr w14:paraId="198A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08" w:type="dxa"/>
            <w:vAlign w:val="center"/>
          </w:tcPr>
          <w:p w14:paraId="45095051">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1428" w:type="dxa"/>
            <w:vAlign w:val="center"/>
          </w:tcPr>
          <w:p w14:paraId="50021AF3">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品   名</w:t>
            </w:r>
          </w:p>
        </w:tc>
        <w:tc>
          <w:tcPr>
            <w:tcW w:w="5187" w:type="dxa"/>
            <w:vAlign w:val="center"/>
          </w:tcPr>
          <w:p w14:paraId="0C0E969D">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主要技术要求</w:t>
            </w:r>
          </w:p>
        </w:tc>
        <w:tc>
          <w:tcPr>
            <w:tcW w:w="888" w:type="dxa"/>
            <w:vAlign w:val="center"/>
          </w:tcPr>
          <w:p w14:paraId="655F72FE">
            <w:pPr>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计价</w:t>
            </w:r>
            <w:r>
              <w:rPr>
                <w:rFonts w:hint="eastAsia" w:ascii="仿宋_GB2312" w:hAnsi="仿宋_GB2312" w:eastAsia="仿宋_GB2312" w:cs="仿宋_GB2312"/>
                <w:sz w:val="28"/>
                <w:szCs w:val="28"/>
              </w:rPr>
              <w:t>单位</w:t>
            </w:r>
          </w:p>
        </w:tc>
        <w:tc>
          <w:tcPr>
            <w:tcW w:w="1242" w:type="dxa"/>
            <w:vAlign w:val="center"/>
          </w:tcPr>
          <w:p w14:paraId="6784CB41">
            <w:pPr>
              <w:spacing w:line="36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单价最高限价（元）</w:t>
            </w:r>
          </w:p>
        </w:tc>
      </w:tr>
      <w:tr w14:paraId="38FF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3F193A35">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p>
        </w:tc>
        <w:tc>
          <w:tcPr>
            <w:tcW w:w="1428" w:type="dxa"/>
            <w:vAlign w:val="center"/>
          </w:tcPr>
          <w:p w14:paraId="75B8433A">
            <w:p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0.5升圆形锐器盒</w:t>
            </w:r>
          </w:p>
        </w:tc>
        <w:tc>
          <w:tcPr>
            <w:tcW w:w="5187" w:type="dxa"/>
            <w:vAlign w:val="center"/>
          </w:tcPr>
          <w:p w14:paraId="787ED1D0">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盒体由黄红双色组成。盒体为上宽下窄的圆杯状，可放置于酒精瓶架内。</w:t>
            </w:r>
          </w:p>
          <w:p w14:paraId="3701B430">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该锐器盒在满足有效容积≥0.5升的情况下，允许高103mm（允许±10mm）、 最宽处直径74mm（允许±10mm） 、 最窄处直径50mm（允许±10mm）。</w:t>
            </w:r>
          </w:p>
          <w:p w14:paraId="3B6A2FE2">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该锐器盒必须采用全新的聚丙烯塑料（PP）制造而成，必须符合</w:t>
            </w:r>
            <w:r>
              <w:rPr>
                <w:rFonts w:hint="eastAsia" w:ascii="仿宋_GB2312" w:hAnsi="仿宋_GB2312" w:eastAsia="仿宋_GB2312" w:cs="仿宋_GB2312"/>
                <w:b w:val="0"/>
                <w:bCs w:val="0"/>
                <w:sz w:val="28"/>
                <w:szCs w:val="28"/>
              </w:rPr>
              <w:t>国家环境保护总局/卫生部发布HJ421-2008《医疗废物专用包装袋、</w:t>
            </w:r>
            <w:r>
              <w:rPr>
                <w:rFonts w:hint="eastAsia" w:ascii="仿宋_GB2312" w:hAnsi="仿宋_GB2312" w:eastAsia="仿宋_GB2312" w:cs="仿宋_GB2312"/>
                <w:b w:val="0"/>
                <w:bCs w:val="0"/>
                <w:sz w:val="28"/>
                <w:szCs w:val="28"/>
                <w:lang w:eastAsia="zh-CN"/>
              </w:rPr>
              <w:t>锐器盒</w:t>
            </w:r>
            <w:r>
              <w:rPr>
                <w:rFonts w:hint="eastAsia" w:ascii="仿宋_GB2312" w:hAnsi="仿宋_GB2312" w:eastAsia="仿宋_GB2312" w:cs="仿宋_GB2312"/>
                <w:b w:val="0"/>
                <w:bCs w:val="0"/>
                <w:sz w:val="28"/>
                <w:szCs w:val="28"/>
              </w:rPr>
              <w:t>警示</w:t>
            </w:r>
            <w:r>
              <w:rPr>
                <w:rFonts w:hint="eastAsia" w:ascii="仿宋_GB2312" w:hAnsi="仿宋_GB2312" w:eastAsia="仿宋_GB2312" w:cs="仿宋_GB2312"/>
                <w:b w:val="0"/>
                <w:bCs w:val="0"/>
                <w:sz w:val="28"/>
                <w:szCs w:val="28"/>
                <w:lang w:val="en-US" w:eastAsia="zh-CN"/>
              </w:rPr>
              <w:t>标志</w:t>
            </w:r>
            <w:r>
              <w:rPr>
                <w:rFonts w:hint="eastAsia" w:ascii="仿宋_GB2312" w:hAnsi="仿宋_GB2312" w:eastAsia="仿宋_GB2312" w:cs="仿宋_GB2312"/>
                <w:b w:val="0"/>
                <w:bCs w:val="0"/>
                <w:sz w:val="28"/>
                <w:szCs w:val="28"/>
              </w:rPr>
              <w:t>标准》</w:t>
            </w:r>
            <w:r>
              <w:rPr>
                <w:rFonts w:hint="eastAsia" w:ascii="仿宋_GB2312" w:hAnsi="仿宋_GB2312" w:eastAsia="仿宋_GB2312" w:cs="仿宋_GB2312"/>
                <w:b w:val="0"/>
                <w:bCs w:val="0"/>
                <w:sz w:val="28"/>
                <w:szCs w:val="28"/>
                <w:lang w:val="en-US" w:eastAsia="zh-CN"/>
              </w:rPr>
              <w:t>的要求</w:t>
            </w:r>
            <w:r>
              <w:rPr>
                <w:rFonts w:hint="eastAsia" w:ascii="仿宋_GB2312" w:hAnsi="仿宋_GB2312" w:eastAsia="仿宋_GB2312" w:cs="仿宋_GB2312"/>
                <w:b w:val="0"/>
                <w:bCs w:val="0"/>
                <w:sz w:val="28"/>
                <w:szCs w:val="28"/>
                <w:lang w:eastAsia="zh-CN"/>
              </w:rPr>
              <w:t>。</w:t>
            </w:r>
          </w:p>
        </w:tc>
        <w:tc>
          <w:tcPr>
            <w:tcW w:w="888" w:type="dxa"/>
            <w:vAlign w:val="center"/>
          </w:tcPr>
          <w:p w14:paraId="38903B6E">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3380BBB7">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0.95</w:t>
            </w:r>
          </w:p>
        </w:tc>
      </w:tr>
      <w:tr w14:paraId="1D32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5C6F575B">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p>
        </w:tc>
        <w:tc>
          <w:tcPr>
            <w:tcW w:w="1428" w:type="dxa"/>
            <w:vAlign w:val="center"/>
          </w:tcPr>
          <w:p w14:paraId="5A5E791D">
            <w:p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2升圆形锐器盒</w:t>
            </w:r>
            <w:r>
              <w:rPr>
                <w:rFonts w:hint="eastAsia" w:ascii="仿宋_GB2312" w:hAnsi="仿宋_GB2312" w:eastAsia="仿宋_GB2312" w:cs="仿宋_GB2312"/>
                <w:b w:val="0"/>
                <w:bCs w:val="0"/>
                <w:sz w:val="28"/>
                <w:szCs w:val="28"/>
                <w:lang w:val="en-US" w:eastAsia="zh-CN"/>
              </w:rPr>
              <w:drawing>
                <wp:inline distT="0" distB="0" distL="114300" distR="114300">
                  <wp:extent cx="769620" cy="628015"/>
                  <wp:effectExtent l="0" t="0" r="11430" b="635"/>
                  <wp:docPr id="1" name="图片 1" descr="微信图片_2023031709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317092901"/>
                          <pic:cNvPicPr>
                            <a:picLocks noChangeAspect="1"/>
                          </pic:cNvPicPr>
                        </pic:nvPicPr>
                        <pic:blipFill>
                          <a:blip r:embed="rId12"/>
                          <a:stretch>
                            <a:fillRect/>
                          </a:stretch>
                        </pic:blipFill>
                        <pic:spPr>
                          <a:xfrm>
                            <a:off x="0" y="0"/>
                            <a:ext cx="769620" cy="628015"/>
                          </a:xfrm>
                          <a:prstGeom prst="rect">
                            <a:avLst/>
                          </a:prstGeom>
                        </pic:spPr>
                      </pic:pic>
                    </a:graphicData>
                  </a:graphic>
                </wp:inline>
              </w:drawing>
            </w:r>
          </w:p>
        </w:tc>
        <w:tc>
          <w:tcPr>
            <w:tcW w:w="5187" w:type="dxa"/>
            <w:vAlign w:val="center"/>
          </w:tcPr>
          <w:p w14:paraId="4252BC74">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盒体由黄红双色组成，盒体为上宽下窄的圆柱体状，可放置于护理推车锐器盒架内。</w:t>
            </w:r>
          </w:p>
          <w:p w14:paraId="287776D5">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该锐器盒在满足有效容积≥2升的情况下，允许高150mm（允许±10mm）、 最宽处直径136mm（允许±10mm）。</w:t>
            </w:r>
          </w:p>
          <w:p w14:paraId="59902762">
            <w:pPr>
              <w:pStyle w:val="2"/>
              <w:spacing w:line="240" w:lineRule="auto"/>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该锐器盒必须采用全新的聚丙烯塑料（PP）制造而成，必须符合</w:t>
            </w:r>
            <w:r>
              <w:rPr>
                <w:rFonts w:hint="eastAsia" w:ascii="仿宋_GB2312" w:hAnsi="仿宋_GB2312" w:eastAsia="仿宋_GB2312" w:cs="仿宋_GB2312"/>
                <w:b w:val="0"/>
                <w:bCs w:val="0"/>
                <w:sz w:val="28"/>
                <w:szCs w:val="28"/>
              </w:rPr>
              <w:t>国家环境保护总局/卫生部发布HJ421-2008《医疗废物专用包装袋、</w:t>
            </w:r>
            <w:r>
              <w:rPr>
                <w:rFonts w:hint="eastAsia" w:ascii="仿宋_GB2312" w:hAnsi="仿宋_GB2312" w:eastAsia="仿宋_GB2312" w:cs="仿宋_GB2312"/>
                <w:b w:val="0"/>
                <w:bCs w:val="0"/>
                <w:sz w:val="28"/>
                <w:szCs w:val="28"/>
                <w:lang w:eastAsia="zh-CN"/>
              </w:rPr>
              <w:t>锐器盒</w:t>
            </w:r>
            <w:r>
              <w:rPr>
                <w:rFonts w:hint="eastAsia" w:ascii="仿宋_GB2312" w:hAnsi="仿宋_GB2312" w:eastAsia="仿宋_GB2312" w:cs="仿宋_GB2312"/>
                <w:b w:val="0"/>
                <w:bCs w:val="0"/>
                <w:sz w:val="28"/>
                <w:szCs w:val="28"/>
              </w:rPr>
              <w:t>警示</w:t>
            </w:r>
            <w:r>
              <w:rPr>
                <w:rFonts w:hint="eastAsia" w:ascii="仿宋_GB2312" w:hAnsi="仿宋_GB2312" w:eastAsia="仿宋_GB2312" w:cs="仿宋_GB2312"/>
                <w:b w:val="0"/>
                <w:bCs w:val="0"/>
                <w:sz w:val="28"/>
                <w:szCs w:val="28"/>
                <w:lang w:val="en-US" w:eastAsia="zh-CN"/>
              </w:rPr>
              <w:t>标志</w:t>
            </w:r>
            <w:r>
              <w:rPr>
                <w:rFonts w:hint="eastAsia" w:ascii="仿宋_GB2312" w:hAnsi="仿宋_GB2312" w:eastAsia="仿宋_GB2312" w:cs="仿宋_GB2312"/>
                <w:b w:val="0"/>
                <w:bCs w:val="0"/>
                <w:sz w:val="28"/>
                <w:szCs w:val="28"/>
              </w:rPr>
              <w:t>标准》</w:t>
            </w:r>
            <w:r>
              <w:rPr>
                <w:rFonts w:hint="eastAsia" w:ascii="仿宋_GB2312" w:hAnsi="仿宋_GB2312" w:eastAsia="仿宋_GB2312" w:cs="仿宋_GB2312"/>
                <w:b w:val="0"/>
                <w:bCs w:val="0"/>
                <w:sz w:val="28"/>
                <w:szCs w:val="28"/>
                <w:lang w:val="en-US" w:eastAsia="zh-CN"/>
              </w:rPr>
              <w:t>的要求</w:t>
            </w:r>
            <w:r>
              <w:rPr>
                <w:rFonts w:hint="eastAsia" w:ascii="仿宋_GB2312" w:hAnsi="仿宋_GB2312" w:eastAsia="仿宋_GB2312" w:cs="仿宋_GB2312"/>
                <w:b w:val="0"/>
                <w:bCs w:val="0"/>
                <w:sz w:val="28"/>
                <w:szCs w:val="28"/>
                <w:lang w:eastAsia="zh-CN"/>
              </w:rPr>
              <w:t>。</w:t>
            </w:r>
          </w:p>
        </w:tc>
        <w:tc>
          <w:tcPr>
            <w:tcW w:w="888" w:type="dxa"/>
            <w:vAlign w:val="center"/>
          </w:tcPr>
          <w:p w14:paraId="204476B8">
            <w:pPr>
              <w:spacing w:line="240" w:lineRule="auto"/>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24C547EB">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2.95</w:t>
            </w:r>
          </w:p>
        </w:tc>
      </w:tr>
      <w:tr w14:paraId="5749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4F05009F">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w:t>
            </w:r>
          </w:p>
        </w:tc>
        <w:tc>
          <w:tcPr>
            <w:tcW w:w="1428" w:type="dxa"/>
            <w:vAlign w:val="center"/>
          </w:tcPr>
          <w:p w14:paraId="12FB9F25">
            <w:p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3升圆形锐器盒</w:t>
            </w:r>
            <w:r>
              <w:rPr>
                <w:rFonts w:hint="eastAsia" w:ascii="仿宋_GB2312" w:hAnsi="仿宋_GB2312" w:eastAsia="仿宋_GB2312" w:cs="仿宋_GB2312"/>
                <w:b w:val="0"/>
                <w:bCs w:val="0"/>
                <w:sz w:val="28"/>
                <w:szCs w:val="28"/>
                <w:lang w:val="en-US" w:eastAsia="zh-CN"/>
              </w:rPr>
              <w:drawing>
                <wp:inline distT="0" distB="0" distL="114300" distR="114300">
                  <wp:extent cx="769620" cy="628015"/>
                  <wp:effectExtent l="0" t="0" r="11430" b="635"/>
                  <wp:docPr id="6" name="图片 6" descr="微信图片_2023031709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317092901"/>
                          <pic:cNvPicPr>
                            <a:picLocks noChangeAspect="1"/>
                          </pic:cNvPicPr>
                        </pic:nvPicPr>
                        <pic:blipFill>
                          <a:blip r:embed="rId12"/>
                          <a:stretch>
                            <a:fillRect/>
                          </a:stretch>
                        </pic:blipFill>
                        <pic:spPr>
                          <a:xfrm>
                            <a:off x="0" y="0"/>
                            <a:ext cx="769620" cy="628015"/>
                          </a:xfrm>
                          <a:prstGeom prst="rect">
                            <a:avLst/>
                          </a:prstGeom>
                        </pic:spPr>
                      </pic:pic>
                    </a:graphicData>
                  </a:graphic>
                </wp:inline>
              </w:drawing>
            </w:r>
          </w:p>
        </w:tc>
        <w:tc>
          <w:tcPr>
            <w:tcW w:w="5187" w:type="dxa"/>
            <w:vAlign w:val="center"/>
          </w:tcPr>
          <w:p w14:paraId="2F8FC101">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盒体由黄红双色组成，盒体为上宽下窄的圆柱体状，可放置于护理推车锐器盒架内。</w:t>
            </w:r>
          </w:p>
          <w:p w14:paraId="4134490B">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该锐器盒在满足有效容积≥3升的情况下，允许高185mm（允许±10mm）、 最宽处直径170mm（允许±10mm）。</w:t>
            </w:r>
          </w:p>
          <w:p w14:paraId="5817FBE5">
            <w:pPr>
              <w:pStyle w:val="2"/>
              <w:spacing w:line="240" w:lineRule="auto"/>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该锐器盒必须采用全新的聚丙烯塑料（PP）制造而成，必须符合</w:t>
            </w:r>
            <w:r>
              <w:rPr>
                <w:rFonts w:hint="eastAsia" w:ascii="仿宋_GB2312" w:hAnsi="仿宋_GB2312" w:eastAsia="仿宋_GB2312" w:cs="仿宋_GB2312"/>
                <w:b w:val="0"/>
                <w:bCs w:val="0"/>
                <w:sz w:val="28"/>
                <w:szCs w:val="28"/>
              </w:rPr>
              <w:t>国家环境保护总局/卫生部发布HJ421-2008《医疗废物专用包装袋、</w:t>
            </w:r>
            <w:r>
              <w:rPr>
                <w:rFonts w:hint="eastAsia" w:ascii="仿宋_GB2312" w:hAnsi="仿宋_GB2312" w:eastAsia="仿宋_GB2312" w:cs="仿宋_GB2312"/>
                <w:b w:val="0"/>
                <w:bCs w:val="0"/>
                <w:sz w:val="28"/>
                <w:szCs w:val="28"/>
                <w:lang w:eastAsia="zh-CN"/>
              </w:rPr>
              <w:t>锐器盒</w:t>
            </w:r>
            <w:r>
              <w:rPr>
                <w:rFonts w:hint="eastAsia" w:ascii="仿宋_GB2312" w:hAnsi="仿宋_GB2312" w:eastAsia="仿宋_GB2312" w:cs="仿宋_GB2312"/>
                <w:b w:val="0"/>
                <w:bCs w:val="0"/>
                <w:sz w:val="28"/>
                <w:szCs w:val="28"/>
              </w:rPr>
              <w:t>警示</w:t>
            </w:r>
            <w:r>
              <w:rPr>
                <w:rFonts w:hint="eastAsia" w:ascii="仿宋_GB2312" w:hAnsi="仿宋_GB2312" w:eastAsia="仿宋_GB2312" w:cs="仿宋_GB2312"/>
                <w:b w:val="0"/>
                <w:bCs w:val="0"/>
                <w:sz w:val="28"/>
                <w:szCs w:val="28"/>
                <w:lang w:val="en-US" w:eastAsia="zh-CN"/>
              </w:rPr>
              <w:t>标志</w:t>
            </w:r>
            <w:r>
              <w:rPr>
                <w:rFonts w:hint="eastAsia" w:ascii="仿宋_GB2312" w:hAnsi="仿宋_GB2312" w:eastAsia="仿宋_GB2312" w:cs="仿宋_GB2312"/>
                <w:b w:val="0"/>
                <w:bCs w:val="0"/>
                <w:sz w:val="28"/>
                <w:szCs w:val="28"/>
              </w:rPr>
              <w:t>标准》</w:t>
            </w:r>
            <w:r>
              <w:rPr>
                <w:rFonts w:hint="eastAsia" w:ascii="仿宋_GB2312" w:hAnsi="仿宋_GB2312" w:eastAsia="仿宋_GB2312" w:cs="仿宋_GB2312"/>
                <w:b w:val="0"/>
                <w:bCs w:val="0"/>
                <w:sz w:val="28"/>
                <w:szCs w:val="28"/>
                <w:lang w:val="en-US" w:eastAsia="zh-CN"/>
              </w:rPr>
              <w:t>的要求</w:t>
            </w:r>
            <w:r>
              <w:rPr>
                <w:rFonts w:hint="eastAsia" w:ascii="仿宋_GB2312" w:hAnsi="仿宋_GB2312" w:eastAsia="仿宋_GB2312" w:cs="仿宋_GB2312"/>
                <w:b w:val="0"/>
                <w:bCs w:val="0"/>
                <w:sz w:val="28"/>
                <w:szCs w:val="28"/>
                <w:lang w:eastAsia="zh-CN"/>
              </w:rPr>
              <w:t>。</w:t>
            </w:r>
          </w:p>
        </w:tc>
        <w:tc>
          <w:tcPr>
            <w:tcW w:w="888" w:type="dxa"/>
            <w:vAlign w:val="center"/>
          </w:tcPr>
          <w:p w14:paraId="60FC550F">
            <w:pPr>
              <w:spacing w:line="240" w:lineRule="auto"/>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328ED4E7">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3.7</w:t>
            </w:r>
          </w:p>
        </w:tc>
      </w:tr>
      <w:tr w14:paraId="43ED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537C2638">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w:t>
            </w:r>
          </w:p>
        </w:tc>
        <w:tc>
          <w:tcPr>
            <w:tcW w:w="1428" w:type="dxa"/>
            <w:vAlign w:val="center"/>
          </w:tcPr>
          <w:p w14:paraId="3DFC5E30">
            <w:pPr>
              <w:spacing w:line="240" w:lineRule="auto"/>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8升方形锐器盒</w:t>
            </w:r>
          </w:p>
        </w:tc>
        <w:tc>
          <w:tcPr>
            <w:tcW w:w="5187" w:type="dxa"/>
            <w:vAlign w:val="center"/>
          </w:tcPr>
          <w:p w14:paraId="15F38CAF">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盒体由黄红双色组成，盒体为上宽下窄的长方体状，可放置于护理推车内。</w:t>
            </w:r>
          </w:p>
          <w:p w14:paraId="4E0F2385">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该锐器盒在满足有效容积≥8升的情况下，允许高165mm（允许±15mm）、长度300mm（允许±15mm）、 最宽处直径210mm（允许±15mm）。</w:t>
            </w:r>
          </w:p>
          <w:p w14:paraId="5B02B220">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该锐器盒必须采用全新的聚丙烯塑料（PP）制造而成，必须符合</w:t>
            </w:r>
            <w:r>
              <w:rPr>
                <w:rFonts w:hint="eastAsia" w:ascii="仿宋_GB2312" w:hAnsi="仿宋_GB2312" w:eastAsia="仿宋_GB2312" w:cs="仿宋_GB2312"/>
                <w:b w:val="0"/>
                <w:bCs w:val="0"/>
                <w:sz w:val="28"/>
                <w:szCs w:val="28"/>
              </w:rPr>
              <w:t>国家环境保护总局/卫生部发布HJ421-2008《医疗废物专用包装袋、</w:t>
            </w:r>
            <w:r>
              <w:rPr>
                <w:rFonts w:hint="eastAsia" w:ascii="仿宋_GB2312" w:hAnsi="仿宋_GB2312" w:eastAsia="仿宋_GB2312" w:cs="仿宋_GB2312"/>
                <w:b w:val="0"/>
                <w:bCs w:val="0"/>
                <w:sz w:val="28"/>
                <w:szCs w:val="28"/>
                <w:lang w:eastAsia="zh-CN"/>
              </w:rPr>
              <w:t>锐器盒</w:t>
            </w:r>
            <w:r>
              <w:rPr>
                <w:rFonts w:hint="eastAsia" w:ascii="仿宋_GB2312" w:hAnsi="仿宋_GB2312" w:eastAsia="仿宋_GB2312" w:cs="仿宋_GB2312"/>
                <w:b w:val="0"/>
                <w:bCs w:val="0"/>
                <w:sz w:val="28"/>
                <w:szCs w:val="28"/>
              </w:rPr>
              <w:t>警示</w:t>
            </w:r>
            <w:r>
              <w:rPr>
                <w:rFonts w:hint="eastAsia" w:ascii="仿宋_GB2312" w:hAnsi="仿宋_GB2312" w:eastAsia="仿宋_GB2312" w:cs="仿宋_GB2312"/>
                <w:b w:val="0"/>
                <w:bCs w:val="0"/>
                <w:sz w:val="28"/>
                <w:szCs w:val="28"/>
                <w:lang w:val="en-US" w:eastAsia="zh-CN"/>
              </w:rPr>
              <w:t>标志</w:t>
            </w:r>
            <w:r>
              <w:rPr>
                <w:rFonts w:hint="eastAsia" w:ascii="仿宋_GB2312" w:hAnsi="仿宋_GB2312" w:eastAsia="仿宋_GB2312" w:cs="仿宋_GB2312"/>
                <w:b w:val="0"/>
                <w:bCs w:val="0"/>
                <w:sz w:val="28"/>
                <w:szCs w:val="28"/>
              </w:rPr>
              <w:t>标准》</w:t>
            </w:r>
            <w:r>
              <w:rPr>
                <w:rFonts w:hint="eastAsia" w:ascii="仿宋_GB2312" w:hAnsi="仿宋_GB2312" w:eastAsia="仿宋_GB2312" w:cs="仿宋_GB2312"/>
                <w:b w:val="0"/>
                <w:bCs w:val="0"/>
                <w:sz w:val="28"/>
                <w:szCs w:val="28"/>
                <w:lang w:val="en-US" w:eastAsia="zh-CN"/>
              </w:rPr>
              <w:t>的要求</w:t>
            </w:r>
            <w:r>
              <w:rPr>
                <w:rFonts w:hint="eastAsia" w:ascii="仿宋_GB2312" w:hAnsi="仿宋_GB2312" w:eastAsia="仿宋_GB2312" w:cs="仿宋_GB2312"/>
                <w:b w:val="0"/>
                <w:bCs w:val="0"/>
                <w:sz w:val="28"/>
                <w:szCs w:val="28"/>
                <w:lang w:eastAsia="zh-CN"/>
              </w:rPr>
              <w:t>。</w:t>
            </w:r>
          </w:p>
        </w:tc>
        <w:tc>
          <w:tcPr>
            <w:tcW w:w="888" w:type="dxa"/>
            <w:vAlign w:val="center"/>
          </w:tcPr>
          <w:p w14:paraId="25A82007">
            <w:pPr>
              <w:spacing w:line="240" w:lineRule="auto"/>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5FE04757">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9.59</w:t>
            </w:r>
          </w:p>
        </w:tc>
      </w:tr>
      <w:tr w14:paraId="07BA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37594BD8">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w:t>
            </w:r>
          </w:p>
        </w:tc>
        <w:tc>
          <w:tcPr>
            <w:tcW w:w="1428" w:type="dxa"/>
            <w:vAlign w:val="center"/>
          </w:tcPr>
          <w:p w14:paraId="6C4CC7AC">
            <w:pPr>
              <w:spacing w:line="240" w:lineRule="auto"/>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15升方形锐器盒</w:t>
            </w:r>
          </w:p>
          <w:p w14:paraId="058DFF5F">
            <w:pPr>
              <w:pStyle w:val="22"/>
              <w:numPr>
                <w:ilvl w:val="4"/>
                <w:numId w:val="0"/>
              </w:num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drawing>
                <wp:inline distT="0" distB="0" distL="114300" distR="114300">
                  <wp:extent cx="765175" cy="554990"/>
                  <wp:effectExtent l="0" t="0" r="15875" b="16510"/>
                  <wp:docPr id="9" name="图片 9" descr="1681098639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81098639271"/>
                          <pic:cNvPicPr>
                            <a:picLocks noChangeAspect="1"/>
                          </pic:cNvPicPr>
                        </pic:nvPicPr>
                        <pic:blipFill>
                          <a:blip r:embed="rId13"/>
                          <a:stretch>
                            <a:fillRect/>
                          </a:stretch>
                        </pic:blipFill>
                        <pic:spPr>
                          <a:xfrm>
                            <a:off x="0" y="0"/>
                            <a:ext cx="765175" cy="554990"/>
                          </a:xfrm>
                          <a:prstGeom prst="rect">
                            <a:avLst/>
                          </a:prstGeom>
                        </pic:spPr>
                      </pic:pic>
                    </a:graphicData>
                  </a:graphic>
                </wp:inline>
              </w:drawing>
            </w:r>
          </w:p>
        </w:tc>
        <w:tc>
          <w:tcPr>
            <w:tcW w:w="5187" w:type="dxa"/>
            <w:vAlign w:val="center"/>
          </w:tcPr>
          <w:p w14:paraId="4A22598A">
            <w:p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盒体由黄红双色组成，盒体为上宽下窄的长方体状。</w:t>
            </w:r>
          </w:p>
          <w:p w14:paraId="13CE6D6A">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该锐器盒在满足有效容积≥15升的情况下，允许高300mm（允许±15mm）、长度305mm（允许±15mm）、 最宽处直径220mm（允许±15mm）。</w:t>
            </w:r>
          </w:p>
          <w:p w14:paraId="4E1FEC36">
            <w:pPr>
              <w:pStyle w:val="2"/>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该锐器盒必须采用全新的聚丙烯塑料（PP）制造而成，必须符合</w:t>
            </w:r>
            <w:r>
              <w:rPr>
                <w:rFonts w:hint="eastAsia" w:ascii="仿宋_GB2312" w:hAnsi="仿宋_GB2312" w:eastAsia="仿宋_GB2312" w:cs="仿宋_GB2312"/>
                <w:b w:val="0"/>
                <w:bCs w:val="0"/>
                <w:sz w:val="28"/>
                <w:szCs w:val="28"/>
              </w:rPr>
              <w:t>国家环境保护总局/卫生部发布HJ421-2008《医疗废物专用包装袋、</w:t>
            </w:r>
            <w:r>
              <w:rPr>
                <w:rFonts w:hint="eastAsia" w:ascii="仿宋_GB2312" w:hAnsi="仿宋_GB2312" w:eastAsia="仿宋_GB2312" w:cs="仿宋_GB2312"/>
                <w:b w:val="0"/>
                <w:bCs w:val="0"/>
                <w:sz w:val="28"/>
                <w:szCs w:val="28"/>
                <w:lang w:eastAsia="zh-CN"/>
              </w:rPr>
              <w:t>锐器盒</w:t>
            </w:r>
            <w:r>
              <w:rPr>
                <w:rFonts w:hint="eastAsia" w:ascii="仿宋_GB2312" w:hAnsi="仿宋_GB2312" w:eastAsia="仿宋_GB2312" w:cs="仿宋_GB2312"/>
                <w:b w:val="0"/>
                <w:bCs w:val="0"/>
                <w:sz w:val="28"/>
                <w:szCs w:val="28"/>
              </w:rPr>
              <w:t>警示</w:t>
            </w:r>
            <w:r>
              <w:rPr>
                <w:rFonts w:hint="eastAsia" w:ascii="仿宋_GB2312" w:hAnsi="仿宋_GB2312" w:eastAsia="仿宋_GB2312" w:cs="仿宋_GB2312"/>
                <w:b w:val="0"/>
                <w:bCs w:val="0"/>
                <w:sz w:val="28"/>
                <w:szCs w:val="28"/>
                <w:lang w:val="en-US" w:eastAsia="zh-CN"/>
              </w:rPr>
              <w:t>标志</w:t>
            </w:r>
            <w:r>
              <w:rPr>
                <w:rFonts w:hint="eastAsia" w:ascii="仿宋_GB2312" w:hAnsi="仿宋_GB2312" w:eastAsia="仿宋_GB2312" w:cs="仿宋_GB2312"/>
                <w:b w:val="0"/>
                <w:bCs w:val="0"/>
                <w:sz w:val="28"/>
                <w:szCs w:val="28"/>
              </w:rPr>
              <w:t>标准》</w:t>
            </w:r>
            <w:r>
              <w:rPr>
                <w:rFonts w:hint="eastAsia" w:ascii="仿宋_GB2312" w:hAnsi="仿宋_GB2312" w:eastAsia="仿宋_GB2312" w:cs="仿宋_GB2312"/>
                <w:b w:val="0"/>
                <w:bCs w:val="0"/>
                <w:sz w:val="28"/>
                <w:szCs w:val="28"/>
                <w:lang w:val="en-US" w:eastAsia="zh-CN"/>
              </w:rPr>
              <w:t>的要求</w:t>
            </w:r>
            <w:r>
              <w:rPr>
                <w:rFonts w:hint="eastAsia" w:ascii="仿宋_GB2312" w:hAnsi="仿宋_GB2312" w:eastAsia="仿宋_GB2312" w:cs="仿宋_GB2312"/>
                <w:b w:val="0"/>
                <w:bCs w:val="0"/>
                <w:sz w:val="28"/>
                <w:szCs w:val="28"/>
                <w:lang w:eastAsia="zh-CN"/>
              </w:rPr>
              <w:t>。</w:t>
            </w:r>
          </w:p>
        </w:tc>
        <w:tc>
          <w:tcPr>
            <w:tcW w:w="888" w:type="dxa"/>
            <w:vAlign w:val="center"/>
          </w:tcPr>
          <w:p w14:paraId="1519E8B2">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069F1CC6">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12.22</w:t>
            </w:r>
          </w:p>
        </w:tc>
      </w:tr>
      <w:tr w14:paraId="765F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8" w:type="dxa"/>
            <w:vAlign w:val="center"/>
          </w:tcPr>
          <w:p w14:paraId="6CE8BB58">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w:t>
            </w:r>
          </w:p>
        </w:tc>
        <w:tc>
          <w:tcPr>
            <w:tcW w:w="1428" w:type="dxa"/>
            <w:vAlign w:val="center"/>
          </w:tcPr>
          <w:p w14:paraId="7967067F">
            <w:pPr>
              <w:spacing w:line="24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急救人员便携锐器</w:t>
            </w:r>
            <w:r>
              <w:rPr>
                <w:rFonts w:hint="eastAsia" w:ascii="仿宋_GB2312" w:hAnsi="仿宋_GB2312" w:eastAsia="仿宋_GB2312" w:cs="仿宋_GB2312"/>
                <w:b w:val="0"/>
                <w:bCs w:val="0"/>
                <w:sz w:val="28"/>
                <w:szCs w:val="28"/>
              </w:rPr>
              <w:t>盒</w:t>
            </w:r>
            <w:r>
              <w:rPr>
                <w:rFonts w:hint="eastAsia" w:ascii="仿宋_GB2312" w:hAnsi="仿宋_GB2312" w:eastAsia="仿宋_GB2312" w:cs="仿宋_GB2312"/>
                <w:b w:val="0"/>
                <w:bCs w:val="0"/>
                <w:sz w:val="28"/>
                <w:szCs w:val="28"/>
                <w:lang w:val="en-US" w:eastAsia="zh-CN"/>
              </w:rPr>
              <w:drawing>
                <wp:inline distT="0" distB="0" distL="114300" distR="114300">
                  <wp:extent cx="811530" cy="811530"/>
                  <wp:effectExtent l="0" t="0" r="7620" b="7620"/>
                  <wp:docPr id="7" name="图片 7" descr="微信图片_20230315155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315155011"/>
                          <pic:cNvPicPr>
                            <a:picLocks noChangeAspect="1"/>
                          </pic:cNvPicPr>
                        </pic:nvPicPr>
                        <pic:blipFill>
                          <a:blip r:embed="rId14"/>
                          <a:stretch>
                            <a:fillRect/>
                          </a:stretch>
                        </pic:blipFill>
                        <pic:spPr>
                          <a:xfrm>
                            <a:off x="0" y="0"/>
                            <a:ext cx="811530" cy="811530"/>
                          </a:xfrm>
                          <a:prstGeom prst="rect">
                            <a:avLst/>
                          </a:prstGeom>
                        </pic:spPr>
                      </pic:pic>
                    </a:graphicData>
                  </a:graphic>
                </wp:inline>
              </w:drawing>
            </w:r>
          </w:p>
        </w:tc>
        <w:tc>
          <w:tcPr>
            <w:tcW w:w="5187" w:type="dxa"/>
            <w:vAlign w:val="center"/>
          </w:tcPr>
          <w:p w14:paraId="2CD06035">
            <w:pPr>
              <w:spacing w:line="240" w:lineRule="auto"/>
              <w:ind w:firstLine="560" w:firstLineChars="200"/>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sz w:val="28"/>
                <w:szCs w:val="28"/>
                <w:lang w:val="en-US" w:eastAsia="zh-CN"/>
              </w:rPr>
              <w:t>盒体由黄红双色组成，该盒用于急救人员便携携带，能放置于急救箱内。急救人员便携锐器盒在满足有效容积≥0.3升的情况下，允许高97mm（允许±15mm） 最宽处97mm（允许±15mm） 进深38mm</w:t>
            </w:r>
            <w:r>
              <w:rPr>
                <w:rFonts w:hint="eastAsia" w:ascii="仿宋_GB2312" w:hAnsi="仿宋_GB2312" w:eastAsia="仿宋_GB2312" w:cs="仿宋_GB2312"/>
                <w:b w:val="0"/>
                <w:bCs w:val="0"/>
                <w:color w:val="auto"/>
                <w:sz w:val="28"/>
                <w:szCs w:val="28"/>
                <w:u w:val="none"/>
                <w:lang w:val="en-US" w:eastAsia="zh-CN"/>
              </w:rPr>
              <w:t>（允许±10mm）。</w:t>
            </w:r>
          </w:p>
          <w:p w14:paraId="796C4C23">
            <w:pPr>
              <w:spacing w:line="240" w:lineRule="auto"/>
              <w:ind w:firstLine="560" w:firstLineChars="200"/>
              <w:rPr>
                <w:rFonts w:hint="eastAsia" w:ascii="仿宋_GB2312" w:hAnsi="仿宋_GB2312" w:eastAsia="仿宋_GB2312" w:cs="仿宋_GB2312"/>
                <w:b w:val="0"/>
                <w:bCs w:val="0"/>
                <w:sz w:val="28"/>
                <w:szCs w:val="28"/>
                <w:lang w:val="en-US"/>
              </w:rPr>
            </w:pPr>
            <w:r>
              <w:rPr>
                <w:rFonts w:hint="eastAsia" w:ascii="仿宋_GB2312" w:hAnsi="仿宋_GB2312" w:eastAsia="仿宋_GB2312" w:cs="仿宋_GB2312"/>
                <w:b w:val="0"/>
                <w:bCs w:val="0"/>
                <w:sz w:val="28"/>
                <w:szCs w:val="28"/>
                <w:lang w:val="en-US" w:eastAsia="zh-CN"/>
              </w:rPr>
              <w:t>锐器盒具有医疗废物图案，推拉式或按压式锁止，锐器盒口有效的保护装置，防止盒内的锐器回流、抛洒、泄露。</w:t>
            </w:r>
          </w:p>
        </w:tc>
        <w:tc>
          <w:tcPr>
            <w:tcW w:w="888" w:type="dxa"/>
            <w:vAlign w:val="center"/>
          </w:tcPr>
          <w:p w14:paraId="5C99D18C">
            <w:pPr>
              <w:spacing w:line="240" w:lineRule="auto"/>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5B294E7F">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1.72</w:t>
            </w:r>
          </w:p>
        </w:tc>
      </w:tr>
      <w:tr w14:paraId="232B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08" w:type="dxa"/>
            <w:vAlign w:val="center"/>
          </w:tcPr>
          <w:p w14:paraId="41A8842E">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w:t>
            </w:r>
          </w:p>
        </w:tc>
        <w:tc>
          <w:tcPr>
            <w:tcW w:w="1428" w:type="dxa"/>
            <w:vAlign w:val="center"/>
          </w:tcPr>
          <w:p w14:paraId="6455995F">
            <w:pPr>
              <w:spacing w:line="24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摆药盒</w:t>
            </w:r>
          </w:p>
          <w:p w14:paraId="2D7E8EFB">
            <w:pPr>
              <w:pStyle w:val="22"/>
              <w:numPr>
                <w:ilvl w:val="4"/>
                <w:numId w:val="0"/>
              </w:numPr>
              <w:spacing w:line="24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drawing>
                <wp:inline distT="0" distB="0" distL="114300" distR="114300">
                  <wp:extent cx="768350" cy="1024255"/>
                  <wp:effectExtent l="0" t="0" r="12700" b="4445"/>
                  <wp:docPr id="11" name="图片 11" descr="924146e0442ffb342e5332f713ec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24146e0442ffb342e5332f713ec858"/>
                          <pic:cNvPicPr>
                            <a:picLocks noChangeAspect="1"/>
                          </pic:cNvPicPr>
                        </pic:nvPicPr>
                        <pic:blipFill>
                          <a:blip r:embed="rId15"/>
                          <a:stretch>
                            <a:fillRect/>
                          </a:stretch>
                        </pic:blipFill>
                        <pic:spPr>
                          <a:xfrm>
                            <a:off x="0" y="0"/>
                            <a:ext cx="768350" cy="1024255"/>
                          </a:xfrm>
                          <a:prstGeom prst="rect">
                            <a:avLst/>
                          </a:prstGeom>
                        </pic:spPr>
                      </pic:pic>
                    </a:graphicData>
                  </a:graphic>
                </wp:inline>
              </w:drawing>
            </w:r>
          </w:p>
        </w:tc>
        <w:tc>
          <w:tcPr>
            <w:tcW w:w="5187" w:type="dxa"/>
            <w:vAlign w:val="center"/>
          </w:tcPr>
          <w:p w14:paraId="297172D4">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color w:val="000000"/>
                <w:kern w:val="0"/>
                <w:sz w:val="28"/>
                <w:szCs w:val="28"/>
                <w:lang w:val="en-US" w:eastAsia="zh-CN" w:bidi="ar"/>
              </w:rPr>
              <w:t>盒体长30.5cm 宽13cm 高10cm，各项尺寸</w:t>
            </w:r>
            <w:r>
              <w:rPr>
                <w:rFonts w:hint="eastAsia" w:ascii="仿宋_GB2312" w:hAnsi="仿宋_GB2312" w:eastAsia="仿宋_GB2312" w:cs="仿宋_GB2312"/>
                <w:b w:val="0"/>
                <w:bCs w:val="0"/>
                <w:sz w:val="28"/>
                <w:szCs w:val="28"/>
                <w:lang w:val="en-US" w:eastAsia="zh-CN"/>
              </w:rPr>
              <w:t>允许±15mm，</w:t>
            </w:r>
          </w:p>
          <w:p w14:paraId="233861A2">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sz w:val="28"/>
                <w:szCs w:val="28"/>
                <w:lang w:val="en-US" w:eastAsia="zh-CN"/>
              </w:rPr>
              <w:t>采用全新的聚丙烯塑料（PP）制造而成，厚实耐用，抗老化不变脆，从1米高度自由落体完整无裂痕。</w:t>
            </w:r>
          </w:p>
          <w:p w14:paraId="18C455C0">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表面光滑平整，没有明显凹陷，边缘及提手无毛刺。</w:t>
            </w:r>
          </w:p>
          <w:p w14:paraId="109FE393">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auto"/>
                <w:kern w:val="0"/>
                <w:sz w:val="28"/>
                <w:szCs w:val="28"/>
                <w:u w:val="single"/>
                <w:lang w:val="en-US" w:eastAsia="zh-CN" w:bidi="ar"/>
              </w:rPr>
              <w:t>盒底具有防滑功能。顶部四周有凹槽便于拿取，前端有可拆卸式铭牌区，可以更换药品名称卡片（需配备卡片）。</w:t>
            </w:r>
          </w:p>
        </w:tc>
        <w:tc>
          <w:tcPr>
            <w:tcW w:w="888" w:type="dxa"/>
            <w:vAlign w:val="center"/>
          </w:tcPr>
          <w:p w14:paraId="795A3C8B">
            <w:pPr>
              <w:spacing w:line="240" w:lineRule="auto"/>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642162CF">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6.4</w:t>
            </w:r>
          </w:p>
        </w:tc>
      </w:tr>
      <w:tr w14:paraId="7B38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08" w:type="dxa"/>
            <w:vAlign w:val="center"/>
          </w:tcPr>
          <w:p w14:paraId="7557AA39">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w:t>
            </w:r>
          </w:p>
        </w:tc>
        <w:tc>
          <w:tcPr>
            <w:tcW w:w="1428" w:type="dxa"/>
            <w:vAlign w:val="center"/>
          </w:tcPr>
          <w:p w14:paraId="442792DF">
            <w:pPr>
              <w:spacing w:line="24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大便器</w:t>
            </w:r>
          </w:p>
          <w:p w14:paraId="392777CA">
            <w:pPr>
              <w:pStyle w:val="22"/>
              <w:numPr>
                <w:ilvl w:val="4"/>
                <w:numId w:val="0"/>
              </w:numPr>
              <w:spacing w:line="240" w:lineRule="auto"/>
              <w:rPr>
                <w:rFonts w:hint="eastAsia" w:ascii="仿宋_GB2312" w:hAnsi="仿宋_GB2312" w:eastAsia="仿宋_GB2312" w:cs="仿宋_GB2312"/>
                <w:b w:val="0"/>
                <w:bCs w:val="0"/>
                <w:sz w:val="28"/>
                <w:szCs w:val="28"/>
                <w:lang w:val="en-US" w:eastAsia="zh-CN"/>
              </w:rPr>
            </w:pPr>
          </w:p>
        </w:tc>
        <w:tc>
          <w:tcPr>
            <w:tcW w:w="5187" w:type="dxa"/>
            <w:vAlign w:val="center"/>
          </w:tcPr>
          <w:p w14:paraId="526F546E">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便器长约35厘米，宽27厘米，高7.5厘米，</w:t>
            </w:r>
            <w:r>
              <w:rPr>
                <w:rFonts w:hint="eastAsia" w:ascii="仿宋_GB2312" w:hAnsi="仿宋_GB2312" w:eastAsia="仿宋_GB2312" w:cs="仿宋_GB2312"/>
                <w:b w:val="0"/>
                <w:bCs w:val="0"/>
                <w:color w:val="000000"/>
                <w:kern w:val="0"/>
                <w:sz w:val="28"/>
                <w:szCs w:val="28"/>
                <w:lang w:val="en-US" w:eastAsia="zh-CN" w:bidi="ar"/>
              </w:rPr>
              <w:t>各项尺寸</w:t>
            </w:r>
            <w:r>
              <w:rPr>
                <w:rFonts w:hint="eastAsia" w:ascii="仿宋_GB2312" w:hAnsi="仿宋_GB2312" w:eastAsia="仿宋_GB2312" w:cs="仿宋_GB2312"/>
                <w:b w:val="0"/>
                <w:bCs w:val="0"/>
                <w:sz w:val="28"/>
                <w:szCs w:val="28"/>
                <w:lang w:val="en-US" w:eastAsia="zh-CN"/>
              </w:rPr>
              <w:t>允许±30mm。</w:t>
            </w:r>
          </w:p>
          <w:p w14:paraId="67F83C0A">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便器一次吹塑成型，采用全新的聚丙烯塑料（PP）制造而成，厚实耐用，抗老化不变脆，从1米高度自由落体完整无裂痕。</w:t>
            </w:r>
          </w:p>
          <w:p w14:paraId="75F7565F">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表面光滑平整，没有明显凹陷，边缘及提手无毛刺。</w:t>
            </w:r>
          </w:p>
          <w:p w14:paraId="673C4DAB">
            <w:pPr>
              <w:keepNext w:val="0"/>
              <w:keepLines w:val="0"/>
              <w:widowControl/>
              <w:suppressLineNumbers w:val="0"/>
              <w:spacing w:line="240" w:lineRule="auto"/>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盒底具有防滑功能。顶部四周有凹槽便于拿取。</w:t>
            </w:r>
          </w:p>
          <w:p w14:paraId="380563E7">
            <w:pPr>
              <w:spacing w:line="240" w:lineRule="auto"/>
              <w:ind w:firstLine="560" w:firstLineChars="200"/>
              <w:rPr>
                <w:rFonts w:hint="eastAsia" w:ascii="仿宋_GB2312" w:hAnsi="仿宋_GB2312" w:eastAsia="仿宋_GB2312" w:cs="仿宋_GB2312"/>
                <w:b w:val="0"/>
                <w:bCs w:val="0"/>
                <w:sz w:val="28"/>
                <w:szCs w:val="28"/>
                <w:lang w:val="en-US"/>
              </w:rPr>
            </w:pPr>
            <w:r>
              <w:rPr>
                <w:rFonts w:hint="eastAsia" w:ascii="仿宋_GB2312" w:hAnsi="仿宋_GB2312" w:eastAsia="仿宋_GB2312" w:cs="仿宋_GB2312"/>
                <w:b w:val="0"/>
                <w:bCs w:val="0"/>
                <w:color w:val="auto"/>
                <w:sz w:val="28"/>
                <w:szCs w:val="28"/>
                <w:u w:val="single"/>
                <w:lang w:val="en-US" w:eastAsia="zh-CN"/>
              </w:rPr>
              <w:t>有盖大便器，每个便器采用独立密封袋包装，干净卫生。</w:t>
            </w:r>
          </w:p>
        </w:tc>
        <w:tc>
          <w:tcPr>
            <w:tcW w:w="888" w:type="dxa"/>
            <w:vAlign w:val="center"/>
          </w:tcPr>
          <w:p w14:paraId="487778B2">
            <w:pPr>
              <w:spacing w:line="240" w:lineRule="auto"/>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448EB658">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6.64</w:t>
            </w:r>
          </w:p>
        </w:tc>
      </w:tr>
      <w:tr w14:paraId="3E1E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08" w:type="dxa"/>
            <w:vAlign w:val="center"/>
          </w:tcPr>
          <w:p w14:paraId="6A103868">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w:t>
            </w:r>
          </w:p>
        </w:tc>
        <w:tc>
          <w:tcPr>
            <w:tcW w:w="1428" w:type="dxa"/>
            <w:vAlign w:val="center"/>
          </w:tcPr>
          <w:p w14:paraId="22515686">
            <w:pPr>
              <w:spacing w:line="24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小便器</w:t>
            </w:r>
          </w:p>
          <w:p w14:paraId="59065771">
            <w:pPr>
              <w:pStyle w:val="22"/>
              <w:numPr>
                <w:ilvl w:val="4"/>
                <w:numId w:val="0"/>
              </w:num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drawing>
                <wp:inline distT="0" distB="0" distL="114300" distR="114300">
                  <wp:extent cx="768350" cy="768350"/>
                  <wp:effectExtent l="0" t="0" r="12700" b="12700"/>
                  <wp:docPr id="10" name="图片 10" descr="4c2e766cfe05fcdeed0eab471f761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c2e766cfe05fcdeed0eab471f761a3"/>
                          <pic:cNvPicPr>
                            <a:picLocks noChangeAspect="1"/>
                          </pic:cNvPicPr>
                        </pic:nvPicPr>
                        <pic:blipFill>
                          <a:blip r:embed="rId16"/>
                          <a:stretch>
                            <a:fillRect/>
                          </a:stretch>
                        </pic:blipFill>
                        <pic:spPr>
                          <a:xfrm>
                            <a:off x="0" y="0"/>
                            <a:ext cx="768350" cy="768350"/>
                          </a:xfrm>
                          <a:prstGeom prst="rect">
                            <a:avLst/>
                          </a:prstGeom>
                        </pic:spPr>
                      </pic:pic>
                    </a:graphicData>
                  </a:graphic>
                </wp:inline>
              </w:drawing>
            </w:r>
          </w:p>
        </w:tc>
        <w:tc>
          <w:tcPr>
            <w:tcW w:w="5187" w:type="dxa"/>
            <w:vAlign w:val="center"/>
          </w:tcPr>
          <w:p w14:paraId="31B6E12E">
            <w:pPr>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小便器不含壶嘴、提手，仅装液体部分容积不低于800毫升，液体盒体部分长约16厘米，高约6厘米。</w:t>
            </w:r>
          </w:p>
          <w:p w14:paraId="73ADA19E">
            <w:pPr>
              <w:pStyle w:val="24"/>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顶端大提手，方便患者拿取，要求大开口、长壶嘴，患者使用方便。</w:t>
            </w:r>
          </w:p>
          <w:p w14:paraId="727B2563">
            <w:pPr>
              <w:pStyle w:val="24"/>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u w:val="single"/>
                <w:lang w:val="en-US" w:eastAsia="zh-CN"/>
              </w:rPr>
              <w:t>侧面有刻度，便于观察排尿量</w:t>
            </w:r>
            <w:r>
              <w:rPr>
                <w:rFonts w:hint="eastAsia" w:ascii="仿宋_GB2312" w:hAnsi="仿宋_GB2312" w:eastAsia="仿宋_GB2312" w:cs="仿宋_GB2312"/>
                <w:b w:val="0"/>
                <w:bCs w:val="0"/>
                <w:sz w:val="28"/>
                <w:szCs w:val="28"/>
                <w:lang w:val="en-US" w:eastAsia="zh-CN"/>
              </w:rPr>
              <w:t>。</w:t>
            </w:r>
          </w:p>
          <w:p w14:paraId="459222A0">
            <w:pPr>
              <w:pStyle w:val="24"/>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采用全新的聚丙烯塑料（PP）制造而成，厚实耐用，抗老化不变脆，从1米高度自由落体完整无裂痕。</w:t>
            </w:r>
          </w:p>
          <w:p w14:paraId="1829B669">
            <w:pPr>
              <w:pStyle w:val="24"/>
              <w:spacing w:line="240" w:lineRule="auto"/>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表面光滑平整，没有明显凹陷，边缘及提手无毛刺。盒底具有防滑功能</w:t>
            </w:r>
            <w:r>
              <w:rPr>
                <w:rFonts w:hint="eastAsia" w:ascii="仿宋_GB2312" w:hAnsi="仿宋_GB2312" w:eastAsia="仿宋_GB2312" w:cs="仿宋_GB2312"/>
                <w:b w:val="0"/>
                <w:bCs w:val="0"/>
                <w:sz w:val="28"/>
                <w:szCs w:val="28"/>
                <w:lang w:eastAsia="zh-CN"/>
              </w:rPr>
              <w:t>。</w:t>
            </w:r>
          </w:p>
          <w:p w14:paraId="71A0390C">
            <w:pPr>
              <w:spacing w:line="24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auto"/>
                <w:sz w:val="28"/>
                <w:szCs w:val="28"/>
                <w:u w:val="single"/>
                <w:lang w:val="en-US" w:eastAsia="zh-CN"/>
              </w:rPr>
              <w:t>每个小便器采用独立密封袋包装，干净卫生。</w:t>
            </w:r>
          </w:p>
        </w:tc>
        <w:tc>
          <w:tcPr>
            <w:tcW w:w="888" w:type="dxa"/>
            <w:vAlign w:val="center"/>
          </w:tcPr>
          <w:p w14:paraId="0FA7B517">
            <w:pPr>
              <w:spacing w:line="24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个</w:t>
            </w:r>
          </w:p>
        </w:tc>
        <w:tc>
          <w:tcPr>
            <w:tcW w:w="1242" w:type="dxa"/>
            <w:vAlign w:val="center"/>
          </w:tcPr>
          <w:p w14:paraId="73B8E19E">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1.8</w:t>
            </w:r>
          </w:p>
        </w:tc>
      </w:tr>
      <w:tr w14:paraId="1289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08" w:type="dxa"/>
            <w:vAlign w:val="center"/>
          </w:tcPr>
          <w:p w14:paraId="2AA7ED1F">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c>
          <w:tcPr>
            <w:tcW w:w="1428" w:type="dxa"/>
            <w:vAlign w:val="center"/>
          </w:tcPr>
          <w:p w14:paraId="02A65C3B">
            <w:pPr>
              <w:pStyle w:val="22"/>
              <w:numPr>
                <w:ilvl w:val="4"/>
                <w:numId w:val="0"/>
              </w:num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医用床刷</w:t>
            </w:r>
          </w:p>
        </w:tc>
        <w:tc>
          <w:tcPr>
            <w:tcW w:w="5187" w:type="dxa"/>
            <w:vAlign w:val="center"/>
          </w:tcPr>
          <w:p w14:paraId="08BCC5F2">
            <w:pPr>
              <w:spacing w:line="240" w:lineRule="auto"/>
              <w:ind w:firstLine="560" w:firstLineChars="200"/>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材质：ABS、海绵、无纺布。</w:t>
            </w:r>
          </w:p>
          <w:p w14:paraId="35C50E69">
            <w:pPr>
              <w:spacing w:line="240" w:lineRule="auto"/>
              <w:ind w:firstLine="560" w:firstLineChars="200"/>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尺寸：约22厘米长、13厘米高。</w:t>
            </w:r>
          </w:p>
          <w:p w14:paraId="3C3E89C8">
            <w:pPr>
              <w:pStyle w:val="24"/>
              <w:spacing w:line="24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color w:val="auto"/>
                <w:sz w:val="28"/>
                <w:szCs w:val="28"/>
                <w:u w:val="none"/>
                <w:lang w:val="en-US" w:eastAsia="zh-CN"/>
              </w:rPr>
              <w:t>货物具有</w:t>
            </w:r>
            <w:bookmarkStart w:id="24" w:name="_GoBack"/>
            <w:bookmarkEnd w:id="24"/>
            <w:r>
              <w:rPr>
                <w:rFonts w:hint="eastAsia" w:ascii="仿宋_GB2312" w:hAnsi="仿宋_GB2312" w:eastAsia="仿宋_GB2312" w:cs="仿宋_GB2312"/>
                <w:b w:val="0"/>
                <w:bCs w:val="0"/>
                <w:color w:val="auto"/>
                <w:sz w:val="28"/>
                <w:szCs w:val="28"/>
                <w:u w:val="none"/>
                <w:lang w:val="en-US" w:eastAsia="zh-CN"/>
              </w:rPr>
              <w:t>防滑握把，带夹，可快速反复更换一次性医用床刷套，用于病床消毒清除头发碎屑等病床污渍，防止交叉感染。</w:t>
            </w:r>
          </w:p>
        </w:tc>
        <w:tc>
          <w:tcPr>
            <w:tcW w:w="888" w:type="dxa"/>
            <w:vAlign w:val="center"/>
          </w:tcPr>
          <w:p w14:paraId="50A7C098">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把</w:t>
            </w:r>
          </w:p>
        </w:tc>
        <w:tc>
          <w:tcPr>
            <w:tcW w:w="1242" w:type="dxa"/>
            <w:vAlign w:val="center"/>
          </w:tcPr>
          <w:p w14:paraId="54B0B5BC">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15.5</w:t>
            </w:r>
          </w:p>
        </w:tc>
      </w:tr>
      <w:tr w14:paraId="125C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808" w:type="dxa"/>
            <w:vAlign w:val="center"/>
          </w:tcPr>
          <w:p w14:paraId="539B8283">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w:t>
            </w:r>
          </w:p>
        </w:tc>
        <w:tc>
          <w:tcPr>
            <w:tcW w:w="1428" w:type="dxa"/>
            <w:vAlign w:val="center"/>
          </w:tcPr>
          <w:p w14:paraId="7DF112CB">
            <w:pPr>
              <w:pStyle w:val="22"/>
              <w:numPr>
                <w:ilvl w:val="4"/>
                <w:numId w:val="0"/>
              </w:numPr>
              <w:spacing w:line="240" w:lineRule="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医用一次性床刷套</w:t>
            </w:r>
          </w:p>
        </w:tc>
        <w:tc>
          <w:tcPr>
            <w:tcW w:w="5187" w:type="dxa"/>
            <w:vAlign w:val="center"/>
          </w:tcPr>
          <w:p w14:paraId="1BCD99F8">
            <w:pPr>
              <w:spacing w:line="240" w:lineRule="auto"/>
              <w:ind w:firstLine="560" w:firstLineChars="200"/>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袋装、消毒密封包装（刷套约48条至50条一袋）。</w:t>
            </w:r>
          </w:p>
          <w:p w14:paraId="138B46E0">
            <w:pPr>
              <w:pStyle w:val="22"/>
              <w:spacing w:line="240" w:lineRule="auto"/>
              <w:rPr>
                <w:rFonts w:hint="eastAsia" w:ascii="仿宋_GB2312" w:hAnsi="仿宋_GB2312" w:eastAsia="仿宋_GB2312" w:cs="仿宋_GB2312"/>
                <w:b w:val="0"/>
                <w:bCs w:val="0"/>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材质：无毒聚乙烯薄膜、无纺布、消毒溶液。</w:t>
            </w:r>
          </w:p>
          <w:p w14:paraId="2B930C25">
            <w:pPr>
              <w:pStyle w:val="24"/>
              <w:spacing w:line="240" w:lineRule="auto"/>
              <w:ind w:firstLine="560" w:firstLineChars="200"/>
              <w:rPr>
                <w:rFonts w:hint="eastAsia" w:ascii="仿宋_GB2312" w:hAnsi="仿宋_GB2312" w:eastAsia="仿宋_GB2312" w:cs="仿宋_GB2312"/>
                <w:b w:val="0"/>
                <w:bCs w:val="0"/>
                <w:color w:val="auto"/>
                <w:sz w:val="28"/>
                <w:szCs w:val="28"/>
                <w:u w:val="none"/>
                <w:lang w:val="en-US" w:eastAsia="zh-CN"/>
              </w:rPr>
            </w:pPr>
            <w:r>
              <w:rPr>
                <w:rFonts w:hint="eastAsia" w:ascii="仿宋_GB2312" w:hAnsi="仿宋_GB2312" w:eastAsia="仿宋_GB2312" w:cs="仿宋_GB2312"/>
                <w:b w:val="0"/>
                <w:bCs w:val="0"/>
                <w:color w:val="auto"/>
                <w:sz w:val="28"/>
                <w:szCs w:val="28"/>
                <w:u w:val="none"/>
                <w:lang w:val="en-US" w:eastAsia="zh-CN"/>
              </w:rPr>
              <w:t>尺寸：约25厘米长、10厘米高。</w:t>
            </w:r>
          </w:p>
          <w:p w14:paraId="00FE48E6">
            <w:pPr>
              <w:pStyle w:val="24"/>
              <w:spacing w:line="240" w:lineRule="auto"/>
              <w:ind w:firstLine="560" w:firstLineChars="200"/>
              <w:rPr>
                <w:rFonts w:hint="eastAsia" w:ascii="仿宋_GB2312" w:hAnsi="仿宋_GB2312" w:eastAsia="仿宋_GB2312" w:cs="仿宋_GB2312"/>
                <w:b w:val="0"/>
                <w:bCs w:val="0"/>
                <w:color w:val="auto"/>
                <w:sz w:val="28"/>
                <w:szCs w:val="28"/>
                <w:u w:val="single"/>
                <w:lang w:val="en-US" w:eastAsia="zh-CN"/>
              </w:rPr>
            </w:pPr>
            <w:r>
              <w:rPr>
                <w:rFonts w:hint="eastAsia" w:ascii="仿宋_GB2312" w:hAnsi="仿宋_GB2312" w:eastAsia="仿宋_GB2312" w:cs="仿宋_GB2312"/>
                <w:b w:val="0"/>
                <w:bCs w:val="0"/>
                <w:color w:val="auto"/>
                <w:sz w:val="28"/>
                <w:szCs w:val="28"/>
                <w:u w:val="none"/>
                <w:lang w:val="en-US" w:eastAsia="zh-CN"/>
              </w:rPr>
              <w:t>一次性床刷套有效期12个月，无菌、搭配医用床刷用于病床消毒和清扫。</w:t>
            </w:r>
          </w:p>
        </w:tc>
        <w:tc>
          <w:tcPr>
            <w:tcW w:w="888" w:type="dxa"/>
            <w:vAlign w:val="center"/>
          </w:tcPr>
          <w:p w14:paraId="0A226F12">
            <w:pPr>
              <w:spacing w:line="240" w:lineRule="auto"/>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袋</w:t>
            </w:r>
          </w:p>
        </w:tc>
        <w:tc>
          <w:tcPr>
            <w:tcW w:w="1242" w:type="dxa"/>
            <w:vAlign w:val="center"/>
          </w:tcPr>
          <w:p w14:paraId="3751ECDB">
            <w:pPr>
              <w:keepNext w:val="0"/>
              <w:keepLines w:val="0"/>
              <w:widowControl/>
              <w:suppressLineNumbers w:val="0"/>
              <w:jc w:val="center"/>
              <w:textAlignment w:val="center"/>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12.5</w:t>
            </w:r>
          </w:p>
        </w:tc>
      </w:tr>
      <w:tr w14:paraId="12F1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9553" w:type="dxa"/>
            <w:gridSpan w:val="5"/>
            <w:vAlign w:val="center"/>
          </w:tcPr>
          <w:p w14:paraId="33DB004F">
            <w:pPr>
              <w:pStyle w:val="43"/>
              <w:widowControl/>
              <w:numPr>
                <w:ilvl w:val="0"/>
                <w:numId w:val="0"/>
              </w:numPr>
              <w:spacing w:line="360" w:lineRule="auto"/>
              <w:ind w:leftChars="0" w:firstLine="560" w:firstLineChars="200"/>
              <w:jc w:val="left"/>
              <w:rPr>
                <w:rFonts w:hint="eastAsia" w:ascii="仿宋_GB2312" w:hAnsi="仿宋_GB2312" w:eastAsia="仿宋_GB2312" w:cs="仿宋_GB2312"/>
                <w:i w:val="0"/>
                <w:iCs w:val="0"/>
                <w:color w:val="000000"/>
                <w:kern w:val="0"/>
                <w:sz w:val="28"/>
                <w:szCs w:val="28"/>
                <w:u w:val="none"/>
                <w:lang w:val="en-US" w:eastAsia="zh-CN" w:bidi="ar"/>
              </w:rPr>
            </w:pP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备注：供应商在参与遴选采购活动时须提供本项目所需的</w:t>
            </w:r>
            <w:r>
              <w:rPr>
                <w:rFonts w:hint="eastAsia" w:ascii="仿宋_GB2312" w:hAnsi="仿宋_GB2312" w:eastAsia="仿宋_GB2312" w:cs="仿宋_GB2312"/>
                <w:b w:val="0"/>
                <w:bCs w:val="0"/>
                <w:sz w:val="28"/>
                <w:szCs w:val="28"/>
                <w:lang w:val="en-US" w:eastAsia="zh-CN"/>
              </w:rPr>
              <w:t>3升圆形锐器盒的</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begin"/>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instrText xml:space="preserve"> HYPERLINK "https://www.baidu.com/link?url=8vhMXUv09UoCl6Vh_zZMcRakgfQEi4j0J8EqIyYz9yQSjIH9-gMuZEAJrb9Y19Uu&amp;wd=&amp;eqid=ce73a44d00016ea30000000363c6179c" \t "https://www.baidu.com/_blank" </w:instrTex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separate"/>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国家认证认可监督管理委员会</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fldChar w:fldCharType="end"/>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认可</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的</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第三方检测机构出具的检测报告复印件或扫描件，以佐证</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利器盒材质为</w:t>
            </w:r>
            <w:r>
              <w:rPr>
                <w:rFonts w:hint="eastAsia" w:ascii="仿宋_GB2312" w:hAnsi="仿宋_GB2312" w:eastAsia="仿宋_GB2312" w:cs="仿宋_GB2312"/>
                <w:b w:val="0"/>
                <w:bCs w:val="0"/>
                <w:sz w:val="28"/>
                <w:szCs w:val="28"/>
                <w:lang w:val="en-US" w:eastAsia="zh-CN"/>
              </w:rPr>
              <w:t>聚丙烯塑料（PP）</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供应商不提供检测报告或提供的</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检测报告</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内容</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不符合</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遴选文件利器盒材质</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要求</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的</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，视为</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供应商未响应</w:t>
            </w:r>
            <w:r>
              <w:rPr>
                <w:rStyle w:val="48"/>
                <w:rFonts w:hint="eastAsia" w:ascii="仿宋_GB2312" w:hAnsi="仿宋_GB2312" w:eastAsia="仿宋_GB2312" w:cs="仿宋_GB2312"/>
                <w:color w:val="000000" w:themeColor="text1"/>
                <w:sz w:val="28"/>
                <w:szCs w:val="28"/>
                <w:highlight w:val="none"/>
                <w14:textFill>
                  <w14:solidFill>
                    <w14:schemeClr w14:val="tx1"/>
                  </w14:solidFill>
                </w14:textFill>
              </w:rPr>
              <w:t>，</w:t>
            </w:r>
            <w:r>
              <w:rPr>
                <w:rStyle w:val="48"/>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该供应商成交资格作废。</w:t>
            </w:r>
          </w:p>
        </w:tc>
      </w:tr>
    </w:tbl>
    <w:p w14:paraId="15986FD9">
      <w:pPr>
        <w:pStyle w:val="35"/>
        <w:numPr>
          <w:ilvl w:val="0"/>
          <w:numId w:val="0"/>
        </w:numPr>
        <w:spacing w:line="560" w:lineRule="exact"/>
        <w:ind w:firstLine="562" w:firstLineChars="200"/>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三、锐器盒质量要求（技术要求）</w:t>
      </w:r>
    </w:p>
    <w:p w14:paraId="6929D2A5">
      <w:pPr>
        <w:pStyle w:val="43"/>
        <w:widowControl/>
        <w:numPr>
          <w:ilvl w:val="0"/>
          <w:numId w:val="0"/>
        </w:numPr>
        <w:spacing w:line="360" w:lineRule="auto"/>
        <w:ind w:leftChars="0"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kern w:val="0"/>
          <w:sz w:val="28"/>
          <w:szCs w:val="28"/>
          <w:lang w:val="en-US" w:eastAsia="zh-CN"/>
        </w:rPr>
        <w:t>（一）</w:t>
      </w:r>
      <w:r>
        <w:rPr>
          <w:rFonts w:hint="eastAsia" w:ascii="仿宋_GB2312" w:hAnsi="仿宋_GB2312" w:eastAsia="仿宋_GB2312" w:cs="仿宋_GB2312"/>
          <w:sz w:val="28"/>
          <w:szCs w:val="28"/>
          <w:lang w:val="en-US" w:eastAsia="zh-CN"/>
        </w:rPr>
        <w:t>根据国家环境保护总局/卫生部发布HJ421-2008《医疗废物专用包装袋、锐器盒警示标志标准》的要求，</w:t>
      </w:r>
      <w:r>
        <w:rPr>
          <w:rFonts w:hint="eastAsia" w:ascii="仿宋_GB2312" w:hAnsi="仿宋_GB2312" w:eastAsia="仿宋_GB2312" w:cs="仿宋_GB2312"/>
          <w:color w:val="000000"/>
          <w:kern w:val="0"/>
          <w:sz w:val="28"/>
          <w:szCs w:val="28"/>
          <w:lang w:eastAsia="zh-CN"/>
        </w:rPr>
        <w:t>锐器盒</w:t>
      </w:r>
      <w:r>
        <w:rPr>
          <w:rFonts w:hint="eastAsia" w:ascii="仿宋_GB2312" w:hAnsi="仿宋_GB2312" w:eastAsia="仿宋_GB2312" w:cs="仿宋_GB2312"/>
          <w:color w:val="000000"/>
          <w:kern w:val="0"/>
          <w:sz w:val="28"/>
          <w:szCs w:val="28"/>
        </w:rPr>
        <w:t>的规格尺寸根据用户要求确定。</w:t>
      </w:r>
      <w:r>
        <w:rPr>
          <w:rFonts w:hint="eastAsia" w:ascii="仿宋_GB2312" w:hAnsi="仿宋_GB2312" w:eastAsia="仿宋_GB2312" w:cs="仿宋_GB2312"/>
          <w:bCs/>
          <w:sz w:val="28"/>
          <w:szCs w:val="28"/>
          <w:lang w:val="en-US" w:eastAsia="zh-CN"/>
        </w:rPr>
        <w:t>锐器盒</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按采购人要求印制文字内容为：“1、使用科室_____ ；2、使用日期</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；3、重量</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；4、</w:t>
      </w:r>
      <w:r>
        <w:rPr>
          <w:rFonts w:hint="eastAsia" w:ascii="仿宋_GB2312" w:hAnsi="仿宋_GB2312" w:eastAsia="仿宋_GB2312" w:cs="仿宋_GB2312"/>
          <w:color w:val="auto"/>
          <w:sz w:val="28"/>
          <w:szCs w:val="28"/>
          <w:lang w:val="en-US" w:eastAsia="zh-CN"/>
        </w:rPr>
        <w:t>盛装请勿超过此线”；5、警告：仅限容器七成 严禁强行塞入 超储。</w:t>
      </w:r>
    </w:p>
    <w:p w14:paraId="06EA8853">
      <w:pPr>
        <w:bidi w:val="0"/>
        <w:spacing w:line="360" w:lineRule="auto"/>
        <w:ind w:firstLine="560" w:firstLineChars="20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sz w:val="28"/>
          <w:szCs w:val="28"/>
          <w:lang w:val="en-US" w:eastAsia="zh-CN"/>
        </w:rPr>
        <w:t>（二）锐器盒必须</w:t>
      </w:r>
      <w:r>
        <w:rPr>
          <w:rFonts w:hint="eastAsia" w:ascii="仿宋_GB2312" w:hAnsi="仿宋_GB2312" w:eastAsia="仿宋_GB2312" w:cs="仿宋_GB2312"/>
          <w:sz w:val="28"/>
          <w:szCs w:val="28"/>
        </w:rPr>
        <w:t>采用全新</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聚丙烯塑料（PP）制造而成</w:t>
      </w:r>
      <w:r>
        <w:rPr>
          <w:rFonts w:hint="eastAsia" w:ascii="仿宋_GB2312" w:hAnsi="仿宋_GB2312" w:eastAsia="仿宋_GB2312" w:cs="仿宋_GB2312"/>
          <w:sz w:val="28"/>
          <w:szCs w:val="28"/>
          <w:lang w:eastAsia="zh-CN"/>
        </w:rPr>
        <w:t>，不应使用聚氯乙烯材料。</w:t>
      </w:r>
      <w:r>
        <w:rPr>
          <w:rFonts w:hint="eastAsia" w:ascii="仿宋_GB2312" w:hAnsi="仿宋_GB2312" w:eastAsia="仿宋_GB2312" w:cs="仿宋_GB2312"/>
          <w:sz w:val="28"/>
          <w:szCs w:val="28"/>
          <w:lang w:val="en-US" w:eastAsia="zh-CN"/>
        </w:rPr>
        <w:t>表面光滑平整，无毛刺。锐器盒整体颜色为淡黄，颜色应符合 GB/T 3181 中 Y06 的要求。</w:t>
      </w:r>
    </w:p>
    <w:p w14:paraId="54E5913D">
      <w:pPr>
        <w:bidi w:val="0"/>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kern w:val="0"/>
          <w:sz w:val="28"/>
          <w:szCs w:val="28"/>
          <w:lang w:val="en-US" w:eastAsia="zh-CN" w:bidi="ar"/>
        </w:rPr>
        <w:t>（三）锐器盒是用于盛装损伤性医疗废物的一次性专用硬质容器，</w:t>
      </w:r>
      <w:r>
        <w:rPr>
          <w:rFonts w:hint="eastAsia" w:ascii="仿宋_GB2312" w:hAnsi="仿宋_GB2312" w:eastAsia="仿宋_GB2312" w:cs="仿宋_GB2312"/>
          <w:sz w:val="28"/>
          <w:szCs w:val="28"/>
          <w:lang w:val="en-US" w:eastAsia="zh-CN"/>
        </w:rPr>
        <w:t>锐器</w:t>
      </w:r>
      <w:r>
        <w:rPr>
          <w:rFonts w:hint="eastAsia" w:ascii="仿宋_GB2312" w:hAnsi="仿宋_GB2312" w:eastAsia="仿宋_GB2312" w:cs="仿宋_GB2312"/>
          <w:sz w:val="28"/>
          <w:szCs w:val="28"/>
          <w:lang w:eastAsia="zh-CN"/>
        </w:rPr>
        <w:t>盒为一次性使用，</w:t>
      </w:r>
      <w:r>
        <w:rPr>
          <w:rFonts w:hint="eastAsia" w:ascii="仿宋_GB2312" w:hAnsi="仿宋_GB2312" w:eastAsia="仿宋_GB2312" w:cs="仿宋_GB2312"/>
          <w:sz w:val="28"/>
          <w:szCs w:val="28"/>
        </w:rPr>
        <w:t>使用方便、安全，无毒、</w:t>
      </w:r>
      <w:r>
        <w:rPr>
          <w:rFonts w:hint="eastAsia" w:ascii="仿宋_GB2312" w:hAnsi="仿宋_GB2312" w:eastAsia="仿宋_GB2312" w:cs="仿宋_GB2312"/>
          <w:sz w:val="28"/>
          <w:szCs w:val="28"/>
          <w:lang w:val="en-US" w:eastAsia="zh-CN"/>
        </w:rPr>
        <w:t>防</w:t>
      </w:r>
      <w:r>
        <w:rPr>
          <w:rFonts w:hint="eastAsia" w:ascii="仿宋_GB2312" w:hAnsi="仿宋_GB2312" w:eastAsia="仿宋_GB2312" w:cs="仿宋_GB2312"/>
          <w:sz w:val="28"/>
          <w:szCs w:val="28"/>
        </w:rPr>
        <w:t>穿刺、易于高温焚烧</w:t>
      </w:r>
      <w:r>
        <w:rPr>
          <w:rFonts w:hint="eastAsia" w:ascii="仿宋_GB2312" w:hAnsi="仿宋_GB2312" w:eastAsia="仿宋_GB2312" w:cs="仿宋_GB2312"/>
          <w:sz w:val="28"/>
          <w:szCs w:val="28"/>
          <w:lang w:eastAsia="zh-CN"/>
        </w:rPr>
        <w:t>。</w:t>
      </w:r>
    </w:p>
    <w:p w14:paraId="681624FE">
      <w:pPr>
        <w:pStyle w:val="43"/>
        <w:widowControl/>
        <w:numPr>
          <w:ilvl w:val="0"/>
          <w:numId w:val="0"/>
        </w:numPr>
        <w:spacing w:line="360" w:lineRule="auto"/>
        <w:ind w:leftChars="0"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（四）锐器盒</w:t>
      </w:r>
      <w:r>
        <w:rPr>
          <w:rFonts w:hint="eastAsia" w:ascii="仿宋_GB2312" w:hAnsi="仿宋_GB2312" w:eastAsia="仿宋_GB2312" w:cs="仿宋_GB2312"/>
          <w:color w:val="000000"/>
          <w:kern w:val="0"/>
          <w:sz w:val="28"/>
          <w:szCs w:val="28"/>
        </w:rPr>
        <w:t>在正常情况下，盒内盛装物不撒漏，</w:t>
      </w:r>
      <w:r>
        <w:rPr>
          <w:rFonts w:hint="eastAsia" w:ascii="仿宋_GB2312" w:hAnsi="仿宋_GB2312" w:eastAsia="仿宋_GB2312" w:cs="仿宋_GB2312"/>
          <w:sz w:val="28"/>
          <w:szCs w:val="28"/>
        </w:rPr>
        <w:t>安装使用后不能正常打开重复使用</w:t>
      </w:r>
      <w:r>
        <w:rPr>
          <w:rFonts w:hint="eastAsia" w:ascii="仿宋_GB2312" w:hAnsi="仿宋_GB2312" w:eastAsia="仿宋_GB2312" w:cs="仿宋_GB2312"/>
          <w:color w:val="000000"/>
          <w:kern w:val="0"/>
          <w:sz w:val="28"/>
          <w:szCs w:val="28"/>
        </w:rPr>
        <w:t>，并且</w:t>
      </w:r>
      <w:r>
        <w:rPr>
          <w:rFonts w:hint="eastAsia" w:ascii="仿宋_GB2312" w:hAnsi="仿宋_GB2312" w:eastAsia="仿宋_GB2312" w:cs="仿宋_GB2312"/>
          <w:color w:val="000000"/>
          <w:kern w:val="0"/>
          <w:sz w:val="28"/>
          <w:szCs w:val="28"/>
          <w:lang w:val="en-US" w:eastAsia="zh-CN"/>
        </w:rPr>
        <w:t>锐器盒</w:t>
      </w:r>
      <w:r>
        <w:rPr>
          <w:rFonts w:hint="eastAsia" w:ascii="仿宋_GB2312" w:hAnsi="仿宋_GB2312" w:eastAsia="仿宋_GB2312" w:cs="仿宋_GB2312"/>
          <w:color w:val="000000"/>
          <w:kern w:val="0"/>
          <w:sz w:val="28"/>
          <w:szCs w:val="28"/>
        </w:rPr>
        <w:t>一旦</w:t>
      </w:r>
      <w:r>
        <w:rPr>
          <w:rFonts w:hint="eastAsia" w:ascii="仿宋_GB2312" w:hAnsi="仿宋_GB2312" w:eastAsia="仿宋_GB2312" w:cs="仿宋_GB2312"/>
          <w:color w:val="000000"/>
          <w:kern w:val="0"/>
          <w:sz w:val="28"/>
          <w:szCs w:val="28"/>
          <w:lang w:val="en-US" w:eastAsia="zh-CN"/>
        </w:rPr>
        <w:t>封闭</w:t>
      </w:r>
      <w:r>
        <w:rPr>
          <w:rFonts w:hint="eastAsia" w:ascii="仿宋_GB2312" w:hAnsi="仿宋_GB2312" w:eastAsia="仿宋_GB2312" w:cs="仿宋_GB2312"/>
          <w:color w:val="000000"/>
          <w:kern w:val="0"/>
          <w:sz w:val="28"/>
          <w:szCs w:val="28"/>
        </w:rPr>
        <w:t>，封闭且防刺穿，利器盒内盛装物不撒漏，在不破坏的情况下无法被再次打开</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其盛装的注射器针头、玻璃碎片等锐利器具不能刺穿</w:t>
      </w:r>
      <w:r>
        <w:rPr>
          <w:rFonts w:hint="eastAsia" w:ascii="仿宋_GB2312" w:hAnsi="仿宋_GB2312" w:eastAsia="仿宋_GB2312" w:cs="仿宋_GB2312"/>
          <w:color w:val="000000"/>
          <w:kern w:val="0"/>
          <w:sz w:val="28"/>
          <w:szCs w:val="28"/>
          <w:lang w:eastAsia="zh-CN"/>
        </w:rPr>
        <w:t>锐器盒</w:t>
      </w:r>
      <w:r>
        <w:rPr>
          <w:rFonts w:hint="eastAsia" w:ascii="仿宋_GB2312" w:hAnsi="仿宋_GB2312" w:eastAsia="仿宋_GB2312" w:cs="仿宋_GB2312"/>
          <w:color w:val="000000"/>
          <w:kern w:val="0"/>
          <w:sz w:val="28"/>
          <w:szCs w:val="28"/>
        </w:rPr>
        <w:t>。</w:t>
      </w:r>
    </w:p>
    <w:p w14:paraId="3DFB6FDE">
      <w:pPr>
        <w:pStyle w:val="43"/>
        <w:widowControl/>
        <w:numPr>
          <w:ilvl w:val="0"/>
          <w:numId w:val="0"/>
        </w:numPr>
        <w:spacing w:line="360" w:lineRule="auto"/>
        <w:ind w:left="279" w:leftChars="133"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（五）锐器盒</w:t>
      </w:r>
      <w:r>
        <w:rPr>
          <w:rFonts w:hint="eastAsia" w:ascii="仿宋_GB2312" w:hAnsi="仿宋_GB2312" w:eastAsia="仿宋_GB2312" w:cs="仿宋_GB2312"/>
          <w:sz w:val="28"/>
          <w:szCs w:val="28"/>
        </w:rPr>
        <w:t>使用方法</w:t>
      </w:r>
    </w:p>
    <w:p w14:paraId="2D058380">
      <w:pPr>
        <w:pStyle w:val="43"/>
        <w:widowControl/>
        <w:numPr>
          <w:ilvl w:val="0"/>
          <w:numId w:val="0"/>
        </w:numPr>
        <w:spacing w:line="360" w:lineRule="auto"/>
        <w:ind w:left="279" w:leftChars="133"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安装</w:t>
      </w:r>
      <w:r>
        <w:rPr>
          <w:rFonts w:hint="eastAsia" w:ascii="仿宋_GB2312" w:hAnsi="仿宋_GB2312" w:eastAsia="仿宋_GB2312" w:cs="仿宋_GB2312"/>
          <w:sz w:val="28"/>
          <w:szCs w:val="28"/>
          <w:lang w:eastAsia="zh-CN"/>
        </w:rPr>
        <w:t>锐器盒</w:t>
      </w:r>
      <w:r>
        <w:rPr>
          <w:rFonts w:hint="eastAsia" w:ascii="仿宋_GB2312" w:hAnsi="仿宋_GB2312" w:eastAsia="仿宋_GB2312" w:cs="仿宋_GB2312"/>
          <w:sz w:val="28"/>
          <w:szCs w:val="28"/>
        </w:rPr>
        <w:t>：将盒体与盒盖对接用力下压安装成整体。</w:t>
      </w:r>
    </w:p>
    <w:p w14:paraId="4A78F7E4">
      <w:pPr>
        <w:pStyle w:val="43"/>
        <w:widowControl/>
        <w:numPr>
          <w:ilvl w:val="0"/>
          <w:numId w:val="0"/>
        </w:numPr>
        <w:spacing w:line="360" w:lineRule="auto"/>
        <w:ind w:leftChars="266"/>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锐器盒使用时</w:t>
      </w:r>
      <w:r>
        <w:rPr>
          <w:rFonts w:hint="eastAsia" w:ascii="仿宋_GB2312" w:hAnsi="仿宋_GB2312" w:eastAsia="仿宋_GB2312" w:cs="仿宋_GB2312"/>
          <w:sz w:val="28"/>
          <w:szCs w:val="28"/>
        </w:rPr>
        <w:t>，可开启或闭合</w:t>
      </w:r>
      <w:r>
        <w:rPr>
          <w:rFonts w:hint="eastAsia" w:ascii="仿宋_GB2312" w:hAnsi="仿宋_GB2312" w:eastAsia="仿宋_GB2312" w:cs="仿宋_GB2312"/>
          <w:sz w:val="28"/>
          <w:szCs w:val="28"/>
          <w:lang w:eastAsia="zh-CN"/>
        </w:rPr>
        <w:t>锐器盒</w:t>
      </w:r>
      <w:r>
        <w:rPr>
          <w:rFonts w:hint="eastAsia" w:ascii="仿宋_GB2312" w:hAnsi="仿宋_GB2312" w:eastAsia="仿宋_GB2312" w:cs="仿宋_GB2312"/>
          <w:sz w:val="28"/>
          <w:szCs w:val="28"/>
        </w:rPr>
        <w:t>。　</w:t>
      </w:r>
    </w:p>
    <w:p w14:paraId="3F644A81">
      <w:pPr>
        <w:pStyle w:val="43"/>
        <w:widowControl/>
        <w:numPr>
          <w:ilvl w:val="0"/>
          <w:numId w:val="0"/>
        </w:numPr>
        <w:spacing w:line="360" w:lineRule="auto"/>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当</w:t>
      </w:r>
      <w:r>
        <w:rPr>
          <w:rFonts w:hint="eastAsia" w:ascii="仿宋_GB2312" w:hAnsi="仿宋_GB2312" w:eastAsia="仿宋_GB2312" w:cs="仿宋_GB2312"/>
          <w:sz w:val="28"/>
          <w:szCs w:val="28"/>
          <w:lang w:val="en-US" w:eastAsia="zh-CN"/>
        </w:rPr>
        <w:t>锐器盒</w:t>
      </w:r>
      <w:r>
        <w:rPr>
          <w:rFonts w:hint="eastAsia" w:ascii="仿宋_GB2312" w:hAnsi="仿宋_GB2312" w:eastAsia="仿宋_GB2312" w:cs="仿宋_GB2312"/>
          <w:sz w:val="28"/>
          <w:szCs w:val="28"/>
        </w:rPr>
        <w:t>被盛满至容积的70％时，应封闭</w:t>
      </w:r>
      <w:r>
        <w:rPr>
          <w:rFonts w:hint="eastAsia" w:ascii="仿宋_GB2312" w:hAnsi="仿宋_GB2312" w:eastAsia="仿宋_GB2312" w:cs="仿宋_GB2312"/>
          <w:sz w:val="28"/>
          <w:szCs w:val="28"/>
          <w:lang w:val="en-US" w:eastAsia="zh-CN"/>
        </w:rPr>
        <w:t>锐器盒</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锐器盒锁定后，无法再被开启</w:t>
      </w:r>
      <w:r>
        <w:rPr>
          <w:rFonts w:hint="eastAsia" w:ascii="仿宋_GB2312" w:hAnsi="仿宋_GB2312" w:eastAsia="仿宋_GB2312" w:cs="仿宋_GB2312"/>
          <w:sz w:val="28"/>
          <w:szCs w:val="28"/>
        </w:rPr>
        <w:t>。</w:t>
      </w:r>
    </w:p>
    <w:p w14:paraId="54AEC7E4">
      <w:pPr>
        <w:pStyle w:val="43"/>
        <w:widowControl/>
        <w:numPr>
          <w:ilvl w:val="0"/>
          <w:numId w:val="0"/>
        </w:numPr>
        <w:spacing w:line="360" w:lineRule="auto"/>
        <w:ind w:leftChars="0"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u w:val="single"/>
          <w:lang w:val="en-US" w:eastAsia="zh-CN" w:bidi="ar"/>
        </w:rPr>
        <w:t>（六）满盛装量（</w:t>
      </w:r>
      <w:r>
        <w:rPr>
          <w:rFonts w:hint="eastAsia" w:ascii="仿宋_GB2312" w:hAnsi="仿宋_GB2312" w:eastAsia="仿宋_GB2312" w:cs="仿宋_GB2312"/>
          <w:sz w:val="28"/>
          <w:szCs w:val="28"/>
          <w:u w:val="single"/>
        </w:rPr>
        <w:t>至容积的70％</w:t>
      </w:r>
      <w:r>
        <w:rPr>
          <w:rFonts w:hint="eastAsia" w:ascii="仿宋_GB2312" w:hAnsi="仿宋_GB2312" w:eastAsia="仿宋_GB2312" w:cs="仿宋_GB2312"/>
          <w:color w:val="000000"/>
          <w:kern w:val="0"/>
          <w:sz w:val="28"/>
          <w:szCs w:val="28"/>
          <w:u w:val="single"/>
          <w:lang w:val="en-US" w:eastAsia="zh-CN" w:bidi="ar"/>
        </w:rPr>
        <w:t xml:space="preserve">）的锐器盒从 1.2m 高处自由跌落至水泥地面，连续 3 次，不会出现破裂、被刺穿等情况。 </w:t>
      </w:r>
    </w:p>
    <w:p w14:paraId="5716ABEA">
      <w:pPr>
        <w:pStyle w:val="43"/>
        <w:widowControl/>
        <w:numPr>
          <w:ilvl w:val="0"/>
          <w:numId w:val="0"/>
        </w:numPr>
        <w:spacing w:line="360" w:lineRule="auto"/>
        <w:ind w:leftChars="0"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七</w:t>
      </w:r>
      <w:r>
        <w:rPr>
          <w:rFonts w:hint="eastAsia" w:ascii="仿宋_GB2312" w:hAnsi="仿宋_GB2312" w:eastAsia="仿宋_GB2312" w:cs="仿宋_GB2312"/>
          <w:color w:val="000000"/>
          <w:kern w:val="0"/>
          <w:sz w:val="28"/>
          <w:szCs w:val="28"/>
          <w:lang w:eastAsia="zh-CN"/>
        </w:rPr>
        <w:t>）锐器盒</w:t>
      </w:r>
      <w:r>
        <w:rPr>
          <w:rFonts w:hint="eastAsia" w:ascii="仿宋_GB2312" w:hAnsi="仿宋_GB2312" w:eastAsia="仿宋_GB2312" w:cs="仿宋_GB2312"/>
          <w:color w:val="000000"/>
          <w:kern w:val="0"/>
          <w:sz w:val="28"/>
          <w:szCs w:val="28"/>
        </w:rPr>
        <w:t>整体颜色为淡黄，</w:t>
      </w:r>
      <w:r>
        <w:rPr>
          <w:rFonts w:hint="eastAsia" w:ascii="仿宋_GB2312" w:hAnsi="仿宋_GB2312" w:eastAsia="仿宋_GB2312" w:cs="仿宋_GB2312"/>
          <w:color w:val="000000"/>
          <w:kern w:val="0"/>
          <w:sz w:val="28"/>
          <w:szCs w:val="28"/>
          <w:lang w:eastAsia="zh-CN"/>
        </w:rPr>
        <w:t>锐器盒</w:t>
      </w:r>
      <w:r>
        <w:rPr>
          <w:rFonts w:hint="eastAsia" w:ascii="仿宋_GB2312" w:hAnsi="仿宋_GB2312" w:eastAsia="仿宋_GB2312" w:cs="仿宋_GB2312"/>
          <w:color w:val="000000"/>
          <w:kern w:val="0"/>
          <w:sz w:val="28"/>
          <w:szCs w:val="28"/>
        </w:rPr>
        <w:t>侧面明显处应</w:t>
      </w:r>
      <w:r>
        <w:rPr>
          <w:rFonts w:hint="eastAsia" w:ascii="仿宋_GB2312" w:hAnsi="仿宋_GB2312" w:eastAsia="仿宋_GB2312" w:cs="仿宋_GB2312"/>
          <w:color w:val="000000"/>
          <w:kern w:val="0"/>
          <w:sz w:val="28"/>
          <w:szCs w:val="28"/>
          <w:lang w:val="en-US" w:eastAsia="zh-CN"/>
        </w:rPr>
        <w:t>具有</w:t>
      </w:r>
      <w:r>
        <w:rPr>
          <w:rFonts w:hint="eastAsia" w:ascii="仿宋_GB2312" w:hAnsi="仿宋_GB2312" w:eastAsia="仿宋_GB2312" w:cs="仿宋_GB2312"/>
          <w:color w:val="000000"/>
          <w:kern w:val="0"/>
          <w:sz w:val="28"/>
          <w:szCs w:val="28"/>
        </w:rPr>
        <w:t>警示标志</w:t>
      </w:r>
      <w:r>
        <w:rPr>
          <w:rFonts w:hint="eastAsia" w:ascii="仿宋_GB2312" w:hAnsi="仿宋_GB2312" w:eastAsia="仿宋_GB2312" w:cs="仿宋_GB2312"/>
          <w:color w:val="000000"/>
          <w:kern w:val="0"/>
          <w:sz w:val="28"/>
          <w:szCs w:val="28"/>
          <w:lang w:val="en-US" w:eastAsia="zh-CN"/>
        </w:rPr>
        <w:t>和</w:t>
      </w:r>
      <w:r>
        <w:rPr>
          <w:rFonts w:hint="eastAsia" w:ascii="仿宋_GB2312" w:hAnsi="仿宋_GB2312" w:eastAsia="仿宋_GB2312" w:cs="仿宋_GB2312"/>
          <w:color w:val="000000"/>
          <w:kern w:val="0"/>
          <w:sz w:val="28"/>
          <w:szCs w:val="28"/>
        </w:rPr>
        <w:t>警告语</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警告语内容</w:t>
      </w:r>
      <w:r>
        <w:rPr>
          <w:rFonts w:hint="eastAsia" w:ascii="仿宋_GB2312" w:hAnsi="仿宋_GB2312" w:eastAsia="仿宋_GB2312" w:cs="仿宋_GB2312"/>
          <w:color w:val="000000"/>
          <w:kern w:val="0"/>
          <w:sz w:val="28"/>
          <w:szCs w:val="28"/>
        </w:rPr>
        <w:t>为</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警告！损伤性废物</w:t>
      </w:r>
      <w:r>
        <w:rPr>
          <w:rFonts w:hint="eastAsia" w:ascii="仿宋_GB2312" w:hAnsi="仿宋_GB2312" w:eastAsia="仿宋_GB2312" w:cs="仿宋_GB2312"/>
          <w:color w:val="000000"/>
          <w:kern w:val="0"/>
          <w:sz w:val="28"/>
          <w:szCs w:val="28"/>
          <w:lang w:val="en-US" w:eastAsia="zh-CN"/>
        </w:rPr>
        <w:t xml:space="preserve"> Warning!</w:t>
      </w:r>
      <w:r>
        <w:rPr>
          <w:rFonts w:hint="eastAsia" w:ascii="仿宋_GB2312" w:hAnsi="仿宋_GB2312" w:eastAsia="仿宋_GB2312" w:cs="仿宋_GB2312"/>
          <w:i w:val="0"/>
          <w:iCs w:val="0"/>
          <w:caps w:val="0"/>
          <w:color w:val="333333"/>
          <w:spacing w:val="0"/>
          <w:sz w:val="28"/>
          <w:szCs w:val="28"/>
          <w:u w:val="none"/>
          <w:shd w:val="clear" w:fill="FFFFFF"/>
          <w:lang w:val="en-US" w:eastAsia="zh-CN"/>
        </w:rPr>
        <w:t>D</w:t>
      </w:r>
      <w:r>
        <w:rPr>
          <w:rFonts w:hint="eastAsia" w:ascii="仿宋_GB2312" w:hAnsi="仿宋_GB2312" w:eastAsia="仿宋_GB2312" w:cs="仿宋_GB2312"/>
          <w:i w:val="0"/>
          <w:iCs w:val="0"/>
          <w:caps w:val="0"/>
          <w:color w:val="333333"/>
          <w:spacing w:val="0"/>
          <w:sz w:val="28"/>
          <w:szCs w:val="28"/>
          <w:u w:val="none"/>
          <w:shd w:val="clear" w:fill="FFFFFF"/>
        </w:rPr>
        <w:t>amage medical waste</w:t>
      </w:r>
      <w:r>
        <w:rPr>
          <w:rFonts w:hint="eastAsia" w:ascii="仿宋_GB2312" w:hAnsi="仿宋_GB2312" w:eastAsia="仿宋_GB2312" w:cs="仿宋_GB2312"/>
          <w:i w:val="0"/>
          <w:iCs w:val="0"/>
          <w:caps w:val="0"/>
          <w:color w:val="333333"/>
          <w:spacing w:val="0"/>
          <w:sz w:val="28"/>
          <w:szCs w:val="28"/>
          <w:u w:val="none"/>
          <w:shd w:val="clear" w:fill="FFFFFF"/>
          <w:lang w:eastAsia="zh-CN"/>
        </w:rPr>
        <w:t>”</w:t>
      </w:r>
      <w:r>
        <w:rPr>
          <w:rFonts w:hint="eastAsia" w:ascii="仿宋_GB2312" w:hAnsi="仿宋_GB2312" w:eastAsia="仿宋_GB2312" w:cs="仿宋_GB2312"/>
          <w:i w:val="0"/>
          <w:iCs w:val="0"/>
          <w:caps w:val="0"/>
          <w:color w:val="333333"/>
          <w:spacing w:val="0"/>
          <w:sz w:val="28"/>
          <w:szCs w:val="28"/>
          <w:u w:val="none"/>
          <w:shd w:val="clear" w:fill="FFFFFF"/>
        </w:rPr>
        <w:t xml:space="preserve"> </w:t>
      </w:r>
      <w:r>
        <w:rPr>
          <w:rFonts w:hint="eastAsia" w:ascii="仿宋_GB2312" w:hAnsi="仿宋_GB2312" w:eastAsia="仿宋_GB2312" w:cs="仿宋_GB2312"/>
          <w:color w:val="000000"/>
          <w:kern w:val="0"/>
          <w:sz w:val="28"/>
          <w:szCs w:val="28"/>
        </w:rPr>
        <w:t>。</w:t>
      </w:r>
    </w:p>
    <w:p w14:paraId="5EE6D582">
      <w:pPr>
        <w:pStyle w:val="43"/>
        <w:widowControl/>
        <w:numPr>
          <w:ilvl w:val="0"/>
          <w:numId w:val="0"/>
        </w:num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（八）锐器盒必须具有规范的警示标志和警告语，根据国家环境保护总局/卫生部发布HJ421-2008《医疗废物专用包装袋、锐器盒警示标志标准》，其要求如下：</w:t>
      </w:r>
    </w:p>
    <w:p w14:paraId="6C750952">
      <w:pPr>
        <w:pStyle w:val="43"/>
        <w:widowControl/>
        <w:numPr>
          <w:ilvl w:val="0"/>
          <w:numId w:val="0"/>
        </w:numPr>
        <w:spacing w:line="360" w:lineRule="auto"/>
        <w:ind w:firstLine="560" w:firstLineChars="20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drawing>
          <wp:inline distT="0" distB="0" distL="114300" distR="114300">
            <wp:extent cx="2633980" cy="1924685"/>
            <wp:effectExtent l="0" t="0" r="13970" b="18415"/>
            <wp:docPr id="8" name="图片 8" descr="微信图片_2023031515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30315151009"/>
                    <pic:cNvPicPr>
                      <a:picLocks noChangeAspect="1"/>
                    </pic:cNvPicPr>
                  </pic:nvPicPr>
                  <pic:blipFill>
                    <a:blip r:embed="rId17"/>
                    <a:stretch>
                      <a:fillRect/>
                    </a:stretch>
                  </pic:blipFill>
                  <pic:spPr>
                    <a:xfrm>
                      <a:off x="0" y="0"/>
                      <a:ext cx="2633980" cy="1924685"/>
                    </a:xfrm>
                    <a:prstGeom prst="rect">
                      <a:avLst/>
                    </a:prstGeom>
                  </pic:spPr>
                </pic:pic>
              </a:graphicData>
            </a:graphic>
          </wp:inline>
        </w:drawing>
      </w:r>
    </w:p>
    <w:p w14:paraId="45EC34D2">
      <w:pPr>
        <w:pStyle w:val="43"/>
        <w:widowControl/>
        <w:numPr>
          <w:ilvl w:val="0"/>
          <w:numId w:val="0"/>
        </w:numPr>
        <w:spacing w:line="360" w:lineRule="auto"/>
        <w:ind w:firstLine="560" w:firstLineChars="20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auto"/>
          <w:kern w:val="0"/>
          <w:sz w:val="28"/>
          <w:szCs w:val="28"/>
          <w:lang w:val="en-US" w:eastAsia="zh-CN" w:bidi="ar"/>
        </w:rPr>
        <w:t>锐器盒</w:t>
      </w:r>
      <w:r>
        <w:rPr>
          <w:rFonts w:hint="eastAsia" w:ascii="仿宋_GB2312" w:hAnsi="仿宋_GB2312" w:eastAsia="仿宋_GB2312" w:cs="仿宋_GB2312"/>
          <w:color w:val="auto"/>
          <w:kern w:val="0"/>
          <w:sz w:val="28"/>
          <w:szCs w:val="28"/>
        </w:rPr>
        <w:t>侧面明显处</w:t>
      </w:r>
      <w:r>
        <w:rPr>
          <w:rFonts w:hint="eastAsia" w:ascii="仿宋_GB2312" w:hAnsi="仿宋_GB2312" w:eastAsia="仿宋_GB2312" w:cs="仿宋_GB2312"/>
          <w:color w:val="auto"/>
          <w:kern w:val="0"/>
          <w:sz w:val="28"/>
          <w:szCs w:val="28"/>
          <w:lang w:val="en-US" w:eastAsia="zh-CN" w:bidi="ar"/>
        </w:rPr>
        <w:t>应有上图规范警示标志</w:t>
      </w:r>
      <w:r>
        <w:rPr>
          <w:rFonts w:hint="eastAsia" w:ascii="仿宋_GB2312" w:hAnsi="仿宋_GB2312" w:eastAsia="仿宋_GB2312" w:cs="仿宋_GB2312"/>
          <w:color w:val="000000"/>
          <w:kern w:val="0"/>
          <w:sz w:val="28"/>
          <w:szCs w:val="28"/>
          <w:lang w:val="en-US" w:eastAsia="zh-CN" w:bidi="ar"/>
        </w:rPr>
        <w:t>）</w:t>
      </w:r>
    </w:p>
    <w:p w14:paraId="4FBA79AA">
      <w:pPr>
        <w:pStyle w:val="43"/>
        <w:widowControl/>
        <w:numPr>
          <w:ilvl w:val="0"/>
          <w:numId w:val="0"/>
        </w:numPr>
        <w:spacing w:line="360" w:lineRule="auto"/>
        <w:ind w:firstLine="560" w:firstLineChars="200"/>
        <w:jc w:val="left"/>
        <w:rPr>
          <w:rFonts w:hint="eastAsia" w:ascii="仿宋_GB2312" w:hAnsi="仿宋_GB2312" w:eastAsia="仿宋_GB2312" w:cs="仿宋_GB2312"/>
          <w:color w:val="000000"/>
          <w:kern w:val="0"/>
          <w:sz w:val="28"/>
          <w:szCs w:val="28"/>
          <w:lang w:val="en-US" w:eastAsia="zh-CN" w:bidi="ar"/>
        </w:rPr>
      </w:pPr>
    </w:p>
    <w:p w14:paraId="5BF8D20C">
      <w:pPr>
        <w:keepNext w:val="0"/>
        <w:keepLines w:val="0"/>
        <w:widowControl/>
        <w:numPr>
          <w:ilvl w:val="0"/>
          <w:numId w:val="9"/>
        </w:numPr>
        <w:suppressLineNumbers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警示标志与警告语组合使用，其中</w:t>
      </w:r>
      <w:r>
        <w:rPr>
          <w:rFonts w:hint="eastAsia" w:ascii="仿宋_GB2312" w:hAnsi="仿宋_GB2312" w:eastAsia="仿宋_GB2312" w:cs="仿宋_GB2312"/>
          <w:color w:val="000000"/>
          <w:kern w:val="0"/>
          <w:sz w:val="28"/>
          <w:szCs w:val="28"/>
          <w:lang w:val="en-US" w:eastAsia="zh-CN" w:bidi="ar"/>
        </w:rPr>
        <w:t>警示标志采用菱形边框、黑色、背景色为淡黄。</w:t>
      </w:r>
    </w:p>
    <w:p w14:paraId="6488B8B2">
      <w:pPr>
        <w:keepNext w:val="0"/>
        <w:keepLines w:val="0"/>
        <w:widowControl/>
        <w:numPr>
          <w:ilvl w:val="0"/>
          <w:numId w:val="0"/>
        </w:numPr>
        <w:suppressLineNumbers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警告语采用中英文文字、字体黑色。 </w:t>
      </w:r>
    </w:p>
    <w:p w14:paraId="383954B5">
      <w:pPr>
        <w:pStyle w:val="43"/>
        <w:widowControl/>
        <w:numPr>
          <w:ilvl w:val="0"/>
          <w:numId w:val="9"/>
        </w:numPr>
        <w:spacing w:line="360" w:lineRule="auto"/>
        <w:ind w:left="0" w:leftChars="0" w:firstLine="560"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锐器盒使用的警示标志中的：</w:t>
      </w:r>
    </w:p>
    <w:p w14:paraId="30B896B3">
      <w:pPr>
        <w:pStyle w:val="43"/>
        <w:widowControl/>
        <w:numPr>
          <w:ilvl w:val="0"/>
          <w:numId w:val="0"/>
        </w:numPr>
        <w:spacing w:line="360" w:lineRule="auto"/>
        <w:ind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 xml:space="preserve">医疗废物图案的高度最小为2.5cm </w:t>
      </w:r>
    </w:p>
    <w:p w14:paraId="12B612E9">
      <w:pPr>
        <w:pStyle w:val="43"/>
        <w:widowControl/>
        <w:numPr>
          <w:ilvl w:val="0"/>
          <w:numId w:val="0"/>
        </w:numPr>
        <w:spacing w:line="360" w:lineRule="auto"/>
        <w:ind w:leftChars="0"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 xml:space="preserve">中文文字的高度最小为 0.5cm </w:t>
      </w:r>
    </w:p>
    <w:p w14:paraId="49678D52">
      <w:pPr>
        <w:pStyle w:val="43"/>
        <w:widowControl/>
        <w:numPr>
          <w:ilvl w:val="0"/>
          <w:numId w:val="0"/>
        </w:numPr>
        <w:spacing w:line="360" w:lineRule="auto"/>
        <w:ind w:leftChars="0"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 xml:space="preserve">英文文字的高度最小为 0.3cm </w:t>
      </w:r>
    </w:p>
    <w:p w14:paraId="65F21333">
      <w:pPr>
        <w:pStyle w:val="43"/>
        <w:widowControl/>
        <w:numPr>
          <w:ilvl w:val="0"/>
          <w:numId w:val="0"/>
        </w:numPr>
        <w:spacing w:line="360" w:lineRule="auto"/>
        <w:ind w:leftChars="0"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 xml:space="preserve">警示标志最小为 </w:t>
      </w:r>
      <w:r>
        <w:rPr>
          <w:rFonts w:hint="eastAsia" w:ascii="仿宋_GB2312" w:hAnsi="仿宋_GB2312" w:eastAsia="仿宋_GB2312" w:cs="仿宋_GB2312"/>
          <w:color w:val="000000"/>
          <w:kern w:val="0"/>
          <w:sz w:val="28"/>
          <w:szCs w:val="28"/>
          <w:u w:val="none"/>
          <w:lang w:val="en-US" w:eastAsia="zh-CN"/>
        </w:rPr>
        <w:t>6.0cm×6.0c</w:t>
      </w:r>
      <w:r>
        <w:rPr>
          <w:rFonts w:hint="eastAsia" w:ascii="仿宋_GB2312" w:hAnsi="仿宋_GB2312" w:eastAsia="仿宋_GB2312" w:cs="仿宋_GB2312"/>
          <w:color w:val="000000"/>
          <w:kern w:val="0"/>
          <w:sz w:val="28"/>
          <w:szCs w:val="28"/>
          <w:lang w:val="en-US" w:eastAsia="zh-CN"/>
        </w:rPr>
        <w:t xml:space="preserve">m </w:t>
      </w:r>
    </w:p>
    <w:p w14:paraId="3B45C543">
      <w:pPr>
        <w:keepNext w:val="0"/>
        <w:keepLines w:val="0"/>
        <w:widowControl/>
        <w:suppressLineNumbers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3、带有警告语的警示标志的底色为容器的背景色，边框和警告语的颜色均为黑色。 </w:t>
      </w:r>
    </w:p>
    <w:p w14:paraId="7BD0E26C">
      <w:pPr>
        <w:keepNext w:val="0"/>
        <w:keepLines w:val="0"/>
        <w:widowControl/>
        <w:suppressLineNumbers w:val="0"/>
        <w:spacing w:line="360" w:lineRule="auto"/>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kern w:val="0"/>
          <w:sz w:val="28"/>
          <w:szCs w:val="28"/>
          <w:lang w:val="en-US" w:eastAsia="zh-CN" w:bidi="ar"/>
        </w:rPr>
        <w:t xml:space="preserve">4、警示标志和警告语的印刷质量要求油墨均匀；图案、文字清晰、完整；套印准确，套印误差应不大于1mm。 </w:t>
      </w:r>
    </w:p>
    <w:p w14:paraId="6C72D3C3">
      <w:pPr>
        <w:numPr>
          <w:ilvl w:val="0"/>
          <w:numId w:val="0"/>
        </w:numPr>
        <w:tabs>
          <w:tab w:val="left" w:pos="3120"/>
        </w:tabs>
        <w:spacing w:line="360" w:lineRule="auto"/>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color w:val="000000"/>
          <w:kern w:val="0"/>
          <w:sz w:val="28"/>
          <w:szCs w:val="28"/>
          <w:lang w:val="en-US" w:eastAsia="zh-CN" w:bidi="ar"/>
        </w:rPr>
        <w:t>3、货物外观要求完好，</w:t>
      </w:r>
      <w:r>
        <w:rPr>
          <w:rFonts w:hint="eastAsia" w:ascii="仿宋_GB2312" w:hAnsi="仿宋_GB2312" w:eastAsia="仿宋_GB2312" w:cs="仿宋_GB2312"/>
          <w:bCs/>
          <w:sz w:val="28"/>
          <w:szCs w:val="28"/>
        </w:rPr>
        <w:t>内外表面清洁、无异味，无异物、无</w:t>
      </w:r>
      <w:r>
        <w:rPr>
          <w:rFonts w:hint="eastAsia" w:ascii="仿宋_GB2312" w:hAnsi="仿宋_GB2312" w:eastAsia="仿宋_GB2312" w:cs="仿宋_GB2312"/>
          <w:color w:val="000000"/>
          <w:kern w:val="0"/>
          <w:sz w:val="28"/>
          <w:szCs w:val="28"/>
          <w:lang w:val="en-US" w:eastAsia="zh-CN" w:bidi="ar"/>
        </w:rPr>
        <w:t>污迹</w:t>
      </w:r>
      <w:r>
        <w:rPr>
          <w:rFonts w:hint="eastAsia" w:ascii="仿宋_GB2312" w:hAnsi="仿宋_GB2312" w:eastAsia="仿宋_GB2312" w:cs="仿宋_GB2312"/>
          <w:bCs/>
          <w:sz w:val="28"/>
          <w:szCs w:val="28"/>
          <w:lang w:eastAsia="zh-CN"/>
        </w:rPr>
        <w:t>；</w:t>
      </w:r>
    </w:p>
    <w:p w14:paraId="685280DB">
      <w:pPr>
        <w:tabs>
          <w:tab w:val="left" w:pos="3120"/>
        </w:tabs>
        <w:spacing w:line="360" w:lineRule="auto"/>
        <w:ind w:firstLine="560" w:firstLineChars="20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Cs/>
          <w:sz w:val="28"/>
          <w:szCs w:val="28"/>
          <w:lang w:val="en-US" w:eastAsia="zh-CN"/>
        </w:rPr>
        <w:t>有</w:t>
      </w:r>
      <w:r>
        <w:rPr>
          <w:rFonts w:hint="eastAsia" w:ascii="仿宋_GB2312" w:hAnsi="仿宋_GB2312" w:eastAsia="仿宋_GB2312" w:cs="仿宋_GB2312"/>
          <w:color w:val="000000"/>
          <w:kern w:val="0"/>
          <w:sz w:val="28"/>
          <w:szCs w:val="28"/>
          <w:lang w:val="en-US" w:eastAsia="zh-CN" w:bidi="ar"/>
        </w:rPr>
        <w:t>文字图案要求的货物，文字图案要印制清晰不掉色。</w:t>
      </w:r>
    </w:p>
    <w:p w14:paraId="73E77E67">
      <w:pPr>
        <w:tabs>
          <w:tab w:val="left" w:pos="3120"/>
        </w:tabs>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kern w:val="0"/>
          <w:sz w:val="28"/>
          <w:szCs w:val="28"/>
          <w:lang w:val="en-US" w:eastAsia="zh-CN" w:bidi="ar"/>
        </w:rPr>
        <w:t>货物要求韧性好、表面光滑平整、没有明显凹陷、无毛刺、无皱褶、无杂质、完整无裂损、</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color w:val="000000"/>
          <w:kern w:val="0"/>
          <w:sz w:val="28"/>
          <w:szCs w:val="28"/>
          <w:lang w:val="en-US" w:eastAsia="zh-CN" w:bidi="ar"/>
        </w:rPr>
        <w:t>气泡、针孔以及其他缺陷；</w:t>
      </w:r>
    </w:p>
    <w:p w14:paraId="74D799E3">
      <w:pPr>
        <w:tabs>
          <w:tab w:val="left" w:pos="3120"/>
        </w:tabs>
        <w:spacing w:line="360" w:lineRule="auto"/>
        <w:ind w:firstLine="562" w:firstLineChars="200"/>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四、所有塑料制品质量要求（技术要求）</w:t>
      </w:r>
    </w:p>
    <w:p w14:paraId="7DC66D48">
      <w:pPr>
        <w:numPr>
          <w:ilvl w:val="0"/>
          <w:numId w:val="0"/>
        </w:numPr>
        <w:tabs>
          <w:tab w:val="left" w:pos="3120"/>
        </w:tabs>
        <w:spacing w:line="360" w:lineRule="auto"/>
        <w:ind w:firstLine="560" w:firstLineChars="20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1、供应商所提供的货物应等于或优于遴选文件对货物技术参数要求，不得出现负偏离。若遴选文件中的技术要求无明确说明，则按国家有关部门及行业最新颁布的要求为准，包括货物售后质保期时间。货物必须符合或优于国家环保要求。</w:t>
      </w:r>
    </w:p>
    <w:p w14:paraId="42CEEFF3">
      <w:pPr>
        <w:pStyle w:val="22"/>
        <w:numPr>
          <w:ilvl w:val="4"/>
          <w:numId w:val="0"/>
        </w:numPr>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供货时供应商应箱装并做好保护，破损由供应商补发。外包装为硬质箱装，外包装上有提手或提带，便于货物堆叠码放。大、小便器每个均具有独立密封的内包装，防止污染，防止就诊者使用不洁的便器感染。</w:t>
      </w:r>
    </w:p>
    <w:p w14:paraId="5DB7BE63">
      <w:pPr>
        <w:numPr>
          <w:ilvl w:val="0"/>
          <w:numId w:val="0"/>
        </w:numPr>
        <w:tabs>
          <w:tab w:val="left" w:pos="3120"/>
        </w:tabs>
        <w:spacing w:line="360" w:lineRule="auto"/>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color w:val="000000"/>
          <w:kern w:val="0"/>
          <w:sz w:val="28"/>
          <w:szCs w:val="28"/>
          <w:lang w:val="en-US" w:eastAsia="zh-CN" w:bidi="ar"/>
        </w:rPr>
        <w:t>3、货物外观要求完好，</w:t>
      </w:r>
      <w:r>
        <w:rPr>
          <w:rFonts w:hint="eastAsia" w:ascii="仿宋_GB2312" w:hAnsi="仿宋_GB2312" w:eastAsia="仿宋_GB2312" w:cs="仿宋_GB2312"/>
          <w:bCs/>
          <w:sz w:val="28"/>
          <w:szCs w:val="28"/>
        </w:rPr>
        <w:t>内外表面清洁、无异味，无异物、无</w:t>
      </w:r>
      <w:r>
        <w:rPr>
          <w:rFonts w:hint="eastAsia" w:ascii="仿宋_GB2312" w:hAnsi="仿宋_GB2312" w:eastAsia="仿宋_GB2312" w:cs="仿宋_GB2312"/>
          <w:color w:val="000000"/>
          <w:kern w:val="0"/>
          <w:sz w:val="28"/>
          <w:szCs w:val="28"/>
          <w:lang w:val="en-US" w:eastAsia="zh-CN" w:bidi="ar"/>
        </w:rPr>
        <w:t>污迹</w:t>
      </w:r>
      <w:r>
        <w:rPr>
          <w:rFonts w:hint="eastAsia" w:ascii="仿宋_GB2312" w:hAnsi="仿宋_GB2312" w:eastAsia="仿宋_GB2312" w:cs="仿宋_GB2312"/>
          <w:bCs/>
          <w:sz w:val="28"/>
          <w:szCs w:val="28"/>
          <w:lang w:eastAsia="zh-CN"/>
        </w:rPr>
        <w:t>；</w:t>
      </w:r>
    </w:p>
    <w:p w14:paraId="62D46FC3">
      <w:pPr>
        <w:tabs>
          <w:tab w:val="left" w:pos="3120"/>
        </w:tabs>
        <w:spacing w:line="360" w:lineRule="auto"/>
        <w:ind w:firstLine="560" w:firstLineChars="20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Cs/>
          <w:sz w:val="28"/>
          <w:szCs w:val="28"/>
          <w:lang w:val="en-US" w:eastAsia="zh-CN"/>
        </w:rPr>
        <w:t>有</w:t>
      </w:r>
      <w:r>
        <w:rPr>
          <w:rFonts w:hint="eastAsia" w:ascii="仿宋_GB2312" w:hAnsi="仿宋_GB2312" w:eastAsia="仿宋_GB2312" w:cs="仿宋_GB2312"/>
          <w:color w:val="000000"/>
          <w:kern w:val="0"/>
          <w:sz w:val="28"/>
          <w:szCs w:val="28"/>
          <w:lang w:val="en-US" w:eastAsia="zh-CN" w:bidi="ar"/>
        </w:rPr>
        <w:t>文字图案要求的货物，文字图案要印制清晰不掉色。</w:t>
      </w:r>
    </w:p>
    <w:p w14:paraId="20B5E4DF">
      <w:pPr>
        <w:tabs>
          <w:tab w:val="left" w:pos="3120"/>
        </w:tabs>
        <w:spacing w:line="360" w:lineRule="auto"/>
        <w:ind w:firstLine="560" w:firstLineChars="20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货物要求韧性好、表面光滑平整、没有明显凹陷、无毛刺、无皱褶、无杂质、完整无裂损、</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color w:val="000000"/>
          <w:kern w:val="0"/>
          <w:sz w:val="28"/>
          <w:szCs w:val="28"/>
          <w:lang w:val="en-US" w:eastAsia="zh-CN" w:bidi="ar"/>
        </w:rPr>
        <w:t>气泡、针孔以及其他缺陷；</w:t>
      </w:r>
    </w:p>
    <w:p w14:paraId="239B109A">
      <w:pPr>
        <w:numPr>
          <w:ilvl w:val="0"/>
          <w:numId w:val="10"/>
        </w:numPr>
        <w:tabs>
          <w:tab w:val="left" w:pos="3120"/>
        </w:tabs>
        <w:spacing w:line="360" w:lineRule="auto"/>
        <w:ind w:firstLine="562" w:firstLineChars="200"/>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color w:val="auto"/>
          <w:sz w:val="28"/>
          <w:szCs w:val="28"/>
          <w:highlight w:val="none"/>
        </w:rPr>
        <w:t>样品要求</w:t>
      </w:r>
      <w:r>
        <w:rPr>
          <w:rFonts w:hint="eastAsia" w:ascii="仿宋_GB2312" w:hAnsi="仿宋_GB2312" w:eastAsia="仿宋_GB2312" w:cs="仿宋_GB2312"/>
          <w:b/>
          <w:bCs w:val="0"/>
          <w:sz w:val="28"/>
          <w:szCs w:val="28"/>
          <w:lang w:val="en-US" w:eastAsia="zh-CN"/>
        </w:rPr>
        <w:t>（技术要求）</w:t>
      </w:r>
    </w:p>
    <w:p w14:paraId="67717150">
      <w:pPr>
        <w:pStyle w:val="12"/>
        <w:spacing w:line="360" w:lineRule="auto"/>
        <w:ind w:firstLine="560" w:firstLineChars="200"/>
        <w:jc w:val="left"/>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本项目要求供应商按本文件要求提供样品，由采购人</w:t>
      </w:r>
      <w:r>
        <w:rPr>
          <w:rFonts w:hint="eastAsia" w:ascii="仿宋_GB2312" w:hAnsi="仿宋_GB2312" w:eastAsia="仿宋_GB2312" w:cs="仿宋_GB2312"/>
          <w:b w:val="0"/>
          <w:bCs w:val="0"/>
          <w:color w:val="auto"/>
          <w:kern w:val="0"/>
          <w:sz w:val="28"/>
          <w:szCs w:val="28"/>
          <w:highlight w:val="none"/>
        </w:rPr>
        <w:t>对样品</w:t>
      </w:r>
      <w:r>
        <w:rPr>
          <w:rFonts w:hint="eastAsia" w:ascii="仿宋_GB2312" w:hAnsi="仿宋_GB2312" w:eastAsia="仿宋_GB2312" w:cs="仿宋_GB2312"/>
          <w:b w:val="0"/>
          <w:bCs w:val="0"/>
          <w:color w:val="auto"/>
          <w:kern w:val="0"/>
          <w:sz w:val="28"/>
          <w:szCs w:val="28"/>
          <w:highlight w:val="none"/>
          <w:lang w:val="en-US" w:eastAsia="zh-CN"/>
        </w:rPr>
        <w:t>按本文件要求</w:t>
      </w:r>
      <w:r>
        <w:rPr>
          <w:rFonts w:hint="eastAsia" w:ascii="仿宋_GB2312" w:hAnsi="仿宋_GB2312" w:eastAsia="仿宋_GB2312" w:cs="仿宋_GB2312"/>
          <w:b w:val="0"/>
          <w:bCs w:val="0"/>
          <w:color w:val="auto"/>
          <w:kern w:val="0"/>
          <w:sz w:val="28"/>
          <w:szCs w:val="28"/>
          <w:highlight w:val="none"/>
        </w:rPr>
        <w:t>进行</w:t>
      </w:r>
      <w:r>
        <w:rPr>
          <w:rFonts w:hint="eastAsia" w:ascii="仿宋_GB2312" w:hAnsi="仿宋_GB2312" w:eastAsia="仿宋_GB2312" w:cs="仿宋_GB2312"/>
          <w:b w:val="0"/>
          <w:bCs w:val="0"/>
          <w:color w:val="auto"/>
          <w:kern w:val="0"/>
          <w:sz w:val="28"/>
          <w:szCs w:val="28"/>
          <w:highlight w:val="none"/>
          <w:lang w:val="en-US" w:eastAsia="zh-CN"/>
        </w:rPr>
        <w:t>遴选。</w:t>
      </w:r>
    </w:p>
    <w:p w14:paraId="79BC5261">
      <w:pPr>
        <w:pStyle w:val="12"/>
        <w:spacing w:line="360" w:lineRule="auto"/>
        <w:ind w:firstLine="560" w:firstLineChars="200"/>
        <w:jc w:val="left"/>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各</w:t>
      </w:r>
      <w:r>
        <w:rPr>
          <w:rFonts w:hint="eastAsia" w:ascii="仿宋_GB2312" w:hAnsi="仿宋_GB2312" w:eastAsia="仿宋_GB2312" w:cs="仿宋_GB2312"/>
          <w:b w:val="0"/>
          <w:bCs w:val="0"/>
          <w:color w:val="auto"/>
          <w:sz w:val="28"/>
          <w:szCs w:val="28"/>
          <w:highlight w:val="none"/>
        </w:rPr>
        <w:t>潜在供应商需于开标</w:t>
      </w:r>
      <w:r>
        <w:rPr>
          <w:rFonts w:hint="eastAsia" w:ascii="仿宋_GB2312" w:hAnsi="仿宋_GB2312" w:eastAsia="仿宋_GB2312" w:cs="仿宋_GB2312"/>
          <w:b w:val="0"/>
          <w:bCs w:val="0"/>
          <w:color w:val="auto"/>
          <w:sz w:val="28"/>
          <w:szCs w:val="28"/>
          <w:highlight w:val="none"/>
          <w:lang w:val="en-US" w:eastAsia="zh-CN"/>
        </w:rPr>
        <w:t>时</w:t>
      </w:r>
      <w:r>
        <w:rPr>
          <w:rFonts w:hint="eastAsia" w:ascii="仿宋_GB2312" w:hAnsi="仿宋_GB2312" w:eastAsia="仿宋_GB2312" w:cs="仿宋_GB2312"/>
          <w:b w:val="0"/>
          <w:bCs w:val="0"/>
          <w:color w:val="auto"/>
          <w:sz w:val="28"/>
          <w:szCs w:val="28"/>
          <w:highlight w:val="none"/>
        </w:rPr>
        <w:t>提供以下数量及</w:t>
      </w:r>
      <w:r>
        <w:rPr>
          <w:rFonts w:hint="eastAsia" w:ascii="仿宋_GB2312" w:hAnsi="仿宋_GB2312" w:eastAsia="仿宋_GB2312" w:cs="仿宋_GB2312"/>
          <w:b w:val="0"/>
          <w:bCs w:val="0"/>
          <w:color w:val="auto"/>
          <w:sz w:val="28"/>
          <w:szCs w:val="28"/>
          <w:highlight w:val="none"/>
          <w:lang w:val="en-US" w:eastAsia="zh-CN"/>
        </w:rPr>
        <w:t>技术</w:t>
      </w:r>
      <w:r>
        <w:rPr>
          <w:rFonts w:hint="eastAsia" w:ascii="仿宋_GB2312" w:hAnsi="仿宋_GB2312" w:eastAsia="仿宋_GB2312" w:cs="仿宋_GB2312"/>
          <w:b w:val="0"/>
          <w:bCs w:val="0"/>
          <w:color w:val="auto"/>
          <w:sz w:val="28"/>
          <w:szCs w:val="28"/>
          <w:highlight w:val="none"/>
        </w:rPr>
        <w:t>要求的样品</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届时</w:t>
      </w:r>
      <w:r>
        <w:rPr>
          <w:rFonts w:hint="eastAsia" w:ascii="仿宋_GB2312" w:hAnsi="仿宋_GB2312" w:eastAsia="仿宋_GB2312" w:cs="仿宋_GB2312"/>
          <w:b w:val="0"/>
          <w:bCs w:val="0"/>
          <w:color w:val="auto"/>
          <w:sz w:val="28"/>
          <w:szCs w:val="28"/>
          <w:highlight w:val="none"/>
        </w:rPr>
        <w:t>供</w:t>
      </w:r>
      <w:r>
        <w:rPr>
          <w:rFonts w:hint="eastAsia" w:ascii="仿宋_GB2312" w:hAnsi="仿宋_GB2312" w:eastAsia="仿宋_GB2312" w:cs="仿宋_GB2312"/>
          <w:b w:val="0"/>
          <w:bCs w:val="0"/>
          <w:color w:val="auto"/>
          <w:sz w:val="28"/>
          <w:szCs w:val="28"/>
          <w:highlight w:val="none"/>
          <w:lang w:val="en-US" w:eastAsia="zh-CN"/>
        </w:rPr>
        <w:t>采购人遴选</w:t>
      </w:r>
      <w:r>
        <w:rPr>
          <w:rFonts w:hint="eastAsia" w:ascii="仿宋_GB2312" w:hAnsi="仿宋_GB2312" w:eastAsia="仿宋_GB2312" w:cs="仿宋_GB2312"/>
          <w:b w:val="0"/>
          <w:bCs w:val="0"/>
          <w:color w:val="auto"/>
          <w:sz w:val="28"/>
          <w:szCs w:val="28"/>
          <w:highlight w:val="none"/>
        </w:rPr>
        <w:t>。</w:t>
      </w:r>
      <w:r>
        <w:rPr>
          <w:rFonts w:hint="eastAsia" w:ascii="仿宋_GB2312" w:hAnsi="仿宋_GB2312" w:eastAsia="仿宋_GB2312" w:cs="仿宋_GB2312"/>
          <w:b w:val="0"/>
          <w:bCs w:val="0"/>
          <w:color w:val="auto"/>
          <w:sz w:val="28"/>
          <w:szCs w:val="28"/>
          <w:highlight w:val="none"/>
          <w:lang w:val="en-US" w:eastAsia="zh-CN"/>
        </w:rPr>
        <w:t>不提供样品、</w:t>
      </w:r>
      <w:r>
        <w:rPr>
          <w:rFonts w:hint="eastAsia" w:ascii="仿宋_GB2312" w:hAnsi="仿宋_GB2312" w:eastAsia="仿宋_GB2312" w:cs="仿宋_GB2312"/>
          <w:b w:val="0"/>
          <w:bCs w:val="0"/>
          <w:color w:val="auto"/>
          <w:sz w:val="28"/>
          <w:szCs w:val="28"/>
          <w:highlight w:val="none"/>
        </w:rPr>
        <w:t>逾期送达的样品</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数量不符的样品、不符合遴选文件要求的样品均视为供应商不响应遴选文件要求予以成交资格无效化处理。</w:t>
      </w:r>
      <w:r>
        <w:rPr>
          <w:rFonts w:hint="eastAsia" w:ascii="仿宋_GB2312" w:hAnsi="仿宋_GB2312" w:eastAsia="仿宋_GB2312" w:cs="仿宋_GB2312"/>
          <w:b w:val="0"/>
          <w:bCs w:val="0"/>
          <w:color w:val="auto"/>
          <w:kern w:val="0"/>
          <w:sz w:val="28"/>
          <w:szCs w:val="28"/>
          <w:highlight w:val="none"/>
        </w:rPr>
        <w:t>采购活动结束后，对于未</w:t>
      </w:r>
      <w:r>
        <w:rPr>
          <w:rFonts w:hint="eastAsia" w:ascii="仿宋_GB2312" w:hAnsi="仿宋_GB2312" w:eastAsia="仿宋_GB2312" w:cs="仿宋_GB2312"/>
          <w:b w:val="0"/>
          <w:bCs w:val="0"/>
          <w:color w:val="auto"/>
          <w:kern w:val="0"/>
          <w:sz w:val="28"/>
          <w:szCs w:val="28"/>
          <w:highlight w:val="none"/>
          <w:lang w:val="en-US" w:eastAsia="zh-CN"/>
        </w:rPr>
        <w:t>成交供应商</w:t>
      </w:r>
      <w:r>
        <w:rPr>
          <w:rFonts w:hint="eastAsia" w:ascii="仿宋_GB2312" w:hAnsi="仿宋_GB2312" w:eastAsia="仿宋_GB2312" w:cs="仿宋_GB2312"/>
          <w:b w:val="0"/>
          <w:bCs w:val="0"/>
          <w:color w:val="auto"/>
          <w:kern w:val="0"/>
          <w:sz w:val="28"/>
          <w:szCs w:val="28"/>
          <w:highlight w:val="none"/>
        </w:rPr>
        <w:t>提供的样品，</w:t>
      </w:r>
      <w:r>
        <w:rPr>
          <w:rFonts w:hint="eastAsia" w:ascii="仿宋_GB2312" w:hAnsi="仿宋_GB2312" w:eastAsia="仿宋_GB2312" w:cs="仿宋_GB2312"/>
          <w:b w:val="0"/>
          <w:bCs w:val="0"/>
          <w:color w:val="auto"/>
          <w:kern w:val="0"/>
          <w:sz w:val="28"/>
          <w:szCs w:val="28"/>
          <w:highlight w:val="none"/>
          <w:lang w:val="en-US" w:eastAsia="zh-CN"/>
        </w:rPr>
        <w:t>由该供应商</w:t>
      </w:r>
      <w:r>
        <w:rPr>
          <w:rFonts w:hint="eastAsia" w:ascii="仿宋_GB2312" w:hAnsi="仿宋_GB2312" w:eastAsia="仿宋_GB2312" w:cs="仿宋_GB2312"/>
          <w:b w:val="0"/>
          <w:bCs w:val="0"/>
          <w:color w:val="auto"/>
          <w:kern w:val="0"/>
          <w:sz w:val="28"/>
          <w:szCs w:val="28"/>
          <w:highlight w:val="none"/>
        </w:rPr>
        <w:t>自行处理</w:t>
      </w:r>
      <w:r>
        <w:rPr>
          <w:rFonts w:hint="eastAsia" w:ascii="仿宋_GB2312" w:hAnsi="仿宋_GB2312" w:eastAsia="仿宋_GB2312" w:cs="仿宋_GB2312"/>
          <w:b w:val="0"/>
          <w:bCs w:val="0"/>
          <w:color w:val="auto"/>
          <w:kern w:val="0"/>
          <w:sz w:val="28"/>
          <w:szCs w:val="28"/>
          <w:highlight w:val="none"/>
          <w:lang w:eastAsia="zh-CN"/>
        </w:rPr>
        <w:t>。</w:t>
      </w:r>
      <w:r>
        <w:rPr>
          <w:rFonts w:hint="eastAsia" w:ascii="仿宋_GB2312" w:hAnsi="仿宋_GB2312" w:eastAsia="仿宋_GB2312" w:cs="仿宋_GB2312"/>
          <w:b w:val="0"/>
          <w:bCs w:val="0"/>
          <w:color w:val="auto"/>
          <w:kern w:val="0"/>
          <w:sz w:val="28"/>
          <w:szCs w:val="28"/>
          <w:highlight w:val="none"/>
        </w:rPr>
        <w:t>对于</w:t>
      </w:r>
      <w:r>
        <w:rPr>
          <w:rFonts w:hint="eastAsia" w:ascii="仿宋_GB2312" w:hAnsi="仿宋_GB2312" w:eastAsia="仿宋_GB2312" w:cs="仿宋_GB2312"/>
          <w:b w:val="0"/>
          <w:bCs w:val="0"/>
          <w:color w:val="auto"/>
          <w:kern w:val="0"/>
          <w:sz w:val="28"/>
          <w:szCs w:val="28"/>
          <w:highlight w:val="none"/>
          <w:lang w:val="en-US" w:eastAsia="zh-CN"/>
        </w:rPr>
        <w:t>成交供应商</w:t>
      </w:r>
      <w:r>
        <w:rPr>
          <w:rFonts w:hint="eastAsia" w:ascii="仿宋_GB2312" w:hAnsi="仿宋_GB2312" w:eastAsia="仿宋_GB2312" w:cs="仿宋_GB2312"/>
          <w:b w:val="0"/>
          <w:bCs w:val="0"/>
          <w:color w:val="auto"/>
          <w:kern w:val="0"/>
          <w:sz w:val="28"/>
          <w:szCs w:val="28"/>
          <w:highlight w:val="none"/>
        </w:rPr>
        <w:t>提供的样品，</w:t>
      </w:r>
      <w:r>
        <w:rPr>
          <w:rFonts w:hint="eastAsia" w:ascii="仿宋_GB2312" w:hAnsi="仿宋_GB2312" w:eastAsia="仿宋_GB2312" w:cs="仿宋_GB2312"/>
          <w:b w:val="0"/>
          <w:bCs w:val="0"/>
          <w:color w:val="auto"/>
          <w:kern w:val="0"/>
          <w:sz w:val="28"/>
          <w:szCs w:val="28"/>
          <w:highlight w:val="none"/>
          <w:lang w:val="en-US" w:eastAsia="zh-CN"/>
        </w:rPr>
        <w:t>成交供应商将该样品运送至采购人院区内指定地点</w:t>
      </w:r>
      <w:r>
        <w:rPr>
          <w:rFonts w:hint="eastAsia" w:ascii="仿宋_GB2312" w:hAnsi="仿宋_GB2312" w:eastAsia="仿宋_GB2312" w:cs="仿宋_GB2312"/>
          <w:b w:val="0"/>
          <w:bCs w:val="0"/>
          <w:color w:val="auto"/>
          <w:kern w:val="0"/>
          <w:sz w:val="28"/>
          <w:szCs w:val="28"/>
          <w:highlight w:val="none"/>
        </w:rPr>
        <w:t>进行保管、封存，并作为履约验收的参考。</w:t>
      </w:r>
    </w:p>
    <w:p w14:paraId="23D60CD8">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本项目适用于民法典《买卖合同》中关于“凭样品买卖合同”的法律条款约束，若供应商成交后提供的货物质量低于封存样品的质量标准，视为供应商虚假响应，则供应商构成违约行为，采购人可以解除合同并要求供应商支付成交合同总金额10%的违约金。</w:t>
      </w:r>
    </w:p>
    <w:p w14:paraId="38308654">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color w:val="000000" w:themeColor="text1"/>
          <w:sz w:val="28"/>
          <w:szCs w:val="28"/>
          <w:highlight w:val="none"/>
          <w:lang w:val="en-US" w:eastAsia="zh-CN"/>
          <w14:textFill>
            <w14:solidFill>
              <w14:schemeClr w14:val="tx1"/>
            </w14:solidFill>
          </w14:textFill>
        </w:rPr>
        <w:t>一</w:t>
      </w:r>
      <w:r>
        <w:rPr>
          <w:rFonts w:hint="eastAsia" w:ascii="仿宋_GB2312" w:hAnsi="仿宋_GB2312" w:eastAsia="仿宋_GB2312" w:cs="仿宋_GB2312"/>
          <w:b w:val="0"/>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color w:val="000000" w:themeColor="text1"/>
          <w:sz w:val="28"/>
          <w:szCs w:val="28"/>
          <w:highlight w:val="none"/>
          <w14:textFill>
            <w14:solidFill>
              <w14:schemeClr w14:val="tx1"/>
            </w14:solidFill>
          </w14:textFill>
        </w:rPr>
        <w:t>样品</w:t>
      </w:r>
      <w:r>
        <w:rPr>
          <w:rFonts w:hint="eastAsia" w:ascii="仿宋_GB2312" w:hAnsi="仿宋_GB2312" w:eastAsia="仿宋_GB2312" w:cs="仿宋_GB2312"/>
          <w:b w:val="0"/>
          <w:color w:val="000000" w:themeColor="text1"/>
          <w:sz w:val="28"/>
          <w:szCs w:val="28"/>
          <w:highlight w:val="none"/>
          <w:lang w:val="en-US" w:eastAsia="zh-CN"/>
          <w14:textFill>
            <w14:solidFill>
              <w14:schemeClr w14:val="tx1"/>
            </w14:solidFill>
          </w14:textFill>
        </w:rPr>
        <w:t>的</w:t>
      </w:r>
      <w:r>
        <w:rPr>
          <w:rFonts w:hint="eastAsia" w:ascii="仿宋_GB2312" w:hAnsi="仿宋_GB2312" w:eastAsia="仿宋_GB2312" w:cs="仿宋_GB2312"/>
          <w:b w:val="0"/>
          <w:color w:val="000000" w:themeColor="text1"/>
          <w:sz w:val="28"/>
          <w:szCs w:val="28"/>
          <w:highlight w:val="none"/>
          <w14:textFill>
            <w14:solidFill>
              <w14:schemeClr w14:val="tx1"/>
            </w14:solidFill>
          </w14:textFill>
        </w:rPr>
        <w:t>名称及数量、</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制作的标准和要求</w:t>
      </w:r>
    </w:p>
    <w:tbl>
      <w:tblPr>
        <w:tblStyle w:val="15"/>
        <w:tblW w:w="10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585"/>
        <w:gridCol w:w="4768"/>
        <w:gridCol w:w="1123"/>
        <w:gridCol w:w="1124"/>
      </w:tblGrid>
      <w:tr w14:paraId="1D0C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63" w:type="dxa"/>
            <w:vAlign w:val="center"/>
          </w:tcPr>
          <w:p w14:paraId="0614F144">
            <w:pPr>
              <w:widowControl/>
              <w:spacing w:line="360" w:lineRule="auto"/>
              <w:jc w:val="center"/>
              <w:textAlignment w:val="center"/>
              <w:rPr>
                <w:rFonts w:hint="eastAsia" w:ascii="仿宋_GB2312" w:hAnsi="仿宋_GB2312" w:eastAsia="仿宋_GB2312" w:cs="仿宋_GB2312"/>
                <w:b w:val="0"/>
                <w:bCs w:val="0"/>
                <w:color w:val="auto"/>
                <w:sz w:val="28"/>
                <w:szCs w:val="28"/>
                <w:highlight w:val="none"/>
                <w:lang w:bidi="ar"/>
              </w:rPr>
            </w:pPr>
            <w:r>
              <w:rPr>
                <w:rFonts w:hint="eastAsia" w:ascii="仿宋_GB2312" w:hAnsi="仿宋_GB2312" w:eastAsia="仿宋_GB2312" w:cs="仿宋_GB2312"/>
                <w:b w:val="0"/>
                <w:bCs w:val="0"/>
                <w:color w:val="auto"/>
                <w:sz w:val="28"/>
                <w:szCs w:val="28"/>
                <w:highlight w:val="none"/>
                <w:lang w:bidi="ar"/>
              </w:rPr>
              <w:t>序号</w:t>
            </w:r>
          </w:p>
        </w:tc>
        <w:tc>
          <w:tcPr>
            <w:tcW w:w="2585" w:type="dxa"/>
            <w:vAlign w:val="center"/>
          </w:tcPr>
          <w:p w14:paraId="47280E28">
            <w:pPr>
              <w:widowControl/>
              <w:spacing w:line="360" w:lineRule="auto"/>
              <w:jc w:val="center"/>
              <w:textAlignment w:val="center"/>
              <w:rPr>
                <w:rFonts w:hint="eastAsia" w:ascii="仿宋_GB2312" w:hAnsi="仿宋_GB2312" w:eastAsia="仿宋_GB2312" w:cs="仿宋_GB2312"/>
                <w:b w:val="0"/>
                <w:bCs w:val="0"/>
                <w:color w:val="auto"/>
                <w:sz w:val="28"/>
                <w:szCs w:val="28"/>
                <w:highlight w:val="none"/>
                <w:lang w:bidi="ar"/>
              </w:rPr>
            </w:pPr>
            <w:r>
              <w:rPr>
                <w:rFonts w:hint="eastAsia" w:ascii="仿宋_GB2312" w:hAnsi="仿宋_GB2312" w:eastAsia="仿宋_GB2312" w:cs="仿宋_GB2312"/>
                <w:b w:val="0"/>
                <w:bCs w:val="0"/>
                <w:color w:val="auto"/>
                <w:sz w:val="28"/>
                <w:szCs w:val="28"/>
                <w:highlight w:val="none"/>
              </w:rPr>
              <w:t>产品名称</w:t>
            </w:r>
          </w:p>
        </w:tc>
        <w:tc>
          <w:tcPr>
            <w:tcW w:w="4768" w:type="dxa"/>
            <w:vAlign w:val="center"/>
          </w:tcPr>
          <w:p w14:paraId="3A59B8CA">
            <w:pPr>
              <w:widowControl/>
              <w:spacing w:line="360" w:lineRule="auto"/>
              <w:jc w:val="center"/>
              <w:textAlignment w:val="center"/>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kern w:val="0"/>
                <w:sz w:val="28"/>
                <w:szCs w:val="28"/>
                <w:highlight w:val="none"/>
              </w:rPr>
              <w:t>样品制作的标准和要求、</w:t>
            </w:r>
          </w:p>
        </w:tc>
        <w:tc>
          <w:tcPr>
            <w:tcW w:w="1123" w:type="dxa"/>
            <w:vAlign w:val="center"/>
          </w:tcPr>
          <w:p w14:paraId="74E0048F">
            <w:pPr>
              <w:widowControl/>
              <w:spacing w:line="360" w:lineRule="auto"/>
              <w:jc w:val="center"/>
              <w:textAlignment w:val="center"/>
              <w:rPr>
                <w:rFonts w:hint="eastAsia" w:ascii="仿宋_GB2312" w:hAnsi="仿宋_GB2312" w:eastAsia="仿宋_GB2312" w:cs="仿宋_GB2312"/>
                <w:b w:val="0"/>
                <w:bCs w:val="0"/>
                <w:color w:val="auto"/>
                <w:sz w:val="28"/>
                <w:szCs w:val="28"/>
                <w:highlight w:val="none"/>
                <w:lang w:bidi="ar"/>
              </w:rPr>
            </w:pPr>
            <w:r>
              <w:rPr>
                <w:rFonts w:hint="eastAsia" w:ascii="仿宋_GB2312" w:hAnsi="仿宋_GB2312" w:eastAsia="仿宋_GB2312" w:cs="仿宋_GB2312"/>
                <w:b w:val="0"/>
                <w:bCs w:val="0"/>
                <w:color w:val="auto"/>
                <w:sz w:val="28"/>
                <w:szCs w:val="28"/>
                <w:highlight w:val="none"/>
                <w:lang w:bidi="ar"/>
              </w:rPr>
              <w:t>单位</w:t>
            </w:r>
          </w:p>
        </w:tc>
        <w:tc>
          <w:tcPr>
            <w:tcW w:w="1124" w:type="dxa"/>
            <w:vAlign w:val="center"/>
          </w:tcPr>
          <w:p w14:paraId="00E02838">
            <w:pPr>
              <w:widowControl/>
              <w:spacing w:line="360" w:lineRule="auto"/>
              <w:jc w:val="center"/>
              <w:textAlignment w:val="center"/>
              <w:rPr>
                <w:rFonts w:hint="eastAsia" w:ascii="仿宋_GB2312" w:hAnsi="仿宋_GB2312" w:eastAsia="仿宋_GB2312" w:cs="仿宋_GB2312"/>
                <w:b w:val="0"/>
                <w:bCs w:val="0"/>
                <w:color w:val="auto"/>
                <w:sz w:val="28"/>
                <w:szCs w:val="28"/>
                <w:highlight w:val="none"/>
                <w:lang w:bidi="ar"/>
              </w:rPr>
            </w:pPr>
            <w:r>
              <w:rPr>
                <w:rFonts w:hint="eastAsia" w:ascii="仿宋_GB2312" w:hAnsi="仿宋_GB2312" w:eastAsia="仿宋_GB2312" w:cs="仿宋_GB2312"/>
                <w:b w:val="0"/>
                <w:bCs w:val="0"/>
                <w:color w:val="auto"/>
                <w:sz w:val="28"/>
                <w:szCs w:val="28"/>
                <w:highlight w:val="none"/>
                <w:lang w:bidi="ar"/>
              </w:rPr>
              <w:t>数量</w:t>
            </w:r>
          </w:p>
        </w:tc>
      </w:tr>
      <w:tr w14:paraId="4168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63" w:type="dxa"/>
            <w:vAlign w:val="center"/>
          </w:tcPr>
          <w:p w14:paraId="5F3C0AE3">
            <w:pPr>
              <w:widowControl/>
              <w:spacing w:line="360" w:lineRule="auto"/>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bidi="ar"/>
              </w:rPr>
              <w:t>1</w:t>
            </w:r>
          </w:p>
        </w:tc>
        <w:tc>
          <w:tcPr>
            <w:tcW w:w="2585" w:type="dxa"/>
            <w:vAlign w:val="center"/>
          </w:tcPr>
          <w:p w14:paraId="43A58CDA">
            <w:pPr>
              <w:spacing w:line="360" w:lineRule="auto"/>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lang w:val="en-US" w:eastAsia="zh-CN"/>
              </w:rPr>
              <w:t>3升圆形锐器盒</w:t>
            </w:r>
          </w:p>
        </w:tc>
        <w:tc>
          <w:tcPr>
            <w:tcW w:w="4768" w:type="dxa"/>
            <w:vAlign w:val="center"/>
          </w:tcPr>
          <w:p w14:paraId="2747E75B">
            <w:pPr>
              <w:spacing w:line="360" w:lineRule="auto"/>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按遴选文件规定的内容要求制作</w:t>
            </w:r>
          </w:p>
        </w:tc>
        <w:tc>
          <w:tcPr>
            <w:tcW w:w="1123" w:type="dxa"/>
            <w:vAlign w:val="center"/>
          </w:tcPr>
          <w:p w14:paraId="73321427">
            <w:pPr>
              <w:widowControl/>
              <w:spacing w:line="360" w:lineRule="auto"/>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个</w:t>
            </w:r>
          </w:p>
        </w:tc>
        <w:tc>
          <w:tcPr>
            <w:tcW w:w="1124" w:type="dxa"/>
            <w:vAlign w:val="center"/>
          </w:tcPr>
          <w:p w14:paraId="7772F581">
            <w:pPr>
              <w:widowControl/>
              <w:spacing w:line="360" w:lineRule="auto"/>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p>
        </w:tc>
      </w:tr>
    </w:tbl>
    <w:p w14:paraId="74BE38A0">
      <w:pPr>
        <w:pStyle w:val="2"/>
        <w:spacing w:line="360" w:lineRule="auto"/>
        <w:ind w:firstLine="560" w:firstLineChars="200"/>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lang w:val="en-US"/>
        </w:rPr>
        <w:t>2、样品的评审方法以及评审标准</w:t>
      </w:r>
    </w:p>
    <w:p w14:paraId="20D2C195">
      <w:pPr>
        <w:pStyle w:val="2"/>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遴选小组对样品实物查验，</w:t>
      </w:r>
      <w:r>
        <w:rPr>
          <w:rFonts w:hint="eastAsia" w:ascii="仿宋_GB2312" w:hAnsi="仿宋_GB2312" w:eastAsia="仿宋_GB2312" w:cs="仿宋_GB2312"/>
          <w:color w:val="auto"/>
          <w:sz w:val="28"/>
          <w:szCs w:val="28"/>
          <w:highlight w:val="none"/>
        </w:rPr>
        <w:t>通过视觉感官、触摸、测量、对比</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实验</w:t>
      </w:r>
      <w:r>
        <w:rPr>
          <w:rFonts w:hint="eastAsia" w:ascii="仿宋_GB2312" w:hAnsi="仿宋_GB2312" w:eastAsia="仿宋_GB2312" w:cs="仿宋_GB2312"/>
          <w:color w:val="auto"/>
          <w:sz w:val="28"/>
          <w:szCs w:val="28"/>
          <w:highlight w:val="none"/>
        </w:rPr>
        <w:t>等</w:t>
      </w:r>
      <w:r>
        <w:rPr>
          <w:rFonts w:hint="eastAsia" w:ascii="仿宋_GB2312" w:hAnsi="仿宋_GB2312" w:eastAsia="仿宋_GB2312" w:cs="仿宋_GB2312"/>
          <w:color w:val="auto"/>
          <w:sz w:val="28"/>
          <w:szCs w:val="28"/>
          <w:highlight w:val="none"/>
          <w:lang w:val="en-US" w:eastAsia="zh-CN"/>
        </w:rPr>
        <w:t>方法</w:t>
      </w:r>
      <w:r>
        <w:rPr>
          <w:rFonts w:hint="eastAsia" w:ascii="仿宋_GB2312" w:hAnsi="仿宋_GB2312" w:eastAsia="仿宋_GB2312" w:cs="仿宋_GB2312"/>
          <w:color w:val="auto"/>
          <w:sz w:val="28"/>
          <w:szCs w:val="28"/>
          <w:highlight w:val="none"/>
        </w:rPr>
        <w:t>对供应商提供的样品进行评审，评审内容如下：</w:t>
      </w:r>
    </w:p>
    <w:p w14:paraId="05A8BB14">
      <w:pPr>
        <w:pStyle w:val="12"/>
        <w:spacing w:before="0" w:after="0" w:line="360" w:lineRule="auto"/>
        <w:ind w:firstLine="560" w:firstLineChars="200"/>
        <w:jc w:val="left"/>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lang w:val="en-US" w:eastAsia="zh-CN"/>
        </w:rPr>
        <w:t>2.1每位供应商提供1种货物共计3个样品进行评审。</w:t>
      </w:r>
    </w:p>
    <w:p w14:paraId="5D858195">
      <w:pPr>
        <w:pStyle w:val="12"/>
        <w:spacing w:before="0" w:after="0" w:line="360" w:lineRule="auto"/>
        <w:ind w:firstLine="560" w:firstLineChars="200"/>
        <w:jc w:val="left"/>
        <w:rPr>
          <w:rFonts w:hint="eastAsia" w:ascii="仿宋_GB2312" w:hAnsi="仿宋_GB2312" w:eastAsia="仿宋_GB2312" w:cs="仿宋_GB2312"/>
          <w:b w:val="0"/>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lang w:val="en-US" w:eastAsia="zh-CN"/>
        </w:rPr>
        <w:t>2.2采购人从每位供应商的样品中随机抽取1个样品，观察测试样品是否符合遴选文件规定的锐器盒技术要求。</w:t>
      </w:r>
    </w:p>
    <w:p w14:paraId="1BDABDF7">
      <w:pPr>
        <w:pStyle w:val="12"/>
        <w:spacing w:before="0" w:after="0" w:line="360" w:lineRule="auto"/>
        <w:ind w:firstLine="560" w:firstLineChars="20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b w:val="0"/>
          <w:color w:val="auto"/>
          <w:sz w:val="28"/>
          <w:szCs w:val="28"/>
          <w:highlight w:val="none"/>
          <w:lang w:val="en-US" w:eastAsia="zh-CN"/>
        </w:rPr>
        <w:t>2.3</w:t>
      </w:r>
      <w:r>
        <w:rPr>
          <w:rFonts w:hint="eastAsia" w:ascii="仿宋_GB2312" w:hAnsi="仿宋_GB2312" w:eastAsia="仿宋_GB2312" w:cs="仿宋_GB2312"/>
          <w:color w:val="000000"/>
          <w:kern w:val="0"/>
          <w:sz w:val="28"/>
          <w:szCs w:val="28"/>
          <w:lang w:val="en-US" w:eastAsia="zh-CN" w:bidi="ar"/>
        </w:rPr>
        <w:t>跌落性能测试</w:t>
      </w:r>
    </w:p>
    <w:p w14:paraId="6759BA0E">
      <w:pPr>
        <w:pStyle w:val="43"/>
        <w:widowControl/>
        <w:numPr>
          <w:ilvl w:val="0"/>
          <w:numId w:val="0"/>
        </w:numPr>
        <w:spacing w:line="360" w:lineRule="auto"/>
        <w:ind w:leftChars="0" w:firstLine="560" w:firstLineChars="200"/>
        <w:jc w:val="left"/>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val="0"/>
          <w:color w:val="auto"/>
          <w:sz w:val="28"/>
          <w:szCs w:val="28"/>
          <w:highlight w:val="none"/>
          <w:lang w:val="en-US" w:eastAsia="zh-CN"/>
        </w:rPr>
        <w:t>采购人从每位供应商的样品中随机抽取1个样品，</w:t>
      </w:r>
      <w:r>
        <w:rPr>
          <w:rFonts w:hint="eastAsia" w:ascii="仿宋_GB2312" w:hAnsi="仿宋_GB2312" w:eastAsia="仿宋_GB2312" w:cs="仿宋_GB2312"/>
          <w:color w:val="000000"/>
          <w:kern w:val="0"/>
          <w:sz w:val="28"/>
          <w:szCs w:val="28"/>
          <w:lang w:val="en-US" w:eastAsia="zh-CN" w:bidi="ar"/>
        </w:rPr>
        <w:t>满盛装量（</w:t>
      </w:r>
      <w:r>
        <w:rPr>
          <w:rFonts w:hint="eastAsia" w:ascii="仿宋_GB2312" w:hAnsi="仿宋_GB2312" w:eastAsia="仿宋_GB2312" w:cs="仿宋_GB2312"/>
          <w:sz w:val="28"/>
          <w:szCs w:val="28"/>
        </w:rPr>
        <w:t>至容积的70％</w:t>
      </w:r>
      <w:r>
        <w:rPr>
          <w:rFonts w:hint="eastAsia" w:ascii="仿宋_GB2312" w:hAnsi="仿宋_GB2312" w:eastAsia="仿宋_GB2312" w:cs="仿宋_GB2312"/>
          <w:color w:val="000000"/>
          <w:kern w:val="0"/>
          <w:sz w:val="28"/>
          <w:szCs w:val="28"/>
          <w:lang w:val="en-US" w:eastAsia="zh-CN" w:bidi="ar"/>
        </w:rPr>
        <w:t xml:space="preserve">）的锐器盒从 1.2m 高处自由跌落至水泥地面，连续 3 次，样品不会出现破裂、被刺穿等情况视为合格。 </w:t>
      </w:r>
    </w:p>
    <w:p w14:paraId="39E2B315">
      <w:pPr>
        <w:keepNext w:val="0"/>
        <w:keepLines w:val="0"/>
        <w:pageBreakBefore w:val="0"/>
        <w:kinsoku/>
        <w:wordWrap/>
        <w:overflowPunct/>
        <w:topLinePunct w:val="0"/>
        <w:bidi w:val="0"/>
        <w:adjustRightInd/>
        <w:snapToGrid/>
        <w:spacing w:beforeLines="50" w:afterLines="50" w:line="560" w:lineRule="exact"/>
        <w:ind w:firstLine="562" w:firstLineChars="200"/>
        <w:jc w:val="left"/>
        <w:textAlignment w:val="auto"/>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、折扣率报价方式（技术要求）</w:t>
      </w:r>
    </w:p>
    <w:p w14:paraId="5CB7C704">
      <w:pPr>
        <w:keepNext w:val="0"/>
        <w:keepLines w:val="0"/>
        <w:pageBreakBefore w:val="0"/>
        <w:numPr>
          <w:ilvl w:val="255"/>
          <w:numId w:val="0"/>
        </w:numPr>
        <w:kinsoku/>
        <w:wordWrap/>
        <w:overflowPunct/>
        <w:topLinePunct w:val="0"/>
        <w:bidi w:val="0"/>
        <w:adjustRightInd/>
        <w:snapToGrid/>
        <w:spacing w:beforeLines="50" w:afterLines="50" w:line="560" w:lineRule="exact"/>
        <w:ind w:firstLine="560" w:firstLineChars="200"/>
        <w:textAlignment w:val="auto"/>
        <w:outlineLvl w:val="1"/>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1、本项目采购总预算为：</w:t>
      </w:r>
      <w:r>
        <w:rPr>
          <w:rFonts w:hint="eastAsia" w:ascii="仿宋_GB2312" w:hAnsi="仿宋_GB2312" w:eastAsia="仿宋_GB2312" w:cs="仿宋_GB2312"/>
          <w:sz w:val="28"/>
          <w:szCs w:val="28"/>
          <w:lang w:val="en-US" w:eastAsia="zh-CN"/>
        </w:rPr>
        <w:t>119391元</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b w:val="0"/>
          <w:bCs w:val="0"/>
          <w:color w:val="000000" w:themeColor="text1"/>
          <w:sz w:val="28"/>
          <w:szCs w:val="28"/>
          <w:highlight w:val="none"/>
          <w:u w:val="none"/>
          <w14:textFill>
            <w14:solidFill>
              <w14:schemeClr w14:val="tx1"/>
            </w14:solidFill>
          </w14:textFill>
        </w:rPr>
        <w:t>人民币</w:t>
      </w:r>
      <w:r>
        <w:rPr>
          <w:rFonts w:hint="eastAsia" w:ascii="仿宋_GB2312" w:hAnsi="仿宋_GB2312" w:eastAsia="仿宋_GB2312" w:cs="仿宋_GB2312"/>
          <w:b w:val="0"/>
          <w:bCs w:val="0"/>
          <w:color w:val="000000" w:themeColor="text1"/>
          <w:sz w:val="28"/>
          <w:szCs w:val="28"/>
          <w:highlight w:val="none"/>
          <w:u w:val="none"/>
          <w:lang w:val="en-US" w:eastAsia="zh-CN"/>
          <w14:textFill>
            <w14:solidFill>
              <w14:schemeClr w14:val="tx1"/>
            </w14:solidFill>
          </w14:textFill>
        </w:rPr>
        <w:t>壹拾壹万玖仟叁佰玖拾壹元整</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sz w:val="28"/>
          <w:szCs w:val="28"/>
          <w:highlight w:val="none"/>
        </w:rPr>
        <w:t>本项目总预算不变，供应商以本项目货物单价最高限价的</w:t>
      </w:r>
      <w:r>
        <w:rPr>
          <w:rFonts w:hint="eastAsia" w:ascii="仿宋_GB2312" w:hAnsi="仿宋_GB2312" w:eastAsia="仿宋_GB2312" w:cs="仿宋_GB2312"/>
          <w:color w:val="auto"/>
          <w:sz w:val="28"/>
          <w:szCs w:val="28"/>
          <w:highlight w:val="none"/>
          <w:lang w:val="en-US" w:eastAsia="zh-CN"/>
        </w:rPr>
        <w:t>统一</w:t>
      </w:r>
      <w:r>
        <w:rPr>
          <w:rFonts w:hint="eastAsia" w:ascii="仿宋_GB2312" w:hAnsi="仿宋_GB2312" w:eastAsia="仿宋_GB2312" w:cs="仿宋_GB2312"/>
          <w:color w:val="auto"/>
          <w:sz w:val="28"/>
          <w:szCs w:val="28"/>
          <w:highlight w:val="none"/>
        </w:rPr>
        <w:t>折扣率报价，</w:t>
      </w:r>
      <w:r>
        <w:rPr>
          <w:rFonts w:hint="eastAsia" w:ascii="仿宋_GB2312" w:hAnsi="仿宋_GB2312" w:eastAsia="仿宋_GB2312" w:cs="仿宋_GB2312"/>
          <w:color w:val="auto"/>
          <w:sz w:val="28"/>
          <w:szCs w:val="28"/>
          <w:highlight w:val="none"/>
          <w:lang w:val="en-US" w:eastAsia="zh-CN"/>
        </w:rPr>
        <w:t>供应商报价只报一个唯一折扣率，</w:t>
      </w:r>
      <w:r>
        <w:rPr>
          <w:rFonts w:hint="eastAsia" w:ascii="仿宋_GB2312" w:hAnsi="仿宋_GB2312" w:eastAsia="仿宋_GB2312" w:cs="仿宋_GB2312"/>
          <w:color w:val="auto"/>
          <w:sz w:val="28"/>
          <w:szCs w:val="28"/>
          <w:highlight w:val="none"/>
        </w:rPr>
        <w:t>本项目所有货物采购价格均按此</w:t>
      </w:r>
      <w:r>
        <w:rPr>
          <w:rFonts w:hint="eastAsia" w:ascii="仿宋_GB2312" w:hAnsi="仿宋_GB2312" w:eastAsia="仿宋_GB2312" w:cs="仿宋_GB2312"/>
          <w:color w:val="auto"/>
          <w:sz w:val="28"/>
          <w:szCs w:val="28"/>
          <w:highlight w:val="none"/>
          <w:lang w:val="en-US" w:eastAsia="zh-CN"/>
        </w:rPr>
        <w:t>唯一</w:t>
      </w:r>
      <w:r>
        <w:rPr>
          <w:rFonts w:hint="eastAsia" w:ascii="仿宋_GB2312" w:hAnsi="仿宋_GB2312" w:eastAsia="仿宋_GB2312" w:cs="仿宋_GB2312"/>
          <w:color w:val="auto"/>
          <w:sz w:val="28"/>
          <w:szCs w:val="28"/>
          <w:highlight w:val="none"/>
        </w:rPr>
        <w:t>报价折扣率执行。项目合同履行期内折扣率不准变动。</w:t>
      </w:r>
      <w:r>
        <w:rPr>
          <w:rFonts w:hint="eastAsia" w:ascii="仿宋_GB2312" w:hAnsi="仿宋_GB2312" w:eastAsia="仿宋_GB2312" w:cs="仿宋_GB2312"/>
          <w:color w:val="auto"/>
          <w:sz w:val="28"/>
          <w:szCs w:val="28"/>
          <w:highlight w:val="none"/>
          <w:lang w:val="en-US" w:eastAsia="zh-CN"/>
        </w:rPr>
        <w:t>供应商本次报价，折扣率必须小于或等于100%，否则视为无效报价。（</w:t>
      </w:r>
      <w:r>
        <w:rPr>
          <w:rFonts w:hint="eastAsia" w:ascii="仿宋_GB2312" w:hAnsi="仿宋_GB2312" w:eastAsia="仿宋_GB2312" w:cs="仿宋_GB2312"/>
          <w:color w:val="auto"/>
          <w:sz w:val="28"/>
          <w:szCs w:val="28"/>
          <w:highlight w:val="none"/>
        </w:rPr>
        <w:t>注：折扣率</w:t>
      </w:r>
      <w:r>
        <w:rPr>
          <w:rFonts w:hint="eastAsia" w:ascii="仿宋_GB2312" w:hAnsi="仿宋_GB2312" w:eastAsia="仿宋_GB2312" w:cs="仿宋_GB2312"/>
          <w:b w:val="0"/>
          <w:bCs w:val="0"/>
          <w:color w:val="auto"/>
          <w:kern w:val="0"/>
          <w:sz w:val="28"/>
          <w:szCs w:val="28"/>
          <w:highlight w:val="none"/>
          <w:lang w:val="en-US" w:eastAsia="zh-CN" w:bidi="ar-SA"/>
        </w:rPr>
        <w:t>必须是一个固定整数值，如92%。</w:t>
      </w:r>
      <w:r>
        <w:rPr>
          <w:rFonts w:hint="eastAsia" w:ascii="仿宋_GB2312" w:hAnsi="仿宋_GB2312" w:eastAsia="仿宋_GB2312" w:cs="仿宋_GB2312"/>
          <w:color w:val="auto"/>
          <w:sz w:val="28"/>
          <w:szCs w:val="28"/>
          <w:highlight w:val="none"/>
        </w:rPr>
        <w:t>折扣率</w:t>
      </w:r>
      <w:r>
        <w:rPr>
          <w:rFonts w:hint="eastAsia" w:ascii="仿宋_GB2312" w:hAnsi="仿宋_GB2312" w:eastAsia="仿宋_GB2312" w:cs="仿宋_GB2312"/>
          <w:b w:val="0"/>
          <w:bCs w:val="0"/>
          <w:color w:val="auto"/>
          <w:kern w:val="0"/>
          <w:sz w:val="28"/>
          <w:szCs w:val="28"/>
          <w:highlight w:val="none"/>
          <w:lang w:val="en-US" w:eastAsia="zh-CN" w:bidi="ar-SA"/>
        </w:rPr>
        <w:t>不得含小数点，如92.5%，</w:t>
      </w:r>
      <w:r>
        <w:rPr>
          <w:rFonts w:hint="eastAsia" w:ascii="仿宋_GB2312" w:hAnsi="仿宋_GB2312" w:eastAsia="仿宋_GB2312" w:cs="仿宋_GB2312"/>
          <w:color w:val="auto"/>
          <w:sz w:val="28"/>
          <w:szCs w:val="28"/>
          <w:highlight w:val="none"/>
        </w:rPr>
        <w:t>折扣率</w:t>
      </w:r>
      <w:r>
        <w:rPr>
          <w:rFonts w:hint="eastAsia" w:ascii="仿宋_GB2312" w:hAnsi="仿宋_GB2312" w:eastAsia="仿宋_GB2312" w:cs="仿宋_GB2312"/>
          <w:b w:val="0"/>
          <w:bCs w:val="0"/>
          <w:color w:val="auto"/>
          <w:kern w:val="0"/>
          <w:sz w:val="28"/>
          <w:szCs w:val="28"/>
          <w:highlight w:val="none"/>
          <w:lang w:val="en-US" w:eastAsia="zh-CN" w:bidi="ar-SA"/>
        </w:rPr>
        <w:t>不得为区间值，如以“92.5%～94%”进行报价，否则将视为无效报价</w:t>
      </w:r>
      <w:r>
        <w:rPr>
          <w:rFonts w:hint="eastAsia" w:ascii="仿宋_GB2312" w:hAnsi="仿宋_GB2312" w:eastAsia="仿宋_GB2312" w:cs="仿宋_GB2312"/>
          <w:color w:val="auto"/>
          <w:sz w:val="28"/>
          <w:szCs w:val="28"/>
          <w:highlight w:val="none"/>
          <w:lang w:eastAsia="zh-CN"/>
        </w:rPr>
        <w:t>）。</w:t>
      </w:r>
    </w:p>
    <w:p w14:paraId="6AD93147">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例：采购人当月需要的货物包括，1号货物最高限价为X元/个，2号货物最高限价为X元/个，货物采购数量以当月实际需要数量为准。</w:t>
      </w:r>
    </w:p>
    <w:p w14:paraId="51B8C822">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若成交供应商报价折扣率为，则成交供应商当月结算金额为=1号货物为X元/个（单价最高限价）</w:t>
      </w:r>
      <w:r>
        <w:rPr>
          <w:rFonts w:hint="eastAsia" w:ascii="仿宋_GB2312" w:hAnsi="仿宋_GB2312" w:eastAsia="仿宋_GB2312" w:cs="仿宋_GB2312"/>
          <w:spacing w:val="-14"/>
          <w:sz w:val="28"/>
          <w:szCs w:val="28"/>
        </w:rPr>
        <w:t>×92%（成交供应商报价折扣率）×当月采购人实际需要数量+2号货物</w:t>
      </w:r>
      <w:r>
        <w:rPr>
          <w:rFonts w:hint="eastAsia" w:ascii="仿宋_GB2312" w:hAnsi="仿宋_GB2312" w:eastAsia="仿宋_GB2312" w:cs="仿宋_GB2312"/>
          <w:sz w:val="28"/>
          <w:szCs w:val="28"/>
        </w:rPr>
        <w:t>为X元/个（单价最高限价）</w:t>
      </w:r>
      <w:r>
        <w:rPr>
          <w:rFonts w:hint="eastAsia" w:ascii="仿宋_GB2312" w:hAnsi="仿宋_GB2312" w:eastAsia="仿宋_GB2312" w:cs="仿宋_GB2312"/>
          <w:spacing w:val="-14"/>
          <w:sz w:val="28"/>
          <w:szCs w:val="28"/>
        </w:rPr>
        <w:t>×92%（成交供应商报价折扣率）×当月采购人实际需要数量+</w:t>
      </w:r>
      <w:r>
        <w:rPr>
          <w:rFonts w:hint="eastAsia" w:ascii="仿宋_GB2312" w:hAnsi="仿宋_GB2312" w:eastAsia="仿宋_GB2312" w:cs="仿宋_GB2312"/>
          <w:sz w:val="28"/>
          <w:szCs w:val="28"/>
        </w:rPr>
        <w:t>… N号货物品名单价最高限价</w:t>
      </w:r>
      <w:r>
        <w:rPr>
          <w:rFonts w:hint="eastAsia" w:ascii="仿宋_GB2312" w:hAnsi="仿宋_GB2312" w:eastAsia="仿宋_GB2312" w:cs="仿宋_GB2312"/>
          <w:spacing w:val="-14"/>
          <w:sz w:val="28"/>
          <w:szCs w:val="28"/>
        </w:rPr>
        <w:t>×</w:t>
      </w:r>
      <w:r>
        <w:rPr>
          <w:rFonts w:hint="eastAsia" w:ascii="仿宋_GB2312" w:hAnsi="仿宋_GB2312" w:eastAsia="仿宋_GB2312" w:cs="仿宋_GB2312"/>
          <w:sz w:val="28"/>
          <w:szCs w:val="28"/>
        </w:rPr>
        <w:t>92%</w:t>
      </w:r>
      <w:r>
        <w:rPr>
          <w:rFonts w:hint="eastAsia" w:ascii="仿宋_GB2312" w:hAnsi="仿宋_GB2312" w:eastAsia="仿宋_GB2312" w:cs="仿宋_GB2312"/>
          <w:spacing w:val="-14"/>
          <w:sz w:val="28"/>
          <w:szCs w:val="28"/>
        </w:rPr>
        <w:t>×当月采购人实际需要数量。</w:t>
      </w:r>
    </w:p>
    <w:p w14:paraId="047D0BEA">
      <w:pPr>
        <w:pStyle w:val="40"/>
        <w:keepNext w:val="0"/>
        <w:keepLines w:val="0"/>
        <w:pageBreakBefore w:val="0"/>
        <w:kinsoku/>
        <w:wordWrap/>
        <w:overflowPunct/>
        <w:topLinePunct w:val="0"/>
        <w:bidi w:val="0"/>
        <w:adjustRightInd/>
        <w:snapToGrid/>
        <w:spacing w:line="560" w:lineRule="exact"/>
        <w:ind w:firstLine="691" w:firstLineChars="247"/>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2、供应商所报的</w:t>
      </w:r>
      <w:r>
        <w:rPr>
          <w:rFonts w:hint="eastAsia" w:ascii="仿宋_GB2312" w:hAnsi="仿宋_GB2312" w:eastAsia="仿宋_GB2312" w:cs="仿宋_GB2312"/>
          <w:sz w:val="28"/>
          <w:szCs w:val="28"/>
          <w:lang w:eastAsia="zh-CN"/>
        </w:rPr>
        <w:t>遴选</w:t>
      </w:r>
      <w:r>
        <w:rPr>
          <w:rFonts w:hint="eastAsia" w:ascii="仿宋_GB2312" w:hAnsi="仿宋_GB2312" w:eastAsia="仿宋_GB2312" w:cs="仿宋_GB2312"/>
          <w:sz w:val="28"/>
          <w:szCs w:val="28"/>
        </w:rPr>
        <w:t>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14:paraId="61D4015D">
      <w:pPr>
        <w:pStyle w:val="2"/>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kern w:val="0"/>
          <w:sz w:val="28"/>
          <w:szCs w:val="28"/>
        </w:rPr>
        <w:t>3、货物单价最高限价乘以供应商报价折扣率后的</w:t>
      </w:r>
      <w:r>
        <w:rPr>
          <w:rFonts w:hint="eastAsia" w:ascii="仿宋_GB2312" w:hAnsi="仿宋_GB2312" w:eastAsia="仿宋_GB2312" w:cs="仿宋_GB2312"/>
          <w:kern w:val="0"/>
          <w:sz w:val="28"/>
          <w:szCs w:val="28"/>
          <w:u w:val="single"/>
        </w:rPr>
        <w:t>四舍五入保留小数点后</w:t>
      </w:r>
      <w:r>
        <w:rPr>
          <w:rFonts w:hint="eastAsia" w:ascii="仿宋_GB2312" w:hAnsi="仿宋_GB2312" w:eastAsia="仿宋_GB2312" w:cs="仿宋_GB2312"/>
          <w:kern w:val="0"/>
          <w:sz w:val="28"/>
          <w:szCs w:val="28"/>
          <w:u w:val="single"/>
          <w:lang w:val="en-US" w:eastAsia="zh-CN"/>
        </w:rPr>
        <w:t>2</w:t>
      </w:r>
      <w:r>
        <w:rPr>
          <w:rFonts w:hint="eastAsia" w:ascii="仿宋_GB2312" w:hAnsi="仿宋_GB2312" w:eastAsia="仿宋_GB2312" w:cs="仿宋_GB2312"/>
          <w:kern w:val="0"/>
          <w:sz w:val="28"/>
          <w:szCs w:val="28"/>
          <w:u w:val="single"/>
        </w:rPr>
        <w:t>位的价格为各项货物实际供货价。</w:t>
      </w:r>
    </w:p>
    <w:p w14:paraId="37B7D8DF">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本项目货物购置数量采购人当前无法确定，为预计采购数量</w:t>
      </w:r>
      <w:r>
        <w:rPr>
          <w:rFonts w:hint="eastAsia" w:ascii="仿宋_GB2312" w:hAnsi="仿宋_GB2312" w:eastAsia="仿宋_GB2312" w:cs="仿宋_GB2312"/>
          <w:sz w:val="28"/>
          <w:szCs w:val="28"/>
        </w:rPr>
        <w:t>，供应商成交后，根据采购人的需求进行供货，</w:t>
      </w:r>
      <w:r>
        <w:rPr>
          <w:rFonts w:hint="eastAsia" w:ascii="仿宋_GB2312" w:hAnsi="仿宋_GB2312" w:eastAsia="仿宋_GB2312" w:cs="仿宋_GB2312"/>
          <w:sz w:val="28"/>
          <w:szCs w:val="28"/>
          <w:u w:val="single"/>
        </w:rPr>
        <w:t>最终货物采购数量以合同履行期内采购人实际需求为准</w:t>
      </w:r>
      <w:r>
        <w:rPr>
          <w:rFonts w:hint="eastAsia" w:ascii="仿宋_GB2312" w:hAnsi="仿宋_GB2312" w:eastAsia="仿宋_GB2312" w:cs="仿宋_GB2312"/>
          <w:sz w:val="28"/>
          <w:szCs w:val="28"/>
        </w:rPr>
        <w:t>。</w:t>
      </w:r>
    </w:p>
    <w:p w14:paraId="2C452DE3">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结算时以采购人实际需要的各项货物购置数量分别乘以各项货物成交单价为准。合同履行期内，最终采购人货物采购总金额不超过本项目总预算金额。</w:t>
      </w:r>
    </w:p>
    <w:p w14:paraId="5BE345B6">
      <w:pPr>
        <w:pStyle w:val="35"/>
        <w:keepNext w:val="0"/>
        <w:keepLines w:val="0"/>
        <w:pageBreakBefore w:val="0"/>
        <w:kinsoku/>
        <w:wordWrap/>
        <w:overflowPunct/>
        <w:topLinePunct w:val="0"/>
        <w:bidi w:val="0"/>
        <w:adjustRightInd/>
        <w:snapToGrid/>
        <w:spacing w:line="560" w:lineRule="exact"/>
        <w:ind w:firstLine="562"/>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、处罚承担约定（技术要求）</w:t>
      </w:r>
    </w:p>
    <w:p w14:paraId="2E5D1DBF">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若供应商所供货物经国家行政部门检查判定为不符合国家相关标准，导致采购人因使用供应商不符合国家相关标准的货物而遭受国家相关部门处罚，所产生的罚款和法律责任全部由供应商负责承担和缴纳。</w:t>
      </w:r>
    </w:p>
    <w:p w14:paraId="22A4C22A">
      <w:pPr>
        <w:pStyle w:val="35"/>
        <w:keepNext w:val="0"/>
        <w:keepLines w:val="0"/>
        <w:pageBreakBefore w:val="0"/>
        <w:kinsoku/>
        <w:wordWrap/>
        <w:overflowPunct/>
        <w:topLinePunct w:val="0"/>
        <w:bidi w:val="0"/>
        <w:adjustRightInd/>
        <w:snapToGrid/>
        <w:spacing w:line="560" w:lineRule="exact"/>
        <w:ind w:firstLine="562"/>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、其他要求（技术要求）</w:t>
      </w:r>
    </w:p>
    <w:p w14:paraId="07464E77">
      <w:pPr>
        <w:pStyle w:val="40"/>
        <w:keepNext w:val="0"/>
        <w:keepLines w:val="0"/>
        <w:pageBreakBefore w:val="0"/>
        <w:tabs>
          <w:tab w:val="left" w:pos="0"/>
        </w:tabs>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1、本项目采用分批供货方式供货，本合同履行期内采购人电话通知供应商送货时间、货物品名、货物数量、型号规格、配送地点等。供应商接采购人通知送货，不论采购人货物需求规模大小，供应商均应保证按时按质供货。供应商须严格按照采购人通知，将指定货物在规定时限内配送至指定地点，并完成交接等工作</w:t>
      </w:r>
      <w:r>
        <w:rPr>
          <w:rFonts w:hint="eastAsia" w:ascii="仿宋_GB2312" w:hAnsi="仿宋_GB2312" w:eastAsia="仿宋_GB2312" w:cs="仿宋_GB2312"/>
          <w:sz w:val="28"/>
          <w:szCs w:val="28"/>
        </w:rPr>
        <w:t>。</w:t>
      </w:r>
    </w:p>
    <w:p w14:paraId="7C681151">
      <w:pPr>
        <w:pStyle w:val="2"/>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2、交货时间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接到</w:t>
      </w:r>
      <w:r>
        <w:rPr>
          <w:rFonts w:hint="eastAsia" w:ascii="仿宋_GB2312" w:hAnsi="仿宋_GB2312" w:eastAsia="仿宋_GB2312" w:cs="仿宋_GB2312"/>
          <w:sz w:val="28"/>
          <w:szCs w:val="28"/>
        </w:rPr>
        <w:t>采购人通知后，</w:t>
      </w:r>
      <w:r>
        <w:rPr>
          <w:rFonts w:hint="eastAsia" w:ascii="仿宋_GB2312" w:hAnsi="仿宋_GB2312" w:eastAsia="仿宋_GB2312" w:cs="仿宋_GB2312"/>
          <w:sz w:val="28"/>
          <w:szCs w:val="28"/>
          <w:lang w:val="en-US" w:eastAsia="zh-CN"/>
        </w:rPr>
        <w:t>72</w:t>
      </w:r>
      <w:r>
        <w:rPr>
          <w:rFonts w:hint="eastAsia" w:ascii="仿宋_GB2312" w:hAnsi="仿宋_GB2312" w:eastAsia="仿宋_GB2312" w:cs="仿宋_GB2312"/>
          <w:sz w:val="28"/>
          <w:szCs w:val="28"/>
        </w:rPr>
        <w:t>小时内将该批次货物送</w:t>
      </w:r>
      <w:r>
        <w:rPr>
          <w:rFonts w:hint="eastAsia" w:ascii="仿宋_GB2312" w:hAnsi="仿宋_GB2312" w:eastAsia="仿宋_GB2312" w:cs="仿宋_GB2312"/>
          <w:sz w:val="28"/>
          <w:szCs w:val="28"/>
          <w:lang w:eastAsia="zh-CN"/>
        </w:rPr>
        <w:t>达</w:t>
      </w:r>
      <w:r>
        <w:rPr>
          <w:rFonts w:hint="eastAsia" w:ascii="仿宋_GB2312" w:hAnsi="仿宋_GB2312" w:eastAsia="仿宋_GB2312" w:cs="仿宋_GB2312"/>
          <w:sz w:val="28"/>
          <w:szCs w:val="28"/>
        </w:rPr>
        <w:t>采购人院内指定地点。</w:t>
      </w:r>
    </w:p>
    <w:p w14:paraId="5F846B33">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货物送达指定地点由供应商承担货物装卸、搬运上楼、堆叠码放费用。供应商提供的给采购人的货物配送到采购人指定位置时，其货物距离失效期必须剩余该商品整个保质期限三分之二以上的时间且不低于半年。</w:t>
      </w:r>
    </w:p>
    <w:p w14:paraId="54C3D8F1">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3、供应商应将货物配送到采购人指定的院内任意地点接受采购人验货，并将该批货物的产品检验报告资料和合格证等资料，移交至采购人职能科室工作人员，并提供每批货物的质保生效期和截止日期资料。</w:t>
      </w:r>
    </w:p>
    <w:p w14:paraId="7537341D">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供应商应每次随货附销售单据。销售单据所记录的数据应与实际供货的品名、规格型号、数量、单价、金额等一致。货物验收时验收记录单据应当由采购人签字认可。</w:t>
      </w:r>
    </w:p>
    <w:p w14:paraId="10843942">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未提供全流程服务视为供应商违约。供应商不得随意变更接洽人员。</w:t>
      </w:r>
    </w:p>
    <w:p w14:paraId="0D3E2E06">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5、提供合同履约期间货物会计数据统计工作，每月以电子文档形式将当月所有配送货物的时间、品名、规格、数量、单价、金额、所属科室等数据发送至采购人相关工作人员存档。</w:t>
      </w:r>
    </w:p>
    <w:p w14:paraId="261299E3">
      <w:pPr>
        <w:pStyle w:val="40"/>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6、提供因货物不符合</w:t>
      </w:r>
      <w:r>
        <w:rPr>
          <w:rFonts w:hint="eastAsia" w:ascii="仿宋_GB2312" w:hAnsi="仿宋_GB2312" w:eastAsia="仿宋_GB2312" w:cs="仿宋_GB2312"/>
          <w:sz w:val="28"/>
          <w:szCs w:val="28"/>
          <w:lang w:eastAsia="zh-CN"/>
        </w:rPr>
        <w:t>本文件</w:t>
      </w:r>
      <w:r>
        <w:rPr>
          <w:rFonts w:hint="eastAsia" w:ascii="仿宋_GB2312" w:hAnsi="仿宋_GB2312" w:eastAsia="仿宋_GB2312" w:cs="仿宋_GB2312"/>
          <w:sz w:val="28"/>
          <w:szCs w:val="28"/>
        </w:rPr>
        <w:t>要求产生的上门货物退换服务。由供应商派工作人员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w:t>
      </w:r>
    </w:p>
    <w:p w14:paraId="3A800DE7">
      <w:pPr>
        <w:pStyle w:val="26"/>
        <w:keepNext w:val="0"/>
        <w:keepLines w:val="0"/>
        <w:pageBreakBefore w:val="0"/>
        <w:widowControl/>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7、供应商需要根据采购人的日常工作使用情况做好货物的备品工作，确保货源稳定，节假日不能断供。</w:t>
      </w:r>
    </w:p>
    <w:p w14:paraId="239CE10D">
      <w:pPr>
        <w:keepNext w:val="0"/>
        <w:keepLines w:val="0"/>
        <w:pageBreakBefore w:val="0"/>
        <w:kinsoku/>
        <w:wordWrap/>
        <w:overflowPunct/>
        <w:topLinePunct w:val="0"/>
        <w:autoSpaceDE w:val="0"/>
        <w:autoSpaceDN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w:t>
      </w:r>
      <w:r>
        <w:rPr>
          <w:rFonts w:hint="eastAsia" w:ascii="仿宋_GB2312" w:hAnsi="仿宋_GB2312" w:eastAsia="仿宋_GB2312" w:cs="仿宋_GB2312"/>
          <w:sz w:val="28"/>
          <w:szCs w:val="28"/>
          <w:lang w:eastAsia="zh-CN"/>
        </w:rPr>
        <w:t>或</w:t>
      </w:r>
      <w:r>
        <w:rPr>
          <w:rFonts w:hint="eastAsia" w:ascii="仿宋_GB2312" w:hAnsi="仿宋_GB2312" w:eastAsia="仿宋_GB2312" w:cs="仿宋_GB2312"/>
          <w:sz w:val="28"/>
          <w:szCs w:val="28"/>
        </w:rPr>
        <w:t>由此而导致的采购人对任何第三方的法律责任等，供应商对此均应承担全部的赔偿责任和法律责任。</w:t>
      </w:r>
    </w:p>
    <w:p w14:paraId="600F652F">
      <w:pPr>
        <w:pStyle w:val="25"/>
        <w:keepNext w:val="0"/>
        <w:keepLines w:val="0"/>
        <w:pageBreakBefore w:val="0"/>
        <w:kinsoku/>
        <w:wordWrap/>
        <w:overflowPunct/>
        <w:topLinePunct w:val="0"/>
        <w:bidi w:val="0"/>
        <w:adjustRightInd/>
        <w:snapToGrid/>
        <w:spacing w:line="560" w:lineRule="exact"/>
        <w:ind w:left="420" w:leftChars="200" w:firstLine="281" w:firstLineChars="1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九</w:t>
      </w:r>
      <w:r>
        <w:rPr>
          <w:rFonts w:hint="eastAsia" w:ascii="仿宋_GB2312" w:hAnsi="仿宋_GB2312" w:eastAsia="仿宋_GB2312" w:cs="仿宋_GB2312"/>
          <w:b/>
          <w:sz w:val="28"/>
          <w:szCs w:val="28"/>
        </w:rPr>
        <w:t>、商务要求</w:t>
      </w:r>
    </w:p>
    <w:p w14:paraId="35323198">
      <w:pPr>
        <w:pStyle w:val="35"/>
        <w:keepNext w:val="0"/>
        <w:keepLines w:val="0"/>
        <w:pageBreakBefore w:val="0"/>
        <w:widowControl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（一）合同的履行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以下任一条件先达到即合同履行完毕</w:t>
      </w:r>
      <w:r>
        <w:rPr>
          <w:rFonts w:hint="eastAsia" w:ascii="仿宋_GB2312" w:hAnsi="仿宋_GB2312" w:eastAsia="仿宋_GB2312" w:cs="仿宋_GB2312"/>
          <w:color w:val="auto"/>
          <w:sz w:val="28"/>
          <w:szCs w:val="28"/>
          <w:lang w:eastAsia="zh-CN"/>
        </w:rPr>
        <w:t>）</w:t>
      </w:r>
    </w:p>
    <w:p w14:paraId="76FE1553">
      <w:pPr>
        <w:pStyle w:val="35"/>
        <w:keepNext w:val="0"/>
        <w:keepLines w:val="0"/>
        <w:pageBreakBefore w:val="0"/>
        <w:widowControl w:val="0"/>
        <w:kinsoku/>
        <w:wordWrap/>
        <w:overflowPunct/>
        <w:topLinePunct w:val="0"/>
        <w:bidi w:val="0"/>
        <w:adjustRightInd/>
        <w:snapToGrid/>
        <w:spacing w:line="56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1、双方签订采购合同生效之日起，合同履行期限不超过18个月。</w:t>
      </w:r>
    </w:p>
    <w:p w14:paraId="13547127">
      <w:pPr>
        <w:pStyle w:val="35"/>
        <w:keepNext w:val="0"/>
        <w:keepLines w:val="0"/>
        <w:pageBreakBefore w:val="0"/>
        <w:widowControl w:val="0"/>
        <w:kinsoku/>
        <w:wordWrap/>
        <w:overflowPunct/>
        <w:topLinePunct w:val="0"/>
        <w:bidi w:val="0"/>
        <w:adjustRightInd/>
        <w:snapToGrid/>
        <w:spacing w:line="56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2、双方签订采购合同生效之日起，至</w:t>
      </w:r>
      <w:r>
        <w:rPr>
          <w:rFonts w:hint="eastAsia" w:ascii="仿宋_GB2312" w:hAnsi="仿宋_GB2312" w:eastAsia="仿宋_GB2312" w:cs="仿宋_GB2312"/>
          <w:color w:val="auto"/>
          <w:sz w:val="28"/>
          <w:szCs w:val="28"/>
        </w:rPr>
        <w:t>本项目采购总金额达到</w:t>
      </w:r>
      <w:r>
        <w:rPr>
          <w:rFonts w:hint="eastAsia" w:ascii="仿宋_GB2312" w:hAnsi="仿宋_GB2312" w:eastAsia="仿宋_GB2312" w:cs="仿宋_GB2312"/>
          <w:color w:val="auto"/>
          <w:sz w:val="28"/>
          <w:szCs w:val="28"/>
          <w:lang w:val="en-US" w:eastAsia="zh-CN"/>
        </w:rPr>
        <w:t>合同总价截止。</w:t>
      </w:r>
    </w:p>
    <w:p w14:paraId="71596BD6">
      <w:pPr>
        <w:pStyle w:val="35"/>
        <w:keepNext w:val="0"/>
        <w:keepLines w:val="0"/>
        <w:pageBreakBefore w:val="0"/>
        <w:kinsoku/>
        <w:wordWrap/>
        <w:overflowPunct/>
        <w:topLinePunct w:val="0"/>
        <w:bidi w:val="0"/>
        <w:adjustRightInd/>
        <w:snapToGrid/>
        <w:spacing w:line="56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47B52D1E">
      <w:pPr>
        <w:pStyle w:val="35"/>
        <w:keepNext w:val="0"/>
        <w:keepLines w:val="0"/>
        <w:pageBreakBefore w:val="0"/>
        <w:kinsoku/>
        <w:wordWrap/>
        <w:overflowPunct/>
        <w:topLinePunct w:val="0"/>
        <w:bidi w:val="0"/>
        <w:adjustRightInd/>
        <w:snapToGrid/>
        <w:spacing w:line="56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4、合同中止的约定：若国家行政管理部门根据相应法律法规，要求采购人解除本合同，即使本项目采购总金额未达到本项目总预算，本合同仍然立即终止。</w:t>
      </w:r>
    </w:p>
    <w:p w14:paraId="2B3C828B">
      <w:pPr>
        <w:pStyle w:val="5"/>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（二）项目履行地点：大竹县人民医院院内指定地点。</w:t>
      </w:r>
      <w:r>
        <w:rPr>
          <w:rFonts w:hint="eastAsia" w:ascii="仿宋_GB2312" w:hAnsi="仿宋_GB2312" w:eastAsia="仿宋_GB2312" w:cs="仿宋_GB2312"/>
          <w:b w:val="0"/>
          <w:bCs/>
          <w:sz w:val="28"/>
          <w:szCs w:val="28"/>
          <w:lang w:eastAsia="zh-CN"/>
        </w:rPr>
        <w:t>接到</w:t>
      </w:r>
      <w:r>
        <w:rPr>
          <w:rFonts w:hint="eastAsia" w:ascii="仿宋_GB2312" w:hAnsi="仿宋_GB2312" w:eastAsia="仿宋_GB2312" w:cs="仿宋_GB2312"/>
          <w:b w:val="0"/>
          <w:bCs/>
          <w:sz w:val="28"/>
          <w:szCs w:val="28"/>
        </w:rPr>
        <w:t>采购人通知后，</w:t>
      </w:r>
      <w:r>
        <w:rPr>
          <w:rFonts w:hint="eastAsia" w:ascii="仿宋_GB2312" w:hAnsi="仿宋_GB2312" w:eastAsia="仿宋_GB2312" w:cs="仿宋_GB2312"/>
          <w:b w:val="0"/>
          <w:bCs/>
          <w:sz w:val="28"/>
          <w:szCs w:val="28"/>
          <w:lang w:val="en-US" w:eastAsia="zh-CN"/>
        </w:rPr>
        <w:t>72</w:t>
      </w:r>
      <w:r>
        <w:rPr>
          <w:rFonts w:hint="eastAsia" w:ascii="仿宋_GB2312" w:hAnsi="仿宋_GB2312" w:eastAsia="仿宋_GB2312" w:cs="仿宋_GB2312"/>
          <w:b w:val="0"/>
          <w:bCs/>
          <w:sz w:val="28"/>
          <w:szCs w:val="28"/>
        </w:rPr>
        <w:t>小时内将该批次货物送</w:t>
      </w:r>
      <w:r>
        <w:rPr>
          <w:rFonts w:hint="eastAsia" w:ascii="仿宋_GB2312" w:hAnsi="仿宋_GB2312" w:eastAsia="仿宋_GB2312" w:cs="仿宋_GB2312"/>
          <w:b w:val="0"/>
          <w:bCs/>
          <w:sz w:val="28"/>
          <w:szCs w:val="28"/>
          <w:lang w:eastAsia="zh-CN"/>
        </w:rPr>
        <w:t>达</w:t>
      </w:r>
      <w:r>
        <w:rPr>
          <w:rFonts w:hint="eastAsia" w:ascii="仿宋_GB2312" w:hAnsi="仿宋_GB2312" w:eastAsia="仿宋_GB2312" w:cs="仿宋_GB2312"/>
          <w:b w:val="0"/>
          <w:bCs/>
          <w:sz w:val="28"/>
          <w:szCs w:val="28"/>
        </w:rPr>
        <w:t>采购人院内指定地点。货物交付采购人之前，货物的损毁、灭失风险由供应商承担。</w:t>
      </w:r>
    </w:p>
    <w:p w14:paraId="30947B85">
      <w:pPr>
        <w:pStyle w:val="40"/>
        <w:keepNext w:val="0"/>
        <w:keepLines w:val="0"/>
        <w:pageBreakBefore w:val="0"/>
        <w:kinsoku/>
        <w:wordWrap/>
        <w:overflowPunct/>
        <w:topLinePunct w:val="0"/>
        <w:bidi w:val="0"/>
        <w:adjustRightInd/>
        <w:snapToGrid/>
        <w:spacing w:line="560" w:lineRule="exact"/>
        <w:ind w:left="630" w:leftChars="3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（三）项目付款方式及验收方式</w:t>
      </w:r>
    </w:p>
    <w:p w14:paraId="4FB867B4">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1、合同履行期间，本项目采购总金额在达到项目成交总金额前，采购人和成交供应商每月核算一次成交供应商所供货物采购数量和金额。</w:t>
      </w:r>
    </w:p>
    <w:p w14:paraId="17659582">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每月28号前，成交供应商应完成与采购人当月货款的核算工作。成交供应商提供合同履约期间货物会计数据统计的电子文档给采购人存档。</w:t>
      </w:r>
    </w:p>
    <w:p w14:paraId="3A0483EC">
      <w:pPr>
        <w:pStyle w:val="26"/>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人采用银行转账方式付款，采购人付款前，成交供应商必须提供货物结算清单给采购人核对，成交供应商的结算清单应清楚、准确、明晰，成交供应商必须出具国家认可的足额有效发票，否则采购人有权拒绝付款。</w:t>
      </w:r>
    </w:p>
    <w:p w14:paraId="0B2CC1CC">
      <w:pPr>
        <w:pStyle w:val="26"/>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3、双方核对一致后，成交供应商才可开具发票。每月采购人在收到成交供应商前款所述有效票据后，90日内转账支付成交供应商该批次货款。</w:t>
      </w:r>
    </w:p>
    <w:p w14:paraId="1788540D">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4、验收方式：按照国家和行业相关质量标准和规范要求，参照财政部关于进一步加强政府采购需求和履约验收管理的指导意见（财库〔2016〕205 号）以及采购文件要求组织开展验收工作。</w:t>
      </w:r>
    </w:p>
    <w:p w14:paraId="0AFABA68">
      <w:pPr>
        <w:pStyle w:val="35"/>
        <w:keepNext w:val="0"/>
        <w:keepLines w:val="0"/>
        <w:pageBreakBefore w:val="0"/>
        <w:kinsoku/>
        <w:wordWrap/>
        <w:overflowPunct/>
        <w:topLinePunct w:val="0"/>
        <w:bidi w:val="0"/>
        <w:adjustRightInd/>
        <w:snapToGrid/>
        <w:spacing w:line="560" w:lineRule="exact"/>
        <w:ind w:firstLine="562"/>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（四）货物包装、运输要求</w:t>
      </w:r>
    </w:p>
    <w:p w14:paraId="73914597">
      <w:pPr>
        <w:pStyle w:val="40"/>
        <w:keepNext w:val="0"/>
        <w:keepLines w:val="0"/>
        <w:pageBreakBefore w:val="0"/>
        <w:tabs>
          <w:tab w:val="left" w:pos="0"/>
        </w:tabs>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50FC8016">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13318C23">
      <w:pPr>
        <w:pStyle w:val="35"/>
        <w:keepNext w:val="0"/>
        <w:keepLines w:val="0"/>
        <w:pageBreakBefore w:val="0"/>
        <w:kinsoku/>
        <w:wordWrap/>
        <w:overflowPunct/>
        <w:topLinePunct w:val="0"/>
        <w:bidi w:val="0"/>
        <w:adjustRightInd/>
        <w:snapToGrid/>
        <w:spacing w:line="560" w:lineRule="exact"/>
        <w:ind w:firstLine="562"/>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（五）售后服务要求</w:t>
      </w:r>
    </w:p>
    <w:p w14:paraId="70213594">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1、货物在质保期内出现质量问题，供应商应在采购人通知后</w:t>
      </w:r>
      <w:r>
        <w:rPr>
          <w:rFonts w:hint="eastAsia" w:ascii="仿宋_GB2312" w:hAnsi="仿宋_GB2312" w:eastAsia="仿宋_GB2312" w:cs="仿宋_GB2312"/>
          <w:sz w:val="28"/>
          <w:szCs w:val="28"/>
          <w:lang w:val="en-US" w:eastAsia="zh-CN"/>
        </w:rPr>
        <w:t>72</w:t>
      </w:r>
      <w:r>
        <w:rPr>
          <w:rFonts w:hint="eastAsia" w:ascii="仿宋_GB2312" w:hAnsi="仿宋_GB2312" w:eastAsia="仿宋_GB2312" w:cs="仿宋_GB2312"/>
          <w:sz w:val="28"/>
          <w:szCs w:val="28"/>
        </w:rPr>
        <w:t>小时内将货物更换，货物更换必须是等于或优于</w:t>
      </w:r>
      <w:r>
        <w:rPr>
          <w:rFonts w:hint="eastAsia" w:ascii="仿宋_GB2312" w:hAnsi="仿宋_GB2312" w:eastAsia="仿宋_GB2312" w:cs="仿宋_GB2312"/>
          <w:sz w:val="28"/>
          <w:szCs w:val="28"/>
          <w:lang w:eastAsia="zh-CN"/>
        </w:rPr>
        <w:t>本文件</w:t>
      </w:r>
      <w:r>
        <w:rPr>
          <w:rFonts w:hint="eastAsia" w:ascii="仿宋_GB2312" w:hAnsi="仿宋_GB2312" w:eastAsia="仿宋_GB2312" w:cs="仿宋_GB2312"/>
          <w:sz w:val="28"/>
          <w:szCs w:val="28"/>
        </w:rPr>
        <w:t>要求的。</w:t>
      </w:r>
      <w:r>
        <w:rPr>
          <w:rFonts w:hint="eastAsia" w:ascii="仿宋_GB2312" w:hAnsi="仿宋_GB2312" w:eastAsia="仿宋_GB2312" w:cs="仿宋_GB2312"/>
          <w:sz w:val="28"/>
          <w:szCs w:val="28"/>
          <w:lang w:val="en-US" w:eastAsia="zh-CN"/>
        </w:rPr>
        <w:t>72</w:t>
      </w:r>
      <w:r>
        <w:rPr>
          <w:rFonts w:hint="eastAsia" w:ascii="仿宋_GB2312" w:hAnsi="仿宋_GB2312" w:eastAsia="仿宋_GB2312" w:cs="仿宋_GB2312"/>
          <w:sz w:val="28"/>
          <w:szCs w:val="28"/>
          <w:lang w:eastAsia="zh-CN"/>
        </w:rPr>
        <w:t>小时</w:t>
      </w:r>
      <w:r>
        <w:rPr>
          <w:rFonts w:hint="eastAsia" w:ascii="仿宋_GB2312" w:hAnsi="仿宋_GB2312" w:eastAsia="仿宋_GB2312" w:cs="仿宋_GB2312"/>
          <w:sz w:val="28"/>
          <w:szCs w:val="28"/>
        </w:rPr>
        <w:t>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14:paraId="773F39E3">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565061F0">
      <w:pPr>
        <w:pStyle w:val="35"/>
        <w:keepNext w:val="0"/>
        <w:keepLines w:val="0"/>
        <w:pageBreakBefore w:val="0"/>
        <w:kinsoku/>
        <w:wordWrap/>
        <w:overflowPunct/>
        <w:topLinePunct w:val="0"/>
        <w:bidi w:val="0"/>
        <w:adjustRightInd/>
        <w:snapToGrid/>
        <w:spacing w:line="560" w:lineRule="exact"/>
        <w:ind w:firstLine="422" w:firstLineChars="15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（六）违约责任</w:t>
      </w:r>
    </w:p>
    <w:p w14:paraId="5401AA39">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1、供应商必须严格按照国家相关法律法规和</w:t>
      </w:r>
      <w:r>
        <w:rPr>
          <w:rFonts w:hint="eastAsia" w:ascii="仿宋_GB2312" w:hAnsi="仿宋_GB2312" w:eastAsia="仿宋_GB2312" w:cs="仿宋_GB2312"/>
          <w:bCs/>
          <w:sz w:val="28"/>
          <w:szCs w:val="28"/>
          <w:lang w:eastAsia="zh-CN"/>
        </w:rPr>
        <w:t>本文件</w:t>
      </w:r>
      <w:r>
        <w:rPr>
          <w:rFonts w:hint="eastAsia" w:ascii="仿宋_GB2312" w:hAnsi="仿宋_GB2312" w:eastAsia="仿宋_GB2312" w:cs="仿宋_GB2312"/>
          <w:bCs/>
          <w:sz w:val="28"/>
          <w:szCs w:val="28"/>
        </w:rPr>
        <w:t>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358A5FC9">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14:paraId="2DD30320">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有下列情形之一行为视为供应商违约，采购人有权按照以下条款要求成交供应商承担违约金及违约责任：</w:t>
      </w:r>
    </w:p>
    <w:p w14:paraId="659BCEA4">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20F7B2DB">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（2）成交供应商提供的货物或服务根本违约（例如提供假冒伪劣产品或以次充好），致使合同的目的不能实现的，成交供应商应向采购人缴纳合同总价款20%的违约金，同时采购人有权解除合同。</w:t>
      </w:r>
    </w:p>
    <w:p w14:paraId="052E3CA7">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（3）成交供应商延迟履约，即成交供应商应向采购人提供的货物及服务未按合同约定时间达成的，成交供应商每有一次违约行为，采购人将扣除成交供应商当月结算货款</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00元，供应商经采购人催告后应继续按合同约定履行合同。若供应商一年内</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次延迟履约，则成交供应商应向采购人缴纳合同总价款5%的违约金，同时采购人有权解除合同。</w:t>
      </w:r>
    </w:p>
    <w:p w14:paraId="32C9A559">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（4）成交供应商所供的货物或服务瑕疵违约，与</w:t>
      </w:r>
      <w:r>
        <w:rPr>
          <w:rFonts w:hint="eastAsia" w:ascii="仿宋_GB2312" w:hAnsi="仿宋_GB2312" w:eastAsia="仿宋_GB2312" w:cs="仿宋_GB2312"/>
          <w:sz w:val="28"/>
          <w:szCs w:val="28"/>
          <w:lang w:eastAsia="zh-CN"/>
        </w:rPr>
        <w:t>本文件</w:t>
      </w:r>
      <w:r>
        <w:rPr>
          <w:rFonts w:hint="eastAsia" w:ascii="仿宋_GB2312" w:hAnsi="仿宋_GB2312" w:eastAsia="仿宋_GB2312" w:cs="仿宋_GB2312"/>
          <w:sz w:val="28"/>
          <w:szCs w:val="28"/>
        </w:rPr>
        <w:t>要求或采购人采购需求不符的，成交供应商应承担修理、重作、更换、退货、减少价款或者报酬等违约责任。同时成交供应商每有一次违约行为，采购人将扣除成交供应商当月结算货款</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00元，供应商出现</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次本款所列违约行为，成交供应商应向采购人支付合同总价款5%的违约金，同时采购人有权解除合同。经采购人同意后，供应商更正瑕疵违约行为后，可以继续按合同约定履行合同。</w:t>
      </w:r>
    </w:p>
    <w:p w14:paraId="142F4F78">
      <w:pPr>
        <w:pStyle w:val="35"/>
        <w:keepNext w:val="0"/>
        <w:keepLines w:val="0"/>
        <w:pageBreakBefore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3、合同履行过程中由供应商及员工原因造成的一切安全事故、人身伤亡、经济损失均由供应商自行负责承担，其责任与采购人无关。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385D6E76">
      <w:pPr>
        <w:pStyle w:val="35"/>
        <w:spacing w:line="360" w:lineRule="auto"/>
        <w:ind w:left="0" w:leftChars="0" w:firstLine="0" w:firstLineChars="0"/>
        <w:jc w:val="both"/>
        <w:rPr>
          <w:rFonts w:hint="eastAsia" w:ascii="仿宋" w:hAnsi="仿宋" w:eastAsia="仿宋" w:cs="仿宋"/>
          <w:b/>
          <w:sz w:val="28"/>
          <w:szCs w:val="28"/>
          <w:highlight w:val="none"/>
        </w:rPr>
      </w:pPr>
    </w:p>
    <w:p w14:paraId="67FC9677">
      <w:pPr>
        <w:pStyle w:val="35"/>
        <w:spacing w:line="360" w:lineRule="auto"/>
        <w:ind w:left="0" w:leftChars="0" w:firstLine="0" w:firstLineChars="0"/>
        <w:jc w:val="both"/>
        <w:rPr>
          <w:rFonts w:hint="eastAsia" w:ascii="仿宋" w:hAnsi="仿宋" w:eastAsia="仿宋" w:cs="仿宋"/>
          <w:b/>
          <w:sz w:val="28"/>
          <w:szCs w:val="28"/>
          <w:highlight w:val="none"/>
        </w:rPr>
      </w:pPr>
    </w:p>
    <w:p w14:paraId="009BAA07">
      <w:pPr>
        <w:pStyle w:val="35"/>
        <w:spacing w:line="360" w:lineRule="auto"/>
        <w:ind w:left="0" w:leftChars="0" w:firstLine="0" w:firstLineChars="0"/>
        <w:jc w:val="both"/>
        <w:rPr>
          <w:rFonts w:hint="eastAsia" w:ascii="仿宋" w:hAnsi="仿宋" w:eastAsia="仿宋" w:cs="仿宋"/>
          <w:b/>
          <w:sz w:val="28"/>
          <w:szCs w:val="28"/>
          <w:highlight w:val="none"/>
        </w:rPr>
      </w:pPr>
    </w:p>
    <w:p w14:paraId="5459A114">
      <w:pPr>
        <w:pStyle w:val="35"/>
        <w:spacing w:line="360" w:lineRule="auto"/>
        <w:ind w:left="0" w:leftChars="0" w:firstLine="0" w:firstLineChars="0"/>
        <w:jc w:val="both"/>
        <w:rPr>
          <w:rFonts w:hint="eastAsia" w:ascii="仿宋" w:hAnsi="仿宋" w:eastAsia="仿宋" w:cs="仿宋"/>
          <w:b/>
          <w:sz w:val="28"/>
          <w:szCs w:val="28"/>
          <w:highlight w:val="none"/>
        </w:rPr>
      </w:pPr>
    </w:p>
    <w:p w14:paraId="53B44A70">
      <w:pPr>
        <w:pStyle w:val="35"/>
        <w:spacing w:line="360" w:lineRule="auto"/>
        <w:ind w:left="0" w:leftChars="0" w:firstLine="0" w:firstLineChars="0"/>
        <w:jc w:val="both"/>
        <w:rPr>
          <w:rFonts w:hint="eastAsia" w:ascii="仿宋" w:hAnsi="仿宋" w:eastAsia="仿宋" w:cs="仿宋"/>
          <w:b/>
          <w:sz w:val="28"/>
          <w:szCs w:val="28"/>
          <w:highlight w:val="none"/>
        </w:rPr>
      </w:pPr>
    </w:p>
    <w:p w14:paraId="3EA69D84">
      <w:pPr>
        <w:pStyle w:val="35"/>
        <w:spacing w:line="360" w:lineRule="auto"/>
        <w:ind w:left="0" w:leftChars="0" w:firstLine="0" w:firstLineChars="0"/>
        <w:jc w:val="both"/>
        <w:rPr>
          <w:rFonts w:hint="eastAsia" w:ascii="仿宋" w:hAnsi="仿宋" w:eastAsia="仿宋" w:cs="仿宋"/>
          <w:b/>
          <w:sz w:val="28"/>
          <w:szCs w:val="28"/>
          <w:highlight w:val="none"/>
        </w:rPr>
      </w:pPr>
    </w:p>
    <w:p w14:paraId="4CB9CBC5">
      <w:pPr>
        <w:pStyle w:val="35"/>
        <w:spacing w:line="360" w:lineRule="auto"/>
        <w:ind w:left="0" w:leftChars="0" w:firstLine="0" w:firstLineChars="0"/>
        <w:jc w:val="both"/>
        <w:rPr>
          <w:rFonts w:hint="eastAsia" w:ascii="仿宋" w:hAnsi="仿宋" w:eastAsia="仿宋" w:cs="仿宋"/>
          <w:b/>
          <w:sz w:val="28"/>
          <w:szCs w:val="28"/>
          <w:highlight w:val="none"/>
        </w:rPr>
      </w:pPr>
    </w:p>
    <w:p w14:paraId="5554F19C">
      <w:pPr>
        <w:pStyle w:val="35"/>
        <w:spacing w:line="360" w:lineRule="auto"/>
        <w:ind w:left="0" w:leftChars="0" w:firstLine="0" w:firstLineChars="0"/>
        <w:jc w:val="center"/>
        <w:rPr>
          <w:rFonts w:hint="eastAsia" w:ascii="仿宋" w:hAnsi="仿宋" w:eastAsia="仿宋" w:cs="仿宋"/>
          <w:b/>
          <w:sz w:val="28"/>
          <w:szCs w:val="28"/>
          <w:highlight w:val="none"/>
        </w:rPr>
      </w:pPr>
    </w:p>
    <w:p w14:paraId="348AFBA7">
      <w:pPr>
        <w:pStyle w:val="35"/>
        <w:spacing w:line="360" w:lineRule="auto"/>
        <w:ind w:left="0" w:leftChars="0" w:firstLine="0" w:firstLineChars="0"/>
        <w:jc w:val="center"/>
        <w:rPr>
          <w:rFonts w:hint="eastAsia" w:ascii="仿宋" w:hAnsi="仿宋" w:eastAsia="仿宋" w:cs="仿宋"/>
          <w:b/>
          <w:sz w:val="28"/>
          <w:szCs w:val="28"/>
          <w:highlight w:val="none"/>
        </w:rPr>
      </w:pPr>
    </w:p>
    <w:p w14:paraId="2335C3DE">
      <w:pPr>
        <w:pStyle w:val="35"/>
        <w:spacing w:line="360" w:lineRule="auto"/>
        <w:ind w:left="0" w:leftChars="0" w:firstLine="0" w:firstLineChars="0"/>
        <w:jc w:val="center"/>
        <w:rPr>
          <w:rFonts w:hint="eastAsia" w:ascii="仿宋" w:hAnsi="仿宋" w:eastAsia="仿宋" w:cs="仿宋"/>
          <w:b/>
          <w:sz w:val="28"/>
          <w:szCs w:val="28"/>
          <w:highlight w:val="none"/>
        </w:rPr>
      </w:pPr>
    </w:p>
    <w:p w14:paraId="6385E432">
      <w:pPr>
        <w:pStyle w:val="35"/>
        <w:spacing w:line="360" w:lineRule="auto"/>
        <w:ind w:left="0" w:leftChars="0" w:firstLine="0" w:firstLineChars="0"/>
        <w:jc w:val="center"/>
        <w:rPr>
          <w:rFonts w:hint="eastAsia" w:ascii="仿宋" w:hAnsi="仿宋" w:eastAsia="仿宋" w:cs="仿宋"/>
          <w:b/>
          <w:sz w:val="28"/>
          <w:szCs w:val="28"/>
          <w:highlight w:val="none"/>
        </w:rPr>
      </w:pPr>
    </w:p>
    <w:p w14:paraId="3D0760E1">
      <w:pPr>
        <w:pStyle w:val="35"/>
        <w:spacing w:line="360" w:lineRule="auto"/>
        <w:ind w:left="0" w:leftChars="0" w:firstLine="0" w:firstLineChars="0"/>
        <w:jc w:val="center"/>
        <w:rPr>
          <w:rFonts w:hint="eastAsia" w:ascii="仿宋" w:hAnsi="仿宋" w:eastAsia="仿宋" w:cs="仿宋"/>
          <w:b/>
          <w:sz w:val="28"/>
          <w:szCs w:val="28"/>
          <w:highlight w:val="none"/>
        </w:rPr>
      </w:pPr>
    </w:p>
    <w:p w14:paraId="2D602440">
      <w:pPr>
        <w:pStyle w:val="35"/>
        <w:spacing w:line="360" w:lineRule="auto"/>
        <w:ind w:left="0" w:leftChars="0" w:firstLine="0" w:firstLineChars="0"/>
        <w:jc w:val="center"/>
        <w:rPr>
          <w:rFonts w:hint="eastAsia" w:ascii="仿宋" w:hAnsi="仿宋" w:eastAsia="仿宋" w:cs="仿宋"/>
          <w:b/>
          <w:sz w:val="28"/>
          <w:szCs w:val="28"/>
          <w:highlight w:val="none"/>
        </w:rPr>
      </w:pPr>
    </w:p>
    <w:p w14:paraId="5D3DEFDC">
      <w:pPr>
        <w:pStyle w:val="35"/>
        <w:spacing w:line="360" w:lineRule="auto"/>
        <w:ind w:left="0" w:leftChars="0" w:firstLine="0" w:firstLineChars="0"/>
        <w:jc w:val="center"/>
        <w:rPr>
          <w:rFonts w:hint="eastAsia" w:ascii="仿宋" w:hAnsi="仿宋" w:eastAsia="仿宋" w:cs="仿宋"/>
          <w:b/>
          <w:sz w:val="28"/>
          <w:szCs w:val="28"/>
          <w:highlight w:val="none"/>
        </w:rPr>
      </w:pPr>
    </w:p>
    <w:p w14:paraId="6D8CEA35">
      <w:pPr>
        <w:pStyle w:val="35"/>
        <w:spacing w:line="360" w:lineRule="auto"/>
        <w:ind w:left="0" w:leftChars="0" w:firstLine="0" w:firstLineChars="0"/>
        <w:jc w:val="center"/>
        <w:rPr>
          <w:rFonts w:hint="eastAsia" w:ascii="仿宋" w:hAnsi="仿宋" w:eastAsia="仿宋" w:cs="仿宋"/>
          <w:b/>
          <w:sz w:val="28"/>
          <w:szCs w:val="28"/>
          <w:highlight w:val="none"/>
        </w:rPr>
      </w:pPr>
    </w:p>
    <w:p w14:paraId="6ABCF94D">
      <w:pPr>
        <w:pStyle w:val="35"/>
        <w:spacing w:line="360" w:lineRule="auto"/>
        <w:ind w:left="0" w:leftChars="0" w:firstLine="0" w:firstLineChars="0"/>
        <w:jc w:val="center"/>
        <w:rPr>
          <w:rFonts w:hint="eastAsia" w:ascii="仿宋" w:hAnsi="仿宋" w:eastAsia="仿宋" w:cs="仿宋"/>
          <w:b/>
          <w:sz w:val="28"/>
          <w:szCs w:val="28"/>
          <w:highlight w:val="none"/>
        </w:rPr>
      </w:pPr>
    </w:p>
    <w:p w14:paraId="04473F92">
      <w:pPr>
        <w:pStyle w:val="35"/>
        <w:spacing w:line="360" w:lineRule="auto"/>
        <w:ind w:left="0" w:leftChars="0" w:firstLine="0" w:firstLineChars="0"/>
        <w:jc w:val="center"/>
        <w:rPr>
          <w:rFonts w:hint="eastAsia" w:ascii="仿宋" w:hAnsi="仿宋" w:eastAsia="仿宋" w:cs="仿宋"/>
          <w:b/>
          <w:sz w:val="28"/>
          <w:szCs w:val="28"/>
          <w:highlight w:val="none"/>
        </w:rPr>
      </w:pPr>
    </w:p>
    <w:p w14:paraId="1BF7C572">
      <w:pPr>
        <w:pStyle w:val="35"/>
        <w:spacing w:line="360" w:lineRule="auto"/>
        <w:ind w:left="0" w:leftChars="0" w:firstLine="0" w:firstLineChars="0"/>
        <w:jc w:val="center"/>
        <w:rPr>
          <w:rFonts w:hint="eastAsia" w:ascii="仿宋" w:hAnsi="仿宋" w:eastAsia="仿宋" w:cs="仿宋"/>
          <w:b/>
          <w:sz w:val="28"/>
          <w:szCs w:val="28"/>
          <w:highlight w:val="none"/>
        </w:rPr>
      </w:pPr>
    </w:p>
    <w:p w14:paraId="6F12C94A">
      <w:pPr>
        <w:pStyle w:val="35"/>
        <w:spacing w:line="360" w:lineRule="auto"/>
        <w:ind w:left="0" w:leftChars="0" w:firstLine="0" w:firstLineChars="0"/>
        <w:jc w:val="center"/>
        <w:rPr>
          <w:rFonts w:hint="eastAsia" w:ascii="仿宋" w:hAnsi="仿宋" w:eastAsia="仿宋" w:cs="仿宋"/>
          <w:b/>
          <w:sz w:val="28"/>
          <w:szCs w:val="28"/>
          <w:highlight w:val="none"/>
        </w:rPr>
      </w:pPr>
    </w:p>
    <w:p w14:paraId="4C528E8B">
      <w:pPr>
        <w:pStyle w:val="35"/>
        <w:spacing w:line="360" w:lineRule="auto"/>
        <w:ind w:left="0" w:leftChars="0" w:firstLine="0" w:firstLineChars="0"/>
        <w:jc w:val="center"/>
        <w:rPr>
          <w:rFonts w:hint="eastAsia" w:ascii="仿宋" w:hAnsi="仿宋" w:eastAsia="仿宋" w:cs="仿宋"/>
          <w:b/>
          <w:sz w:val="28"/>
          <w:szCs w:val="28"/>
          <w:highlight w:val="none"/>
        </w:rPr>
      </w:pPr>
    </w:p>
    <w:p w14:paraId="09BBB267">
      <w:pPr>
        <w:pStyle w:val="35"/>
        <w:spacing w:line="360" w:lineRule="auto"/>
        <w:ind w:left="0" w:leftChars="0"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第九章   响应文件相关文书格式</w:t>
      </w:r>
    </w:p>
    <w:p w14:paraId="47286839">
      <w:pPr>
        <w:spacing w:line="360" w:lineRule="auto"/>
        <w:jc w:val="center"/>
        <w:rPr>
          <w:rFonts w:ascii="仿宋" w:hAnsi="仿宋" w:eastAsia="仿宋" w:cs="仿宋"/>
          <w:b/>
          <w:spacing w:val="78"/>
          <w:sz w:val="36"/>
          <w:szCs w:val="36"/>
          <w:highlight w:val="none"/>
        </w:rPr>
      </w:pPr>
      <w:r>
        <w:rPr>
          <w:rFonts w:hint="eastAsia" w:ascii="仿宋" w:hAnsi="仿宋" w:eastAsia="仿宋" w:cs="仿宋"/>
          <w:b/>
          <w:spacing w:val="78"/>
          <w:sz w:val="36"/>
          <w:szCs w:val="36"/>
          <w:highlight w:val="none"/>
        </w:rPr>
        <w:t>响应文件封面要求如下</w:t>
      </w:r>
    </w:p>
    <w:p w14:paraId="59FC0E6A">
      <w:pPr>
        <w:pStyle w:val="22"/>
        <w:rPr>
          <w:highlight w:val="none"/>
        </w:rPr>
      </w:pPr>
    </w:p>
    <w:p w14:paraId="3D947F27">
      <w:pPr>
        <w:spacing w:line="360" w:lineRule="auto"/>
        <w:jc w:val="center"/>
        <w:rPr>
          <w:rFonts w:ascii="仿宋" w:hAnsi="仿宋" w:eastAsia="仿宋" w:cs="仿宋"/>
          <w:b/>
          <w:spacing w:val="78"/>
          <w:sz w:val="90"/>
          <w:szCs w:val="90"/>
          <w:highlight w:val="none"/>
        </w:rPr>
      </w:pPr>
      <w:r>
        <w:rPr>
          <w:rFonts w:hint="eastAsia" w:ascii="仿宋" w:hAnsi="仿宋" w:eastAsia="仿宋" w:cs="仿宋"/>
          <w:b/>
          <w:spacing w:val="78"/>
          <w:sz w:val="52"/>
          <w:szCs w:val="52"/>
          <w:highlight w:val="none"/>
        </w:rPr>
        <w:t>响应文件</w:t>
      </w:r>
    </w:p>
    <w:p w14:paraId="4A77D156">
      <w:pPr>
        <w:spacing w:line="360" w:lineRule="auto"/>
        <w:jc w:val="center"/>
        <w:rPr>
          <w:rFonts w:ascii="仿宋" w:hAnsi="仿宋" w:eastAsia="仿宋" w:cs="仿宋"/>
          <w:b/>
          <w:bCs/>
          <w:sz w:val="36"/>
          <w:highlight w:val="none"/>
        </w:rPr>
      </w:pPr>
    </w:p>
    <w:p w14:paraId="0BA753D7">
      <w:pPr>
        <w:spacing w:line="360" w:lineRule="auto"/>
        <w:jc w:val="center"/>
        <w:rPr>
          <w:rFonts w:ascii="仿宋" w:hAnsi="仿宋" w:eastAsia="仿宋" w:cs="仿宋"/>
          <w:b/>
          <w:bCs/>
          <w:sz w:val="36"/>
          <w:highlight w:val="none"/>
        </w:rPr>
      </w:pPr>
    </w:p>
    <w:p w14:paraId="5BEA0A94">
      <w:pPr>
        <w:spacing w:line="360" w:lineRule="auto"/>
        <w:ind w:left="1890" w:leftChars="900"/>
        <w:jc w:val="left"/>
        <w:rPr>
          <w:rFonts w:ascii="仿宋" w:hAnsi="仿宋" w:eastAsia="仿宋" w:cs="仿宋"/>
          <w:b/>
          <w:bCs/>
          <w:sz w:val="36"/>
          <w:highlight w:val="none"/>
        </w:rPr>
      </w:pPr>
    </w:p>
    <w:p w14:paraId="6E64EAB1">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采购项目编号  ：</w:t>
      </w:r>
    </w:p>
    <w:p w14:paraId="4C57B40D">
      <w:pPr>
        <w:spacing w:line="360" w:lineRule="auto"/>
        <w:ind w:left="1050" w:leftChars="500"/>
        <w:jc w:val="left"/>
        <w:rPr>
          <w:rFonts w:ascii="仿宋" w:hAnsi="仿宋" w:eastAsia="仿宋" w:cs="仿宋"/>
          <w:b/>
          <w:bCs/>
          <w:sz w:val="36"/>
          <w:highlight w:val="none"/>
        </w:rPr>
      </w:pPr>
    </w:p>
    <w:p w14:paraId="30FFB9BF">
      <w:pPr>
        <w:spacing w:line="360" w:lineRule="auto"/>
        <w:ind w:left="1050" w:leftChars="500"/>
        <w:jc w:val="left"/>
        <w:rPr>
          <w:rFonts w:ascii="仿宋" w:hAnsi="仿宋" w:eastAsia="仿宋" w:cs="仿宋"/>
          <w:b/>
          <w:bCs/>
          <w:sz w:val="36"/>
          <w:highlight w:val="none"/>
          <w:u w:val="single"/>
        </w:rPr>
      </w:pPr>
      <w:r>
        <w:rPr>
          <w:rFonts w:hint="eastAsia" w:ascii="仿宋" w:hAnsi="仿宋" w:eastAsia="仿宋" w:cs="仿宋"/>
          <w:b/>
          <w:bCs/>
          <w:sz w:val="36"/>
          <w:highlight w:val="none"/>
        </w:rPr>
        <w:t>采购项目名称  ：</w:t>
      </w:r>
    </w:p>
    <w:p w14:paraId="0F347E5C">
      <w:pPr>
        <w:spacing w:line="360" w:lineRule="auto"/>
        <w:rPr>
          <w:rFonts w:ascii="仿宋" w:hAnsi="仿宋" w:eastAsia="仿宋" w:cs="仿宋"/>
          <w:b/>
          <w:bCs/>
          <w:sz w:val="36"/>
          <w:highlight w:val="none"/>
        </w:rPr>
      </w:pPr>
    </w:p>
    <w:p w14:paraId="6C40BABE">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供应商名称（加盖公章）：</w:t>
      </w:r>
    </w:p>
    <w:p w14:paraId="4C0DF9F8">
      <w:pPr>
        <w:spacing w:line="360" w:lineRule="auto"/>
        <w:ind w:left="1050" w:leftChars="500"/>
        <w:jc w:val="left"/>
        <w:rPr>
          <w:rFonts w:ascii="仿宋" w:hAnsi="仿宋" w:eastAsia="仿宋" w:cs="仿宋"/>
          <w:b/>
          <w:bCs/>
          <w:sz w:val="36"/>
          <w:highlight w:val="none"/>
        </w:rPr>
      </w:pPr>
    </w:p>
    <w:p w14:paraId="7B7D1C8A">
      <w:pPr>
        <w:spacing w:line="360" w:lineRule="auto"/>
        <w:ind w:left="1050" w:leftChars="500"/>
        <w:jc w:val="left"/>
        <w:rPr>
          <w:rFonts w:ascii="仿宋" w:hAnsi="仿宋" w:eastAsia="仿宋" w:cs="仿宋"/>
          <w:b/>
          <w:bCs/>
          <w:spacing w:val="-40"/>
          <w:sz w:val="36"/>
          <w:highlight w:val="none"/>
          <w:u w:val="single"/>
        </w:rPr>
      </w:pPr>
      <w:r>
        <w:rPr>
          <w:rFonts w:hint="eastAsia" w:ascii="仿宋" w:hAnsi="仿宋" w:eastAsia="仿宋" w:cs="仿宋"/>
          <w:b/>
          <w:bCs/>
          <w:spacing w:val="-24"/>
          <w:sz w:val="36"/>
          <w:highlight w:val="none"/>
        </w:rPr>
        <w:t>法定代表人或其委托代理人签字</w:t>
      </w:r>
      <w:r>
        <w:rPr>
          <w:rFonts w:hint="eastAsia" w:ascii="仿宋" w:hAnsi="仿宋" w:eastAsia="仿宋" w:cs="仿宋"/>
          <w:b/>
          <w:bCs/>
          <w:spacing w:val="-40"/>
          <w:sz w:val="36"/>
          <w:highlight w:val="none"/>
        </w:rPr>
        <w:t>：</w:t>
      </w:r>
    </w:p>
    <w:p w14:paraId="6FE5AC0A">
      <w:pPr>
        <w:spacing w:line="360" w:lineRule="auto"/>
        <w:ind w:left="1050" w:leftChars="500"/>
        <w:jc w:val="left"/>
        <w:rPr>
          <w:rFonts w:ascii="仿宋" w:hAnsi="仿宋" w:eastAsia="仿宋" w:cs="仿宋"/>
          <w:b/>
          <w:bCs/>
          <w:spacing w:val="-40"/>
          <w:sz w:val="36"/>
          <w:highlight w:val="none"/>
        </w:rPr>
      </w:pPr>
    </w:p>
    <w:p w14:paraId="1B7731A7">
      <w:pPr>
        <w:spacing w:line="360" w:lineRule="auto"/>
        <w:ind w:left="1050" w:leftChars="500"/>
        <w:jc w:val="left"/>
        <w:rPr>
          <w:rFonts w:ascii="仿宋" w:hAnsi="仿宋" w:eastAsia="仿宋" w:cs="仿宋"/>
          <w:b/>
          <w:bCs/>
          <w:spacing w:val="-40"/>
          <w:sz w:val="36"/>
          <w:highlight w:val="none"/>
        </w:rPr>
      </w:pPr>
      <w:r>
        <w:rPr>
          <w:rFonts w:hint="eastAsia" w:ascii="仿宋" w:hAnsi="仿宋" w:eastAsia="仿宋" w:cs="仿宋"/>
          <w:b/>
          <w:bCs/>
          <w:spacing w:val="-40"/>
          <w:sz w:val="36"/>
          <w:highlight w:val="none"/>
        </w:rPr>
        <w:t>联系电话（手机）：</w:t>
      </w:r>
    </w:p>
    <w:p w14:paraId="2294F0F0">
      <w:pPr>
        <w:spacing w:line="360" w:lineRule="auto"/>
        <w:rPr>
          <w:rFonts w:ascii="仿宋" w:hAnsi="仿宋" w:eastAsia="仿宋" w:cs="仿宋"/>
          <w:b/>
          <w:bCs/>
          <w:sz w:val="36"/>
          <w:highlight w:val="none"/>
        </w:rPr>
      </w:pPr>
    </w:p>
    <w:p w14:paraId="6372EE98">
      <w:pPr>
        <w:spacing w:line="360" w:lineRule="auto"/>
        <w:rPr>
          <w:rFonts w:ascii="仿宋" w:hAnsi="仿宋" w:eastAsia="仿宋" w:cs="仿宋"/>
          <w:b/>
          <w:bCs/>
          <w:sz w:val="36"/>
          <w:highlight w:val="none"/>
        </w:rPr>
      </w:pPr>
    </w:p>
    <w:p w14:paraId="3E9E737F">
      <w:pPr>
        <w:spacing w:line="360" w:lineRule="auto"/>
        <w:jc w:val="center"/>
        <w:rPr>
          <w:rFonts w:ascii="仿宋" w:hAnsi="仿宋" w:eastAsia="仿宋" w:cs="仿宋"/>
          <w:sz w:val="28"/>
          <w:szCs w:val="28"/>
          <w:highlight w:val="none"/>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r>
        <w:rPr>
          <w:rFonts w:hint="eastAsia" w:ascii="仿宋" w:hAnsi="仿宋" w:eastAsia="仿宋" w:cs="仿宋"/>
          <w:sz w:val="28"/>
          <w:szCs w:val="28"/>
          <w:highlight w:val="none"/>
        </w:rPr>
        <w:t>日期：   年   月    日</w:t>
      </w:r>
    </w:p>
    <w:p w14:paraId="79316199">
      <w:pPr>
        <w:tabs>
          <w:tab w:val="left" w:pos="1080"/>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附件1             </w:t>
      </w:r>
    </w:p>
    <w:p w14:paraId="36424E67">
      <w:pPr>
        <w:tabs>
          <w:tab w:val="left" w:pos="1080"/>
        </w:tabs>
        <w:spacing w:line="360" w:lineRule="auto"/>
        <w:ind w:firstLine="140" w:firstLineChars="50"/>
        <w:jc w:val="center"/>
        <w:rPr>
          <w:rFonts w:ascii="仿宋" w:hAnsi="仿宋" w:eastAsia="仿宋" w:cs="仿宋"/>
          <w:b/>
          <w:sz w:val="28"/>
          <w:szCs w:val="28"/>
          <w:highlight w:val="none"/>
        </w:rPr>
      </w:pPr>
      <w:r>
        <w:rPr>
          <w:rFonts w:hint="eastAsia" w:ascii="仿宋" w:hAnsi="仿宋" w:eastAsia="仿宋" w:cs="仿宋"/>
          <w:b/>
          <w:sz w:val="28"/>
          <w:szCs w:val="28"/>
          <w:highlight w:val="none"/>
        </w:rPr>
        <w:t>报价函</w:t>
      </w:r>
    </w:p>
    <w:p w14:paraId="2821D184">
      <w:pPr>
        <w:pStyle w:val="35"/>
        <w:spacing w:line="360" w:lineRule="auto"/>
        <w:ind w:firstLine="0" w:firstLineChars="0"/>
        <w:rPr>
          <w:rFonts w:ascii="仿宋" w:hAnsi="仿宋" w:eastAsia="仿宋" w:cs="仿宋"/>
          <w:b/>
          <w:bCs/>
          <w:sz w:val="28"/>
          <w:szCs w:val="28"/>
          <w:highlight w:val="none"/>
        </w:rPr>
      </w:pPr>
      <w:r>
        <w:rPr>
          <w:rFonts w:hint="eastAsia" w:ascii="仿宋" w:hAnsi="仿宋" w:eastAsia="仿宋" w:cs="仿宋"/>
          <w:b/>
          <w:bCs/>
          <w:sz w:val="28"/>
          <w:szCs w:val="28"/>
          <w:highlight w:val="none"/>
        </w:rPr>
        <w:t>大竹县人民医院：</w:t>
      </w:r>
    </w:p>
    <w:p w14:paraId="0A78B76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我单位全面研究了你单位“”项目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【】号），决定参加贵单位组织的本项目</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。我方授权（姓名、职务）代表我方                        （报价单位的名称）全权处理本项目报价的有关事宜。</w:t>
      </w:r>
    </w:p>
    <w:p w14:paraId="45EC4EB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1.我方自愿按照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规定的各项要求向采购人提供所需货物/服务，</w:t>
      </w:r>
      <w:r>
        <w:rPr>
          <w:rFonts w:hint="eastAsia" w:ascii="仿宋" w:hAnsi="仿宋" w:eastAsia="仿宋" w:cs="仿宋"/>
          <w:sz w:val="28"/>
          <w:szCs w:val="28"/>
          <w:highlight w:val="none"/>
          <w:lang w:val="en-US" w:eastAsia="zh-CN"/>
        </w:rPr>
        <w:t>本项目我方最终报价</w:t>
      </w:r>
      <w:r>
        <w:rPr>
          <w:rFonts w:hint="eastAsia" w:ascii="仿宋" w:hAnsi="仿宋" w:eastAsia="仿宋" w:cs="仿宋"/>
          <w:sz w:val="28"/>
          <w:szCs w:val="28"/>
          <w:highlight w:val="none"/>
        </w:rPr>
        <w:t>以现场报价为准。</w:t>
      </w:r>
    </w:p>
    <w:p w14:paraId="5E7DA2C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2.一旦我方成交，我方将严格履行</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合同规定的</w:t>
      </w:r>
      <w:r>
        <w:rPr>
          <w:rFonts w:hint="eastAsia" w:ascii="仿宋" w:hAnsi="仿宋" w:eastAsia="仿宋" w:cs="仿宋"/>
          <w:sz w:val="28"/>
          <w:szCs w:val="28"/>
          <w:highlight w:val="none"/>
          <w:lang w:val="en-US" w:eastAsia="zh-CN"/>
        </w:rPr>
        <w:t>所有</w:t>
      </w:r>
      <w:r>
        <w:rPr>
          <w:rFonts w:hint="eastAsia" w:ascii="仿宋" w:hAnsi="仿宋" w:eastAsia="仿宋" w:cs="仿宋"/>
          <w:sz w:val="28"/>
          <w:szCs w:val="28"/>
          <w:highlight w:val="none"/>
        </w:rPr>
        <w:t>责任和义务。</w:t>
      </w:r>
    </w:p>
    <w:p w14:paraId="075C07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3.我方愿意提供贵单位可能另外要求的，与报价有关的文件资料，并保证我方已提供和将要提供的文件资料是真实、准确的。</w:t>
      </w:r>
    </w:p>
    <w:p w14:paraId="3CB4F87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4.我方完全理解贵单位不一定将合同授予最低报价的供应商的行为。</w:t>
      </w:r>
    </w:p>
    <w:p w14:paraId="5AE25FFB">
      <w:pPr>
        <w:pStyle w:val="35"/>
        <w:spacing w:line="360" w:lineRule="auto"/>
        <w:ind w:left="838" w:leftChars="266" w:hanging="280" w:hangingChars="100"/>
        <w:rPr>
          <w:rFonts w:ascii="仿宋" w:hAnsi="仿宋" w:eastAsia="仿宋" w:cs="仿宋"/>
          <w:sz w:val="28"/>
          <w:szCs w:val="28"/>
          <w:highlight w:val="none"/>
        </w:rPr>
      </w:pPr>
      <w:r>
        <w:rPr>
          <w:rFonts w:hint="eastAsia" w:ascii="仿宋" w:hAnsi="仿宋" w:eastAsia="仿宋" w:cs="仿宋"/>
          <w:sz w:val="28"/>
          <w:szCs w:val="28"/>
          <w:highlight w:val="none"/>
        </w:rPr>
        <w:t>5.本次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，我方报价有效期为</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之日</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天。</w:t>
      </w:r>
    </w:p>
    <w:p w14:paraId="2C5175C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报价函</w:t>
      </w:r>
      <w:r>
        <w:rPr>
          <w:rFonts w:hint="eastAsia" w:ascii="仿宋" w:hAnsi="仿宋" w:eastAsia="仿宋" w:cs="仿宋"/>
          <w:sz w:val="28"/>
          <w:szCs w:val="28"/>
          <w:highlight w:val="none"/>
          <w:lang w:val="zh-CN"/>
        </w:rPr>
        <w:t>中必须载明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lang w:val="zh-CN"/>
        </w:rPr>
        <w:t>有效期，载明的</w:t>
      </w:r>
      <w:r>
        <w:rPr>
          <w:rFonts w:hint="eastAsia" w:ascii="仿宋" w:hAnsi="仿宋" w:eastAsia="仿宋" w:cs="仿宋"/>
          <w:sz w:val="28"/>
          <w:szCs w:val="28"/>
          <w:highlight w:val="none"/>
        </w:rPr>
        <w:t>报价有效期</w:t>
      </w:r>
      <w:r>
        <w:rPr>
          <w:rFonts w:hint="eastAsia" w:ascii="仿宋" w:hAnsi="仿宋" w:eastAsia="仿宋" w:cs="仿宋"/>
          <w:sz w:val="28"/>
          <w:szCs w:val="28"/>
          <w:highlight w:val="none"/>
          <w:lang w:val="zh-CN"/>
        </w:rPr>
        <w:t>可以长于遴选文件规定的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期限，但不得短于遴选文件规定的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期限。否则，其响应文件将作无效处理。</w:t>
      </w:r>
    </w:p>
    <w:p w14:paraId="22F7BD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0637D48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法定代表人或授权代表（签字或盖章）：</w:t>
      </w:r>
    </w:p>
    <w:p w14:paraId="0A2DB7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通讯地址：</w:t>
      </w:r>
    </w:p>
    <w:p w14:paraId="6CA4831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5E66A87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245F8BF3">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法定代表人授权书</w:t>
      </w:r>
    </w:p>
    <w:p w14:paraId="0609E1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大竹县人民医院：</w:t>
      </w:r>
    </w:p>
    <w:p w14:paraId="29C3F44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本授权声明：（供应商名称）（法定代表人姓名、职务）授权</w:t>
      </w:r>
      <w:r>
        <w:rPr>
          <w:rFonts w:hint="eastAsia" w:ascii="仿宋" w:hAnsi="仿宋" w:eastAsia="仿宋" w:cs="仿宋"/>
          <w:sz w:val="28"/>
          <w:szCs w:val="28"/>
          <w:highlight w:val="none"/>
          <w:u w:val="single"/>
        </w:rPr>
        <w:t>XXX</w:t>
      </w:r>
      <w:r>
        <w:rPr>
          <w:rFonts w:hint="eastAsia" w:ascii="仿宋" w:hAnsi="仿宋" w:eastAsia="仿宋" w:cs="仿宋"/>
          <w:sz w:val="28"/>
          <w:szCs w:val="28"/>
          <w:highlight w:val="none"/>
        </w:rPr>
        <w:t>（被授权人姓名、职务）为我方</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【】号“”项目遴选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活动的合法代表，以我方名义全权处理该项目</w:t>
      </w:r>
      <w:r>
        <w:rPr>
          <w:rFonts w:hint="eastAsia" w:ascii="仿宋" w:hAnsi="仿宋" w:eastAsia="仿宋" w:cs="仿宋"/>
          <w:sz w:val="28"/>
          <w:szCs w:val="28"/>
          <w:highlight w:val="none"/>
          <w:lang w:val="en-US" w:eastAsia="zh-CN"/>
        </w:rPr>
        <w:t>遴选过程、</w:t>
      </w:r>
      <w:r>
        <w:rPr>
          <w:rFonts w:hint="eastAsia" w:ascii="仿宋" w:hAnsi="仿宋" w:eastAsia="仿宋" w:cs="仿宋"/>
          <w:sz w:val="28"/>
          <w:szCs w:val="28"/>
          <w:highlight w:val="none"/>
        </w:rPr>
        <w:t>有关报价、签订合同以及执行合同等一切事宜。</w:t>
      </w:r>
    </w:p>
    <w:p w14:paraId="21E1FCF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特此声明。</w:t>
      </w:r>
    </w:p>
    <w:p w14:paraId="0475FA0E">
      <w:pPr>
        <w:pStyle w:val="35"/>
        <w:spacing w:line="360" w:lineRule="auto"/>
        <w:ind w:firstLine="560"/>
        <w:rPr>
          <w:rFonts w:ascii="仿宋" w:hAnsi="仿宋" w:eastAsia="仿宋" w:cs="仿宋"/>
          <w:sz w:val="28"/>
          <w:szCs w:val="28"/>
          <w:highlight w:val="none"/>
        </w:rPr>
      </w:pPr>
    </w:p>
    <w:p w14:paraId="5549E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18F9510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523FAC6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14:paraId="30B21C3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    期：</w:t>
      </w:r>
    </w:p>
    <w:p w14:paraId="28910EFE">
      <w:pPr>
        <w:pStyle w:val="35"/>
        <w:spacing w:line="360" w:lineRule="auto"/>
        <w:ind w:firstLine="562"/>
        <w:rPr>
          <w:rFonts w:ascii="仿宋" w:hAnsi="仿宋" w:eastAsia="仿宋" w:cs="仿宋"/>
          <w:b/>
          <w:bCs/>
          <w:sz w:val="28"/>
          <w:szCs w:val="28"/>
          <w:highlight w:val="none"/>
        </w:rPr>
      </w:pPr>
    </w:p>
    <w:p w14:paraId="2ECDBD1A">
      <w:pPr>
        <w:pStyle w:val="35"/>
        <w:spacing w:line="360" w:lineRule="auto"/>
        <w:ind w:firstLine="562"/>
        <w:rPr>
          <w:rFonts w:ascii="仿宋" w:hAnsi="仿宋" w:eastAsia="仿宋" w:cs="仿宋"/>
          <w:b/>
          <w:bCs/>
          <w:sz w:val="28"/>
          <w:szCs w:val="28"/>
          <w:highlight w:val="none"/>
        </w:rPr>
      </w:pPr>
    </w:p>
    <w:p w14:paraId="5F40AD7D">
      <w:pPr>
        <w:pStyle w:val="35"/>
        <w:spacing w:line="360" w:lineRule="auto"/>
        <w:ind w:firstLine="562"/>
        <w:rPr>
          <w:rFonts w:ascii="仿宋" w:hAnsi="仿宋" w:eastAsia="仿宋" w:cs="仿宋"/>
          <w:b/>
          <w:bCs/>
          <w:sz w:val="28"/>
          <w:szCs w:val="28"/>
          <w:highlight w:val="none"/>
        </w:rPr>
      </w:pPr>
    </w:p>
    <w:p w14:paraId="00F32411">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：1、如法定代表人参加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响应文件中不需提供授权委托书，但必须提供法定代表人身份证复印件。</w:t>
      </w:r>
    </w:p>
    <w:p w14:paraId="4482E48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2、如授权代表参加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响应文件中必须提供授权委托书，法定代表人和授权代表的身份证复印件。</w:t>
      </w:r>
    </w:p>
    <w:p w14:paraId="755EA707">
      <w:pPr>
        <w:spacing w:line="360" w:lineRule="auto"/>
        <w:ind w:firstLine="686" w:firstLineChars="245"/>
        <w:rPr>
          <w:rFonts w:ascii="仿宋" w:hAnsi="仿宋" w:eastAsia="仿宋" w:cs="仿宋"/>
          <w:sz w:val="28"/>
          <w:szCs w:val="28"/>
          <w:highlight w:val="none"/>
        </w:rPr>
      </w:pPr>
    </w:p>
    <w:p w14:paraId="2CEDC74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 xml:space="preserve">附件3                  </w:t>
      </w:r>
    </w:p>
    <w:p w14:paraId="06EBD2B9">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承诺函</w:t>
      </w:r>
    </w:p>
    <w:p w14:paraId="6F5024C8">
      <w:pPr>
        <w:spacing w:line="360" w:lineRule="auto"/>
        <w:rPr>
          <w:rFonts w:ascii="仿宋" w:hAnsi="仿宋" w:eastAsia="仿宋" w:cs="仿宋"/>
          <w:sz w:val="24"/>
          <w:szCs w:val="24"/>
          <w:highlight w:val="none"/>
        </w:rPr>
      </w:pPr>
    </w:p>
    <w:p w14:paraId="17FB7FC3">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u w:val="single"/>
        </w:rPr>
        <w:t>_大竹县人民医院_</w:t>
      </w:r>
      <w:r>
        <w:rPr>
          <w:rFonts w:hint="eastAsia" w:ascii="仿宋" w:hAnsi="仿宋" w:eastAsia="仿宋" w:cs="仿宋"/>
          <w:sz w:val="28"/>
          <w:szCs w:val="28"/>
          <w:highlight w:val="none"/>
        </w:rPr>
        <w:t>：</w:t>
      </w:r>
    </w:p>
    <w:p w14:paraId="6CFC212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我公司作为本次</w:t>
      </w:r>
      <w:r>
        <w:rPr>
          <w:rFonts w:hint="eastAsia" w:ascii="仿宋" w:hAnsi="仿宋" w:eastAsia="仿宋" w:cs="仿宋"/>
          <w:sz w:val="28"/>
          <w:szCs w:val="28"/>
          <w:highlight w:val="none"/>
          <w:lang w:val="en-US" w:eastAsia="zh-CN"/>
        </w:rPr>
        <w:t>参与</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项目的供应商，根据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要求，现郑重承诺如下：</w:t>
      </w:r>
    </w:p>
    <w:p w14:paraId="721B263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一、具备</w:t>
      </w:r>
      <w:r>
        <w:rPr>
          <w:rFonts w:hint="eastAsia" w:ascii="仿宋" w:hAnsi="仿宋" w:eastAsia="仿宋" w:cs="仿宋"/>
          <w:sz w:val="28"/>
          <w:szCs w:val="28"/>
          <w:highlight w:val="none"/>
          <w:lang w:val="en-US" w:eastAsia="zh-CN"/>
        </w:rPr>
        <w:t>下列本项目履约</w:t>
      </w:r>
      <w:r>
        <w:rPr>
          <w:rFonts w:hint="eastAsia" w:ascii="仿宋" w:hAnsi="仿宋" w:eastAsia="仿宋" w:cs="仿宋"/>
          <w:sz w:val="28"/>
          <w:szCs w:val="28"/>
          <w:highlight w:val="none"/>
        </w:rPr>
        <w:t>条件：</w:t>
      </w:r>
    </w:p>
    <w:p w14:paraId="2477261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（一）具有独立承担民事责任的能力；</w:t>
      </w:r>
    </w:p>
    <w:p w14:paraId="31794EA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color w:val="000000" w:themeColor="text1"/>
          <w:sz w:val="28"/>
          <w:szCs w:val="28"/>
          <w14:textFill>
            <w14:solidFill>
              <w14:schemeClr w14:val="tx1"/>
            </w14:solidFill>
          </w14:textFill>
        </w:rPr>
        <w:t>具有良好的商业信誉和健全的财务会计制度</w:t>
      </w:r>
      <w:r>
        <w:rPr>
          <w:rFonts w:hint="eastAsia" w:ascii="仿宋" w:hAnsi="仿宋" w:eastAsia="仿宋" w:cs="仿宋"/>
          <w:sz w:val="28"/>
          <w:szCs w:val="28"/>
          <w:highlight w:val="none"/>
        </w:rPr>
        <w:t>；</w:t>
      </w:r>
    </w:p>
    <w:p w14:paraId="6BD217EC">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（三）有依法缴纳税收和社会保障资金的良好记录；</w:t>
      </w:r>
    </w:p>
    <w:p w14:paraId="508C705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前三年内，在经营活动中没有重大违法记录；</w:t>
      </w:r>
    </w:p>
    <w:p w14:paraId="51F4D7A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（五）法律、行政法规规定的其他条件。</w:t>
      </w:r>
    </w:p>
    <w:p w14:paraId="499C0B0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二、如对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有异议，已经在递交响应文件截止时间届满前</w:t>
      </w:r>
      <w:r>
        <w:rPr>
          <w:rFonts w:hint="eastAsia" w:ascii="仿宋" w:hAnsi="仿宋" w:eastAsia="仿宋" w:cs="仿宋"/>
          <w:sz w:val="28"/>
          <w:szCs w:val="28"/>
          <w:highlight w:val="none"/>
          <w:lang w:val="en-US" w:eastAsia="zh-CN"/>
        </w:rPr>
        <w:t>向采购人院内监督部门或相关行政单位、机构</w:t>
      </w:r>
      <w:r>
        <w:rPr>
          <w:rFonts w:hint="eastAsia" w:ascii="仿宋" w:hAnsi="仿宋" w:eastAsia="仿宋" w:cs="仿宋"/>
          <w:sz w:val="28"/>
          <w:szCs w:val="28"/>
          <w:highlight w:val="none"/>
        </w:rPr>
        <w:t>进行维权救济，不存在对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有异议的同时又参加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以求侥幸成交或者为实现其他目的的行为。</w:t>
      </w:r>
    </w:p>
    <w:p w14:paraId="489DAF7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三、在参加本次遴选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活动中，不存在与单位负责人为同一人或者存在直接控股、管理关系的其他供应商参与同一合同项下的遴选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活动的行为。</w:t>
      </w:r>
    </w:p>
    <w:p w14:paraId="2CF42BBA">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四、在参加本次</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中，不存在和其他供应商在同一合同项下的采购项目中，同时委托同一个自然人、同一家庭的人员、同一单位的人员作为代理人的行为。</w:t>
      </w:r>
    </w:p>
    <w:p w14:paraId="031EC06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五、如果有《四川省采购当事人诚信管理办法》（川财采[2015]33号）规定的记入诚信档案的失信行为，将在响应文件中全面如实反映。</w:t>
      </w:r>
    </w:p>
    <w:p w14:paraId="2060E058">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六、响应文件中提供的任何资料和技术、服务、商务等报价承诺情况都是真实的、有效的、合法的。</w:t>
      </w:r>
    </w:p>
    <w:p w14:paraId="3CA33326">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七、如本项目</w:t>
      </w:r>
      <w:r>
        <w:rPr>
          <w:rFonts w:hint="eastAsia" w:ascii="仿宋" w:hAnsi="仿宋" w:eastAsia="仿宋" w:cs="仿宋"/>
          <w:color w:val="000000"/>
          <w:sz w:val="28"/>
          <w:szCs w:val="28"/>
          <w:highlight w:val="none"/>
          <w:lang w:eastAsia="zh-CN"/>
        </w:rPr>
        <w:t>遴选</w:t>
      </w:r>
      <w:r>
        <w:rPr>
          <w:rFonts w:hint="eastAsia" w:ascii="仿宋" w:hAnsi="仿宋" w:eastAsia="仿宋" w:cs="仿宋"/>
          <w:color w:val="000000"/>
          <w:sz w:val="28"/>
          <w:szCs w:val="28"/>
          <w:highlight w:val="none"/>
        </w:rPr>
        <w:t>采购</w:t>
      </w:r>
      <w:r>
        <w:rPr>
          <w:rFonts w:hint="eastAsia" w:ascii="仿宋" w:hAnsi="仿宋" w:eastAsia="仿宋" w:cs="仿宋"/>
          <w:color w:val="000000"/>
          <w:sz w:val="28"/>
          <w:szCs w:val="28"/>
          <w:highlight w:val="none"/>
          <w:lang w:val="en-US" w:eastAsia="zh-CN"/>
        </w:rPr>
        <w:t>活动</w:t>
      </w:r>
      <w:r>
        <w:rPr>
          <w:rFonts w:hint="eastAsia" w:ascii="仿宋" w:hAnsi="仿宋" w:eastAsia="仿宋" w:cs="仿宋"/>
          <w:color w:val="000000"/>
          <w:sz w:val="28"/>
          <w:szCs w:val="28"/>
          <w:highlight w:val="none"/>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000000"/>
          <w:sz w:val="28"/>
          <w:szCs w:val="28"/>
          <w:highlight w:val="none"/>
          <w:lang w:eastAsia="zh-CN"/>
        </w:rPr>
        <w:t>遴选文件</w:t>
      </w:r>
      <w:r>
        <w:rPr>
          <w:rFonts w:hint="eastAsia" w:ascii="仿宋" w:hAnsi="仿宋" w:eastAsia="仿宋" w:cs="仿宋"/>
          <w:color w:val="000000"/>
          <w:sz w:val="28"/>
          <w:szCs w:val="28"/>
          <w:highlight w:val="none"/>
        </w:rPr>
        <w:t>要求导致未能成交的，我公司愿意承担相应不利后果。</w:t>
      </w:r>
    </w:p>
    <w:p w14:paraId="27706297">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八、我公司已经</w:t>
      </w:r>
      <w:r>
        <w:rPr>
          <w:rFonts w:hint="eastAsia" w:ascii="仿宋" w:hAnsi="仿宋" w:eastAsia="仿宋" w:cs="仿宋"/>
          <w:sz w:val="28"/>
          <w:szCs w:val="28"/>
          <w:highlight w:val="none"/>
        </w:rPr>
        <w:t>认真阅读和充分理解</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中的所有事项、格式条款和规范要求。我公司没有对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全面做出实质性响应是自身责任，我公司同意没有按照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要求作出</w:t>
      </w:r>
      <w:r>
        <w:rPr>
          <w:rFonts w:hint="eastAsia" w:ascii="仿宋" w:hAnsi="仿宋" w:eastAsia="仿宋" w:cs="仿宋"/>
          <w:sz w:val="28"/>
          <w:szCs w:val="28"/>
          <w:highlight w:val="none"/>
          <w:lang w:val="en-US" w:eastAsia="zh-CN"/>
        </w:rPr>
        <w:t>全面</w:t>
      </w:r>
      <w:r>
        <w:rPr>
          <w:rFonts w:hint="eastAsia" w:ascii="仿宋" w:hAnsi="仿宋" w:eastAsia="仿宋" w:cs="仿宋"/>
          <w:sz w:val="28"/>
          <w:szCs w:val="28"/>
          <w:highlight w:val="none"/>
        </w:rPr>
        <w:t>实质性响应的响应文件将无效</w:t>
      </w:r>
      <w:r>
        <w:rPr>
          <w:rFonts w:hint="eastAsia" w:ascii="仿宋" w:hAnsi="仿宋" w:eastAsia="仿宋" w:cs="仿宋"/>
          <w:sz w:val="28"/>
          <w:szCs w:val="28"/>
          <w:highlight w:val="none"/>
          <w:lang w:val="en-US" w:eastAsia="zh-CN"/>
        </w:rPr>
        <w:t>处理，其本项目成交资格同时无效化处理。</w:t>
      </w:r>
    </w:p>
    <w:p w14:paraId="1EF26421">
      <w:pPr>
        <w:spacing w:line="360" w:lineRule="auto"/>
        <w:ind w:firstLine="560" w:firstLineChars="200"/>
        <w:jc w:val="left"/>
        <w:rPr>
          <w:rFonts w:hint="eastAsia" w:ascii="仿宋" w:hAnsi="仿宋" w:eastAsia="仿宋" w:cs="仿宋"/>
          <w:b/>
          <w:color w:val="FF0000"/>
          <w:sz w:val="28"/>
          <w:szCs w:val="28"/>
          <w:highlight w:val="none"/>
        </w:rPr>
      </w:pPr>
    </w:p>
    <w:p w14:paraId="660D7FFA">
      <w:pPr>
        <w:spacing w:line="360" w:lineRule="auto"/>
        <w:ind w:firstLine="560" w:firstLineChars="200"/>
        <w:jc w:val="left"/>
        <w:rPr>
          <w:rFonts w:ascii="仿宋" w:hAnsi="仿宋" w:eastAsia="仿宋" w:cs="仿宋"/>
          <w:b/>
          <w:color w:val="FF0000"/>
          <w:sz w:val="28"/>
          <w:szCs w:val="28"/>
          <w:highlight w:val="none"/>
        </w:rPr>
      </w:pPr>
      <w:r>
        <w:rPr>
          <w:rFonts w:hint="eastAsia" w:ascii="仿宋" w:hAnsi="仿宋" w:eastAsia="仿宋" w:cs="仿宋"/>
          <w:b/>
          <w:color w:val="FF0000"/>
          <w:sz w:val="28"/>
          <w:szCs w:val="28"/>
          <w:highlight w:val="none"/>
        </w:rPr>
        <w:t>本公司对上述承诺的内容事项真实性负责。如经查实上述承诺的内容事项存在虚假，我公司愿意接受</w:t>
      </w:r>
      <w:r>
        <w:rPr>
          <w:rFonts w:hint="eastAsia" w:ascii="仿宋" w:hAnsi="仿宋" w:eastAsia="仿宋" w:cs="仿宋"/>
          <w:b/>
          <w:color w:val="FF0000"/>
          <w:sz w:val="28"/>
          <w:szCs w:val="28"/>
          <w:highlight w:val="none"/>
          <w:lang w:val="en-US" w:eastAsia="zh-CN"/>
        </w:rPr>
        <w:t>本项目成交资格无效化处理，并承担</w:t>
      </w:r>
      <w:r>
        <w:rPr>
          <w:rFonts w:hint="eastAsia" w:ascii="仿宋" w:hAnsi="仿宋" w:eastAsia="仿宋" w:cs="仿宋"/>
          <w:b/>
          <w:color w:val="FF0000"/>
          <w:sz w:val="28"/>
          <w:szCs w:val="28"/>
          <w:highlight w:val="none"/>
        </w:rPr>
        <w:t>提供虚假材料谋取成交的法律责任。</w:t>
      </w:r>
    </w:p>
    <w:p w14:paraId="4E27878C">
      <w:pPr>
        <w:spacing w:line="360" w:lineRule="auto"/>
        <w:rPr>
          <w:rFonts w:ascii="仿宋" w:hAnsi="仿宋" w:eastAsia="仿宋" w:cs="仿宋"/>
          <w:sz w:val="28"/>
          <w:szCs w:val="28"/>
          <w:highlight w:val="none"/>
        </w:rPr>
      </w:pPr>
    </w:p>
    <w:p w14:paraId="27CF6CE5">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0584BDD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3B8266FE">
      <w:pPr>
        <w:adjustRightInd w:val="0"/>
        <w:spacing w:line="360" w:lineRule="auto"/>
        <w:ind w:firstLine="560" w:firstLineChars="200"/>
        <w:jc w:val="left"/>
        <w:rPr>
          <w:rFonts w:ascii="仿宋" w:hAnsi="仿宋" w:eastAsia="仿宋" w:cs="仿宋"/>
          <w:sz w:val="28"/>
          <w:szCs w:val="28"/>
          <w:highlight w:val="none"/>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90506CC">
      <w:pPr>
        <w:rPr>
          <w:rFonts w:ascii="宋体" w:hAnsi="宋体"/>
          <w:sz w:val="24"/>
          <w:szCs w:val="24"/>
          <w:highlight w:val="none"/>
        </w:rPr>
      </w:pPr>
      <w:r>
        <w:rPr>
          <w:rFonts w:hint="eastAsia" w:ascii="宋体" w:hAnsi="宋体"/>
          <w:sz w:val="24"/>
          <w:szCs w:val="24"/>
          <w:highlight w:val="none"/>
        </w:rPr>
        <w:t>附件4</w:t>
      </w:r>
    </w:p>
    <w:p w14:paraId="1D04CE3B">
      <w:pPr>
        <w:jc w:val="center"/>
        <w:rPr>
          <w:rFonts w:hint="eastAsia"/>
          <w:b/>
          <w:sz w:val="32"/>
          <w:szCs w:val="32"/>
          <w:highlight w:val="none"/>
        </w:rPr>
      </w:pPr>
    </w:p>
    <w:p w14:paraId="383BC66B">
      <w:pPr>
        <w:jc w:val="center"/>
        <w:rPr>
          <w:b/>
          <w:sz w:val="32"/>
          <w:szCs w:val="32"/>
          <w:highlight w:val="none"/>
        </w:rPr>
      </w:pPr>
      <w:r>
        <w:rPr>
          <w:rFonts w:hint="eastAsia"/>
          <w:b/>
          <w:sz w:val="32"/>
          <w:szCs w:val="32"/>
          <w:highlight w:val="none"/>
        </w:rPr>
        <w:t>报价一览表</w:t>
      </w:r>
    </w:p>
    <w:p w14:paraId="7E356BAD">
      <w:pPr>
        <w:jc w:val="center"/>
        <w:rPr>
          <w:b/>
          <w:sz w:val="32"/>
          <w:szCs w:val="32"/>
          <w:highlight w:val="none"/>
        </w:rPr>
      </w:pPr>
    </w:p>
    <w:p w14:paraId="133A61F3">
      <w:pPr>
        <w:spacing w:afterLines="50" w:line="480" w:lineRule="exact"/>
        <w:ind w:firstLine="480" w:firstLineChars="200"/>
        <w:rPr>
          <w:rFonts w:ascii="宋体" w:hAnsi="宋体"/>
          <w:sz w:val="24"/>
          <w:highlight w:val="none"/>
        </w:rPr>
      </w:pPr>
      <w:r>
        <w:rPr>
          <w:rFonts w:hint="eastAsia" w:ascii="宋体" w:hAnsi="宋体"/>
          <w:sz w:val="24"/>
          <w:highlight w:val="none"/>
        </w:rPr>
        <w:t>采购项目名称：</w:t>
      </w:r>
      <w:r>
        <w:rPr>
          <w:rFonts w:hint="eastAsia" w:ascii="宋体" w:hAnsi="宋体"/>
          <w:sz w:val="24"/>
          <w:highlight w:val="none"/>
          <w:u w:val="single"/>
        </w:rPr>
        <w:t xml:space="preserve">                                      </w:t>
      </w:r>
      <w:r>
        <w:rPr>
          <w:rFonts w:hint="eastAsia" w:ascii="宋体" w:hAnsi="宋体"/>
          <w:sz w:val="24"/>
          <w:highlight w:val="none"/>
        </w:rPr>
        <w:t xml:space="preserve">         </w:t>
      </w:r>
    </w:p>
    <w:p w14:paraId="02968FD9">
      <w:pPr>
        <w:spacing w:afterLines="50" w:line="480" w:lineRule="exact"/>
        <w:ind w:firstLine="480" w:firstLineChars="200"/>
        <w:rPr>
          <w:rFonts w:ascii="宋体" w:hAnsi="宋体" w:cs="宋体"/>
          <w:kern w:val="0"/>
          <w:sz w:val="24"/>
          <w:highlight w:val="none"/>
        </w:rPr>
      </w:pPr>
      <w:r>
        <w:rPr>
          <w:rFonts w:hint="eastAsia" w:ascii="宋体" w:hAnsi="宋体" w:cs="宋体"/>
          <w:kern w:val="0"/>
          <w:sz w:val="24"/>
          <w:highlight w:val="none"/>
        </w:rPr>
        <w:t>采购项目编号：</w:t>
      </w:r>
      <w:r>
        <w:rPr>
          <w:rFonts w:hint="eastAsia" w:ascii="宋体" w:hAnsi="宋体" w:cs="宋体"/>
          <w:kern w:val="0"/>
          <w:sz w:val="24"/>
          <w:highlight w:val="none"/>
          <w:lang w:eastAsia="zh-CN"/>
        </w:rPr>
        <w:t>竹医总采（遴）</w:t>
      </w:r>
      <w:r>
        <w:rPr>
          <w:rFonts w:hint="eastAsia" w:ascii="宋体" w:hAnsi="宋体" w:cs="宋体"/>
          <w:kern w:val="0"/>
          <w:sz w:val="24"/>
          <w:highlight w:val="none"/>
        </w:rPr>
        <w:t>【】号</w:t>
      </w:r>
    </w:p>
    <w:tbl>
      <w:tblPr>
        <w:tblStyle w:val="15"/>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091"/>
        <w:gridCol w:w="1845"/>
        <w:gridCol w:w="2022"/>
        <w:gridCol w:w="1025"/>
      </w:tblGrid>
      <w:tr w14:paraId="1F2C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2555697">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7C2B22A0">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品名</w:t>
            </w:r>
          </w:p>
        </w:tc>
        <w:tc>
          <w:tcPr>
            <w:tcW w:w="2091" w:type="dxa"/>
            <w:tcBorders>
              <w:top w:val="single" w:color="auto" w:sz="4" w:space="0"/>
              <w:left w:val="single" w:color="auto" w:sz="4" w:space="0"/>
              <w:bottom w:val="single" w:color="auto" w:sz="4" w:space="0"/>
              <w:right w:val="single" w:color="auto" w:sz="4" w:space="0"/>
            </w:tcBorders>
            <w:noWrap/>
            <w:vAlign w:val="center"/>
          </w:tcPr>
          <w:p w14:paraId="041FB854">
            <w:pPr>
              <w:widowControl/>
              <w:spacing w:line="360" w:lineRule="auto"/>
              <w:jc w:val="center"/>
              <w:outlineLvl w:val="1"/>
              <w:rPr>
                <w:rFonts w:ascii="仿宋" w:hAnsi="仿宋" w:eastAsia="仿宋" w:cs="仿宋"/>
                <w:b/>
                <w:color w:val="000000" w:themeColor="text1"/>
                <w:sz w:val="24"/>
                <w:szCs w:val="24"/>
                <w14:textFill>
                  <w14:solidFill>
                    <w14:schemeClr w14:val="tx1"/>
                  </w14:solidFill>
                </w14:textFill>
              </w:rPr>
            </w:pPr>
            <w:bookmarkStart w:id="21" w:name="_Toc50711557"/>
            <w:r>
              <w:rPr>
                <w:rFonts w:hint="eastAsia" w:ascii="仿宋" w:hAnsi="仿宋" w:eastAsia="仿宋" w:cs="仿宋"/>
                <w:b/>
                <w:color w:val="000000" w:themeColor="text1"/>
                <w:sz w:val="24"/>
                <w:szCs w:val="24"/>
                <w14:textFill>
                  <w14:solidFill>
                    <w14:schemeClr w14:val="tx1"/>
                  </w14:solidFill>
                </w14:textFill>
              </w:rPr>
              <w:t>产品制造商家、品牌及</w:t>
            </w:r>
            <w:bookmarkEnd w:id="21"/>
            <w:bookmarkStart w:id="22" w:name="_Toc50711558"/>
            <w:r>
              <w:rPr>
                <w:rFonts w:hint="eastAsia" w:ascii="仿宋" w:hAnsi="仿宋" w:eastAsia="仿宋" w:cs="仿宋"/>
                <w:b/>
                <w:color w:val="000000" w:themeColor="text1"/>
                <w:sz w:val="24"/>
                <w:szCs w:val="24"/>
                <w14:textFill>
                  <w14:solidFill>
                    <w14:schemeClr w14:val="tx1"/>
                  </w14:solidFill>
                </w14:textFill>
              </w:rPr>
              <w:t>规格型号（如涉及）</w:t>
            </w:r>
            <w:bookmarkEnd w:id="22"/>
          </w:p>
        </w:tc>
        <w:tc>
          <w:tcPr>
            <w:tcW w:w="1845" w:type="dxa"/>
            <w:tcBorders>
              <w:top w:val="single" w:color="auto" w:sz="4" w:space="0"/>
              <w:left w:val="single" w:color="auto" w:sz="4" w:space="0"/>
              <w:bottom w:val="single" w:color="auto" w:sz="4" w:space="0"/>
              <w:right w:val="single" w:color="auto" w:sz="4" w:space="0"/>
            </w:tcBorders>
            <w:noWrap/>
            <w:vAlign w:val="center"/>
          </w:tcPr>
          <w:p w14:paraId="2CDE062C">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报价折扣率（%）</w:t>
            </w:r>
          </w:p>
        </w:tc>
        <w:tc>
          <w:tcPr>
            <w:tcW w:w="2022" w:type="dxa"/>
            <w:tcBorders>
              <w:top w:val="single" w:color="auto" w:sz="4" w:space="0"/>
              <w:left w:val="single" w:color="auto" w:sz="4" w:space="0"/>
              <w:bottom w:val="single" w:color="auto" w:sz="4" w:space="0"/>
              <w:right w:val="single" w:color="auto" w:sz="4" w:space="0"/>
            </w:tcBorders>
            <w:noWrap/>
            <w:vAlign w:val="center"/>
          </w:tcPr>
          <w:p w14:paraId="27C865D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成交单价（元）</w:t>
            </w:r>
          </w:p>
          <w:p w14:paraId="2A82A04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（四舍五入保留小数点后</w:t>
            </w:r>
            <w:r>
              <w:rPr>
                <w:rFonts w:hint="eastAsia" w:ascii="仿宋" w:hAnsi="仿宋" w:eastAsia="仿宋" w:cs="仿宋"/>
                <w:b/>
                <w:color w:val="000000" w:themeColor="text1"/>
                <w:sz w:val="24"/>
                <w:szCs w:val="24"/>
                <w:lang w:val="en-US" w:eastAsia="zh-CN"/>
                <w14:textFill>
                  <w14:solidFill>
                    <w14:schemeClr w14:val="tx1"/>
                  </w14:solidFill>
                </w14:textFill>
              </w:rPr>
              <w:t>2</w:t>
            </w:r>
            <w:r>
              <w:rPr>
                <w:rFonts w:hint="eastAsia" w:ascii="仿宋" w:hAnsi="仿宋" w:eastAsia="仿宋" w:cs="仿宋"/>
                <w:b/>
                <w:color w:val="000000" w:themeColor="text1"/>
                <w:sz w:val="24"/>
                <w:szCs w:val="24"/>
                <w14:textFill>
                  <w14:solidFill>
                    <w14:schemeClr w14:val="tx1"/>
                  </w14:solidFill>
                </w14:textFill>
              </w:rPr>
              <w:t>位）</w:t>
            </w:r>
          </w:p>
        </w:tc>
        <w:tc>
          <w:tcPr>
            <w:tcW w:w="1025" w:type="dxa"/>
            <w:tcBorders>
              <w:top w:val="single" w:color="auto" w:sz="4" w:space="0"/>
              <w:left w:val="single" w:color="auto" w:sz="4" w:space="0"/>
              <w:bottom w:val="single" w:color="auto" w:sz="4" w:space="0"/>
              <w:right w:val="single" w:color="auto" w:sz="4" w:space="0"/>
            </w:tcBorders>
            <w:noWrap/>
            <w:vAlign w:val="center"/>
          </w:tcPr>
          <w:p w14:paraId="0D53BED0">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计价</w:t>
            </w:r>
          </w:p>
          <w:p w14:paraId="313B0B88">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单位</w:t>
            </w:r>
          </w:p>
        </w:tc>
      </w:tr>
      <w:tr w14:paraId="4EC1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336E255">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449CB9E6">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00F0BC95">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7F11D30A">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23A10A8E">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077D81AF">
            <w:pPr>
              <w:widowControl/>
              <w:jc w:val="center"/>
              <w:textAlignment w:val="center"/>
              <w:rPr>
                <w:rFonts w:ascii="仿宋" w:hAnsi="仿宋" w:eastAsia="仿宋" w:cs="仿宋"/>
                <w:sz w:val="24"/>
                <w:szCs w:val="24"/>
              </w:rPr>
            </w:pPr>
          </w:p>
        </w:tc>
      </w:tr>
      <w:tr w14:paraId="1D20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E7E41F4">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1C821182">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640FB83B">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6698B22">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59C3DC01">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77863EC4">
            <w:pPr>
              <w:widowControl/>
              <w:jc w:val="center"/>
              <w:textAlignment w:val="center"/>
              <w:rPr>
                <w:rFonts w:ascii="仿宋" w:hAnsi="仿宋" w:eastAsia="仿宋" w:cs="仿宋"/>
                <w:sz w:val="24"/>
                <w:szCs w:val="24"/>
              </w:rPr>
            </w:pPr>
          </w:p>
        </w:tc>
      </w:tr>
      <w:tr w14:paraId="0229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60F9527">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54C060B5">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14597145">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456EDDA">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7E4C91FF">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6DECFB82">
            <w:pPr>
              <w:widowControl/>
              <w:jc w:val="center"/>
              <w:textAlignment w:val="center"/>
              <w:rPr>
                <w:rFonts w:ascii="仿宋" w:hAnsi="仿宋" w:eastAsia="仿宋" w:cs="仿宋"/>
                <w:sz w:val="24"/>
                <w:szCs w:val="24"/>
              </w:rPr>
            </w:pPr>
          </w:p>
        </w:tc>
      </w:tr>
      <w:tr w14:paraId="3D3B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51C371D">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096E0BDB">
            <w:pPr>
              <w:snapToGrid w:val="0"/>
              <w:spacing w:line="360" w:lineRule="auto"/>
              <w:jc w:val="left"/>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44242784">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292104C2">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0DB527CB">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64ED7C40">
            <w:pPr>
              <w:snapToGrid w:val="0"/>
              <w:spacing w:line="360" w:lineRule="auto"/>
              <w:jc w:val="center"/>
              <w:rPr>
                <w:rFonts w:ascii="仿宋" w:hAnsi="仿宋" w:eastAsia="仿宋" w:cs="仿宋"/>
                <w:sz w:val="24"/>
                <w:szCs w:val="24"/>
              </w:rPr>
            </w:pPr>
          </w:p>
        </w:tc>
      </w:tr>
    </w:tbl>
    <w:p w14:paraId="24E7AA6B">
      <w:pPr>
        <w:adjustRightInd w:val="0"/>
        <w:spacing w:line="360" w:lineRule="auto"/>
        <w:rPr>
          <w:rFonts w:ascii="仿宋" w:hAnsi="仿宋" w:eastAsia="仿宋" w:cs="仿宋"/>
          <w:bCs/>
          <w:spacing w:val="8"/>
          <w:sz w:val="24"/>
          <w:szCs w:val="24"/>
          <w:highlight w:val="none"/>
        </w:rPr>
      </w:pPr>
    </w:p>
    <w:p w14:paraId="7E51F09A">
      <w:pPr>
        <w:adjustRightInd w:val="0"/>
        <w:spacing w:line="360" w:lineRule="auto"/>
        <w:rPr>
          <w:rFonts w:ascii="仿宋" w:hAnsi="仿宋" w:eastAsia="仿宋" w:cs="仿宋"/>
          <w:bCs/>
          <w:spacing w:val="8"/>
          <w:sz w:val="24"/>
          <w:szCs w:val="24"/>
          <w:highlight w:val="none"/>
        </w:rPr>
      </w:pPr>
      <w:r>
        <w:rPr>
          <w:rFonts w:hint="eastAsia" w:ascii="仿宋" w:hAnsi="仿宋" w:eastAsia="仿宋" w:cs="仿宋"/>
          <w:bCs/>
          <w:spacing w:val="8"/>
          <w:sz w:val="24"/>
          <w:szCs w:val="24"/>
          <w:highlight w:val="none"/>
        </w:rPr>
        <w:t>注：1、</w:t>
      </w:r>
      <w:r>
        <w:rPr>
          <w:rFonts w:hint="eastAsia" w:ascii="仿宋" w:hAnsi="仿宋" w:eastAsia="仿宋" w:cs="仿宋"/>
          <w:bCs/>
          <w:spacing w:val="8"/>
          <w:sz w:val="24"/>
          <w:szCs w:val="24"/>
          <w:highlight w:val="none"/>
          <w:lang w:val="en-US" w:eastAsia="zh-CN"/>
        </w:rPr>
        <w:t>供应商</w:t>
      </w:r>
      <w:r>
        <w:rPr>
          <w:rFonts w:hint="eastAsia" w:ascii="仿宋" w:hAnsi="仿宋" w:eastAsia="仿宋" w:cs="仿宋"/>
          <w:bCs/>
          <w:spacing w:val="8"/>
          <w:sz w:val="24"/>
          <w:szCs w:val="24"/>
          <w:highlight w:val="none"/>
        </w:rPr>
        <w:t>必须按上表的格式详细报出</w:t>
      </w:r>
      <w:r>
        <w:rPr>
          <w:rFonts w:hint="eastAsia" w:ascii="仿宋" w:hAnsi="仿宋" w:eastAsia="仿宋" w:cs="仿宋"/>
          <w:bCs/>
          <w:spacing w:val="8"/>
          <w:sz w:val="24"/>
          <w:szCs w:val="24"/>
          <w:highlight w:val="none"/>
          <w:lang w:eastAsia="zh-CN"/>
        </w:rPr>
        <w:t>遴选文件</w:t>
      </w:r>
      <w:r>
        <w:rPr>
          <w:rFonts w:hint="eastAsia" w:ascii="仿宋" w:hAnsi="仿宋" w:eastAsia="仿宋" w:cs="仿宋"/>
          <w:bCs/>
          <w:spacing w:val="8"/>
          <w:sz w:val="24"/>
          <w:szCs w:val="24"/>
          <w:highlight w:val="none"/>
        </w:rPr>
        <w:t>总价的各个组成部分的报价并具体填写表格内容，否则</w:t>
      </w:r>
      <w:r>
        <w:rPr>
          <w:rFonts w:hint="eastAsia" w:ascii="仿宋" w:hAnsi="仿宋" w:eastAsia="仿宋" w:cs="仿宋"/>
          <w:bCs/>
          <w:spacing w:val="8"/>
          <w:sz w:val="24"/>
          <w:szCs w:val="24"/>
          <w:highlight w:val="none"/>
          <w:lang w:val="en-US" w:eastAsia="zh-CN"/>
        </w:rPr>
        <w:t>对该供应商</w:t>
      </w:r>
      <w:r>
        <w:rPr>
          <w:rFonts w:hint="eastAsia" w:ascii="仿宋" w:hAnsi="仿宋" w:eastAsia="仿宋" w:cs="仿宋"/>
          <w:bCs/>
          <w:spacing w:val="8"/>
          <w:sz w:val="24"/>
          <w:szCs w:val="24"/>
          <w:highlight w:val="none"/>
        </w:rPr>
        <w:t>成交资格无效化处理。</w:t>
      </w:r>
    </w:p>
    <w:p w14:paraId="29D4D2D3">
      <w:pPr>
        <w:widowControl/>
        <w:spacing w:line="360" w:lineRule="auto"/>
        <w:ind w:firstLine="470" w:firstLineChars="196"/>
        <w:jc w:val="left"/>
        <w:outlineLvl w:val="1"/>
        <w:rPr>
          <w:rFonts w:ascii="仿宋" w:hAnsi="仿宋" w:eastAsia="仿宋" w:cs="仿宋"/>
          <w:sz w:val="24"/>
          <w:szCs w:val="24"/>
          <w:highlight w:val="none"/>
        </w:rPr>
      </w:pPr>
      <w:r>
        <w:rPr>
          <w:rFonts w:hint="eastAsia" w:ascii="仿宋" w:hAnsi="仿宋" w:eastAsia="仿宋" w:cs="仿宋"/>
          <w:sz w:val="24"/>
          <w:szCs w:val="24"/>
          <w:highlight w:val="none"/>
        </w:rPr>
        <w:t>2.“报价一览表”为多页的，每页均需由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法定代表人/单位负责人或授权代表签字或盖供应商印章。</w:t>
      </w:r>
    </w:p>
    <w:p w14:paraId="31ED9265">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sz w:val="24"/>
          <w:szCs w:val="24"/>
          <w:highlight w:val="none"/>
        </w:rPr>
        <w:t>供应商</w:t>
      </w:r>
      <w:r>
        <w:rPr>
          <w:rFonts w:hint="eastAsia" w:ascii="仿宋" w:hAnsi="仿宋" w:eastAsia="仿宋" w:cs="仿宋"/>
          <w:bCs/>
          <w:sz w:val="24"/>
          <w:szCs w:val="24"/>
          <w:highlight w:val="none"/>
        </w:rPr>
        <w:t>自愿按照</w:t>
      </w:r>
      <w:r>
        <w:rPr>
          <w:rFonts w:hint="eastAsia" w:ascii="仿宋" w:hAnsi="仿宋" w:eastAsia="仿宋" w:cs="仿宋"/>
          <w:bCs/>
          <w:sz w:val="24"/>
          <w:szCs w:val="24"/>
          <w:highlight w:val="none"/>
          <w:lang w:eastAsia="zh-CN"/>
        </w:rPr>
        <w:t>遴选文件</w:t>
      </w:r>
      <w:r>
        <w:rPr>
          <w:rFonts w:hint="eastAsia" w:ascii="仿宋" w:hAnsi="仿宋" w:eastAsia="仿宋" w:cs="仿宋"/>
          <w:bCs/>
          <w:sz w:val="24"/>
          <w:szCs w:val="24"/>
          <w:highlight w:val="none"/>
        </w:rPr>
        <w:t>规定的各项要求向采购人提供所需货物（服务），保证提供的货物（服务）等的所有权及知识产权等权利无瑕疵，并保证报价不高于市场平均价。</w:t>
      </w:r>
    </w:p>
    <w:p w14:paraId="00D8D102">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4、一旦</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将严格履行合同规定的责任和义务，保证于合同签字</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rPr>
        <w:t>生效后按照合同规定履行义务；</w:t>
      </w:r>
    </w:p>
    <w:p w14:paraId="62A674DF">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报价为本采购项目合同下所有费用，是采购人最终验收合格后的总包干价。</w:t>
      </w:r>
    </w:p>
    <w:p w14:paraId="760B4A7D">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6、评审委员会认为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报价低于成本，</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将按照评审委员会要求积极配合提供相关证明材料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并接受评审委员会的评审认定</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w:t>
      </w:r>
    </w:p>
    <w:p w14:paraId="57CBF093">
      <w:pPr>
        <w:adjustRightInd w:val="0"/>
        <w:spacing w:line="360" w:lineRule="auto"/>
        <w:ind w:firstLine="600" w:firstLineChars="250"/>
        <w:jc w:val="left"/>
        <w:rPr>
          <w:rFonts w:hint="eastAsia" w:ascii="仿宋" w:hAnsi="仿宋" w:eastAsia="仿宋" w:cs="仿宋"/>
          <w:color w:val="000000"/>
          <w:sz w:val="24"/>
          <w:szCs w:val="24"/>
          <w:highlight w:val="none"/>
        </w:rPr>
      </w:pPr>
    </w:p>
    <w:p w14:paraId="3A05319E">
      <w:pPr>
        <w:adjustRightInd w:val="0"/>
        <w:spacing w:line="360" w:lineRule="auto"/>
        <w:ind w:firstLine="600" w:firstLineChars="250"/>
        <w:jc w:val="left"/>
        <w:rPr>
          <w:rFonts w:ascii="仿宋" w:hAnsi="仿宋" w:eastAsia="仿宋" w:cs="仿宋"/>
          <w:sz w:val="24"/>
          <w:szCs w:val="24"/>
          <w:highlight w:val="none"/>
        </w:rPr>
      </w:pPr>
      <w:r>
        <w:rPr>
          <w:rFonts w:hint="eastAsia" w:ascii="仿宋" w:hAnsi="仿宋" w:eastAsia="仿宋" w:cs="仿宋"/>
          <w:color w:val="000000"/>
          <w:sz w:val="24"/>
          <w:szCs w:val="24"/>
          <w:highlight w:val="none"/>
        </w:rPr>
        <w:t>供应商名称：</w:t>
      </w:r>
    </w:p>
    <w:p w14:paraId="77FE8823">
      <w:pPr>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法定代表人或授权代表（签字或盖章）：</w:t>
      </w:r>
    </w:p>
    <w:p w14:paraId="6CA8609E">
      <w:pPr>
        <w:spacing w:line="360" w:lineRule="auto"/>
        <w:ind w:firstLine="616" w:firstLineChars="257"/>
        <w:rPr>
          <w:highlight w:val="none"/>
        </w:rPr>
      </w:pPr>
      <w:r>
        <w:rPr>
          <w:rFonts w:hint="eastAsia" w:ascii="仿宋" w:hAnsi="仿宋" w:eastAsia="仿宋" w:cs="仿宋"/>
          <w:sz w:val="24"/>
          <w:szCs w:val="24"/>
          <w:highlight w:val="none"/>
        </w:rPr>
        <w:t xml:space="preserve">日期： </w:t>
      </w:r>
    </w:p>
    <w:p w14:paraId="2C5A67BA">
      <w:pPr>
        <w:spacing w:line="360" w:lineRule="auto"/>
        <w:rPr>
          <w:rFonts w:hint="eastAsia" w:ascii="仿宋" w:hAnsi="仿宋" w:eastAsia="仿宋" w:cs="仿宋"/>
          <w:bCs/>
          <w:sz w:val="24"/>
          <w:szCs w:val="24"/>
          <w:highlight w:val="none"/>
        </w:rPr>
      </w:pPr>
    </w:p>
    <w:p w14:paraId="16E87A0A">
      <w:pPr>
        <w:spacing w:line="360" w:lineRule="auto"/>
        <w:rPr>
          <w:rFonts w:hint="eastAsia" w:ascii="仿宋" w:hAnsi="仿宋" w:eastAsia="仿宋" w:cs="仿宋"/>
          <w:bCs/>
          <w:sz w:val="24"/>
          <w:szCs w:val="24"/>
          <w:highlight w:val="none"/>
        </w:rPr>
      </w:pPr>
    </w:p>
    <w:p w14:paraId="32E8A7C5">
      <w:pPr>
        <w:spacing w:line="360" w:lineRule="auto"/>
        <w:rPr>
          <w:rFonts w:hint="eastAsia" w:ascii="仿宋" w:hAnsi="仿宋" w:eastAsia="仿宋" w:cs="仿宋"/>
          <w:bCs/>
          <w:sz w:val="24"/>
          <w:szCs w:val="24"/>
          <w:highlight w:val="none"/>
        </w:rPr>
      </w:pPr>
    </w:p>
    <w:p w14:paraId="79BBC7DA">
      <w:pPr>
        <w:spacing w:line="360" w:lineRule="auto"/>
        <w:rPr>
          <w:rFonts w:hint="eastAsia" w:ascii="仿宋" w:hAnsi="仿宋" w:eastAsia="仿宋" w:cs="仿宋"/>
          <w:bCs/>
          <w:sz w:val="24"/>
          <w:szCs w:val="24"/>
          <w:highlight w:val="none"/>
        </w:rPr>
      </w:pPr>
    </w:p>
    <w:p w14:paraId="56B32079">
      <w:pPr>
        <w:spacing w:line="360" w:lineRule="auto"/>
        <w:rPr>
          <w:rFonts w:hint="eastAsia" w:ascii="仿宋" w:hAnsi="仿宋" w:eastAsia="仿宋" w:cs="仿宋"/>
          <w:bCs/>
          <w:sz w:val="24"/>
          <w:szCs w:val="24"/>
          <w:highlight w:val="none"/>
        </w:rPr>
      </w:pPr>
    </w:p>
    <w:p w14:paraId="05A50CF7">
      <w:pPr>
        <w:spacing w:line="360" w:lineRule="auto"/>
        <w:rPr>
          <w:rFonts w:hint="eastAsia" w:ascii="仿宋" w:hAnsi="仿宋" w:eastAsia="仿宋" w:cs="仿宋"/>
          <w:bCs/>
          <w:sz w:val="24"/>
          <w:szCs w:val="24"/>
          <w:highlight w:val="none"/>
        </w:rPr>
      </w:pPr>
    </w:p>
    <w:p w14:paraId="674F364C">
      <w:pPr>
        <w:spacing w:line="360" w:lineRule="auto"/>
        <w:rPr>
          <w:rFonts w:hint="eastAsia" w:ascii="仿宋" w:hAnsi="仿宋" w:eastAsia="仿宋" w:cs="仿宋"/>
          <w:bCs/>
          <w:sz w:val="24"/>
          <w:szCs w:val="24"/>
          <w:highlight w:val="none"/>
        </w:rPr>
      </w:pPr>
    </w:p>
    <w:p w14:paraId="62367183">
      <w:pPr>
        <w:spacing w:line="360" w:lineRule="auto"/>
        <w:rPr>
          <w:rFonts w:hint="eastAsia" w:ascii="仿宋" w:hAnsi="仿宋" w:eastAsia="仿宋" w:cs="仿宋"/>
          <w:bCs/>
          <w:sz w:val="24"/>
          <w:szCs w:val="24"/>
          <w:highlight w:val="none"/>
        </w:rPr>
      </w:pPr>
    </w:p>
    <w:p w14:paraId="0B327B23">
      <w:pPr>
        <w:spacing w:line="360" w:lineRule="auto"/>
        <w:rPr>
          <w:rFonts w:hint="eastAsia" w:ascii="仿宋" w:hAnsi="仿宋" w:eastAsia="仿宋" w:cs="仿宋"/>
          <w:bCs/>
          <w:sz w:val="24"/>
          <w:szCs w:val="24"/>
          <w:highlight w:val="none"/>
        </w:rPr>
      </w:pPr>
    </w:p>
    <w:p w14:paraId="4F848D59">
      <w:pPr>
        <w:spacing w:line="360" w:lineRule="auto"/>
        <w:rPr>
          <w:rFonts w:hint="eastAsia" w:ascii="仿宋" w:hAnsi="仿宋" w:eastAsia="仿宋" w:cs="仿宋"/>
          <w:bCs/>
          <w:sz w:val="24"/>
          <w:szCs w:val="24"/>
          <w:highlight w:val="none"/>
        </w:rPr>
      </w:pPr>
    </w:p>
    <w:p w14:paraId="4408387A">
      <w:pPr>
        <w:spacing w:line="360" w:lineRule="auto"/>
        <w:rPr>
          <w:rFonts w:hint="eastAsia" w:ascii="仿宋" w:hAnsi="仿宋" w:eastAsia="仿宋" w:cs="仿宋"/>
          <w:bCs/>
          <w:sz w:val="24"/>
          <w:szCs w:val="24"/>
          <w:highlight w:val="none"/>
        </w:rPr>
      </w:pPr>
    </w:p>
    <w:p w14:paraId="594F59DD">
      <w:pPr>
        <w:spacing w:line="360" w:lineRule="auto"/>
        <w:rPr>
          <w:rFonts w:hint="eastAsia" w:ascii="仿宋" w:hAnsi="仿宋" w:eastAsia="仿宋" w:cs="仿宋"/>
          <w:bCs/>
          <w:sz w:val="24"/>
          <w:szCs w:val="24"/>
          <w:highlight w:val="none"/>
        </w:rPr>
      </w:pPr>
    </w:p>
    <w:p w14:paraId="7585FC26">
      <w:pPr>
        <w:spacing w:line="360" w:lineRule="auto"/>
        <w:rPr>
          <w:rFonts w:hint="eastAsia" w:ascii="仿宋" w:hAnsi="仿宋" w:eastAsia="仿宋" w:cs="仿宋"/>
          <w:bCs/>
          <w:sz w:val="24"/>
          <w:szCs w:val="24"/>
          <w:highlight w:val="none"/>
        </w:rPr>
      </w:pPr>
    </w:p>
    <w:p w14:paraId="758CAB35">
      <w:pPr>
        <w:spacing w:line="360" w:lineRule="auto"/>
        <w:rPr>
          <w:rFonts w:hint="eastAsia" w:ascii="仿宋" w:hAnsi="仿宋" w:eastAsia="仿宋" w:cs="仿宋"/>
          <w:bCs/>
          <w:sz w:val="24"/>
          <w:szCs w:val="24"/>
          <w:highlight w:val="none"/>
        </w:rPr>
      </w:pPr>
    </w:p>
    <w:p w14:paraId="644918BC">
      <w:pPr>
        <w:pStyle w:val="2"/>
        <w:rPr>
          <w:rFonts w:hint="eastAsia" w:ascii="仿宋" w:hAnsi="仿宋" w:eastAsia="仿宋" w:cs="仿宋"/>
          <w:bCs/>
          <w:sz w:val="24"/>
          <w:szCs w:val="24"/>
          <w:highlight w:val="none"/>
        </w:rPr>
      </w:pPr>
    </w:p>
    <w:p w14:paraId="542BDF27">
      <w:pPr>
        <w:rPr>
          <w:rFonts w:hint="eastAsia" w:ascii="仿宋" w:hAnsi="仿宋" w:eastAsia="仿宋" w:cs="仿宋"/>
          <w:bCs/>
          <w:sz w:val="24"/>
          <w:szCs w:val="24"/>
          <w:highlight w:val="none"/>
        </w:rPr>
      </w:pPr>
    </w:p>
    <w:p w14:paraId="41150C70">
      <w:pPr>
        <w:pStyle w:val="2"/>
        <w:rPr>
          <w:rFonts w:hint="eastAsia" w:ascii="仿宋" w:hAnsi="仿宋" w:eastAsia="仿宋" w:cs="仿宋"/>
          <w:bCs/>
          <w:sz w:val="24"/>
          <w:szCs w:val="24"/>
          <w:highlight w:val="none"/>
        </w:rPr>
      </w:pPr>
    </w:p>
    <w:p w14:paraId="2D0D3639">
      <w:pPr>
        <w:rPr>
          <w:rFonts w:hint="eastAsia" w:ascii="仿宋" w:hAnsi="仿宋" w:eastAsia="仿宋" w:cs="仿宋"/>
          <w:bCs/>
          <w:sz w:val="24"/>
          <w:szCs w:val="24"/>
          <w:highlight w:val="none"/>
        </w:rPr>
      </w:pPr>
    </w:p>
    <w:p w14:paraId="090A1E44">
      <w:pPr>
        <w:pStyle w:val="2"/>
        <w:rPr>
          <w:rFonts w:hint="eastAsia" w:ascii="仿宋" w:hAnsi="仿宋" w:eastAsia="仿宋" w:cs="仿宋"/>
          <w:bCs/>
          <w:sz w:val="24"/>
          <w:szCs w:val="24"/>
          <w:highlight w:val="none"/>
        </w:rPr>
      </w:pPr>
    </w:p>
    <w:p w14:paraId="176C54C8">
      <w:pPr>
        <w:rPr>
          <w:rFonts w:hint="eastAsia" w:ascii="仿宋" w:hAnsi="仿宋" w:eastAsia="仿宋" w:cs="仿宋"/>
          <w:bCs/>
          <w:sz w:val="24"/>
          <w:szCs w:val="24"/>
          <w:highlight w:val="none"/>
        </w:rPr>
      </w:pPr>
    </w:p>
    <w:p w14:paraId="2900B28A">
      <w:pPr>
        <w:pStyle w:val="2"/>
        <w:rPr>
          <w:rFonts w:hint="eastAsia" w:ascii="仿宋" w:hAnsi="仿宋" w:eastAsia="仿宋" w:cs="仿宋"/>
          <w:bCs/>
          <w:sz w:val="24"/>
          <w:szCs w:val="24"/>
          <w:highlight w:val="none"/>
        </w:rPr>
      </w:pPr>
    </w:p>
    <w:p w14:paraId="67A3D0AC">
      <w:pPr>
        <w:rPr>
          <w:rFonts w:hint="eastAsia" w:ascii="仿宋" w:hAnsi="仿宋" w:eastAsia="仿宋" w:cs="仿宋"/>
          <w:bCs/>
          <w:sz w:val="24"/>
          <w:szCs w:val="24"/>
          <w:highlight w:val="none"/>
        </w:rPr>
      </w:pPr>
    </w:p>
    <w:p w14:paraId="00DB3806">
      <w:pPr>
        <w:pStyle w:val="2"/>
        <w:rPr>
          <w:rFonts w:hint="eastAsia" w:ascii="仿宋" w:hAnsi="仿宋" w:eastAsia="仿宋" w:cs="仿宋"/>
          <w:bCs/>
          <w:sz w:val="24"/>
          <w:szCs w:val="24"/>
          <w:highlight w:val="none"/>
        </w:rPr>
      </w:pPr>
    </w:p>
    <w:p w14:paraId="6CD7BF59">
      <w:pPr>
        <w:rPr>
          <w:rFonts w:hint="eastAsia" w:ascii="仿宋" w:hAnsi="仿宋" w:eastAsia="仿宋" w:cs="仿宋"/>
          <w:bCs/>
          <w:sz w:val="24"/>
          <w:szCs w:val="24"/>
          <w:highlight w:val="none"/>
        </w:rPr>
      </w:pPr>
    </w:p>
    <w:p w14:paraId="22AA183F">
      <w:pPr>
        <w:pStyle w:val="2"/>
        <w:rPr>
          <w:rFonts w:hint="eastAsia" w:ascii="仿宋" w:hAnsi="仿宋" w:eastAsia="仿宋" w:cs="仿宋"/>
          <w:bCs/>
          <w:sz w:val="24"/>
          <w:szCs w:val="24"/>
          <w:highlight w:val="none"/>
        </w:rPr>
      </w:pPr>
    </w:p>
    <w:p w14:paraId="0909F477">
      <w:pPr>
        <w:pStyle w:val="2"/>
        <w:rPr>
          <w:rFonts w:hint="eastAsia"/>
        </w:rPr>
      </w:pPr>
    </w:p>
    <w:p w14:paraId="6DF3E4F1">
      <w:pPr>
        <w:spacing w:line="360" w:lineRule="auto"/>
        <w:rPr>
          <w:rFonts w:hint="eastAsia" w:ascii="仿宋" w:hAnsi="仿宋" w:eastAsia="仿宋" w:cs="仿宋"/>
          <w:bCs/>
          <w:sz w:val="24"/>
          <w:szCs w:val="24"/>
          <w:highlight w:val="none"/>
        </w:rPr>
      </w:pPr>
    </w:p>
    <w:p w14:paraId="39B9ED6C">
      <w:pPr>
        <w:spacing w:line="360" w:lineRule="auto"/>
        <w:rPr>
          <w:rFonts w:ascii="仿宋" w:hAnsi="仿宋" w:eastAsia="仿宋" w:cs="仿宋"/>
          <w:b/>
          <w:bCs/>
          <w:sz w:val="32"/>
          <w:szCs w:val="32"/>
          <w:highlight w:val="none"/>
        </w:rPr>
      </w:pPr>
      <w:r>
        <w:rPr>
          <w:rFonts w:hint="eastAsia" w:ascii="仿宋" w:hAnsi="仿宋" w:eastAsia="仿宋" w:cs="仿宋"/>
          <w:bCs/>
          <w:sz w:val="24"/>
          <w:szCs w:val="24"/>
          <w:highlight w:val="none"/>
        </w:rPr>
        <w:t>附件5</w:t>
      </w:r>
    </w:p>
    <w:p w14:paraId="6284892D">
      <w:pPr>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技术、服务要求应答表</w:t>
      </w:r>
    </w:p>
    <w:p w14:paraId="08D5F43D">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采购项目名称：</w:t>
      </w:r>
    </w:p>
    <w:p w14:paraId="3D8A1835">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采购项目编号：</w:t>
      </w:r>
    </w:p>
    <w:tbl>
      <w:tblPr>
        <w:tblStyle w:val="1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36B2519">
            <w:pPr>
              <w:pStyle w:val="36"/>
              <w:spacing w:line="360" w:lineRule="auto"/>
              <w:jc w:val="center"/>
              <w:rPr>
                <w:rFonts w:ascii="仿宋" w:hAnsi="仿宋" w:eastAsia="仿宋" w:cs="仿宋"/>
                <w:highlight w:val="none"/>
              </w:rPr>
            </w:pPr>
          </w:p>
          <w:p w14:paraId="7D944593">
            <w:pPr>
              <w:pStyle w:val="36"/>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14:paraId="77AAE149">
            <w:pPr>
              <w:pStyle w:val="35"/>
              <w:spacing w:line="360" w:lineRule="auto"/>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lang w:eastAsia="zh-CN"/>
              </w:rPr>
              <w:t>遴选文件</w:t>
            </w:r>
          </w:p>
          <w:p w14:paraId="35BB53DD">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第八章 </w:t>
            </w:r>
          </w:p>
          <w:p w14:paraId="575252ED">
            <w:pPr>
              <w:pStyle w:val="36"/>
              <w:spacing w:line="360" w:lineRule="auto"/>
              <w:jc w:val="center"/>
              <w:rPr>
                <w:rFonts w:ascii="仿宋" w:hAnsi="仿宋" w:eastAsia="仿宋" w:cs="仿宋"/>
                <w:highlight w:val="none"/>
              </w:rPr>
            </w:pPr>
            <w:r>
              <w:rPr>
                <w:rFonts w:hint="eastAsia" w:ascii="仿宋" w:hAnsi="仿宋" w:eastAsia="仿宋" w:cs="仿宋"/>
                <w:highlight w:val="non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14:paraId="5C30499D">
            <w:pPr>
              <w:pStyle w:val="36"/>
              <w:spacing w:line="360" w:lineRule="auto"/>
              <w:jc w:val="center"/>
              <w:rPr>
                <w:rFonts w:ascii="仿宋" w:hAnsi="仿宋" w:eastAsia="仿宋" w:cs="仿宋"/>
                <w:highlight w:val="none"/>
              </w:rPr>
            </w:pPr>
            <w:r>
              <w:rPr>
                <w:rFonts w:hint="eastAsia" w:ascii="仿宋" w:hAnsi="仿宋" w:eastAsia="仿宋" w:cs="仿宋"/>
                <w:highlight w:val="non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14:paraId="13D1EC2F">
            <w:pPr>
              <w:pStyle w:val="36"/>
              <w:spacing w:line="360" w:lineRule="auto"/>
              <w:jc w:val="center"/>
              <w:rPr>
                <w:rFonts w:ascii="仿宋" w:hAnsi="仿宋" w:eastAsia="仿宋" w:cs="仿宋"/>
                <w:highlight w:val="none"/>
              </w:rPr>
            </w:pPr>
            <w:r>
              <w:rPr>
                <w:rFonts w:hint="eastAsia" w:ascii="仿宋" w:hAnsi="仿宋" w:eastAsia="仿宋" w:cs="仿宋"/>
                <w:highlight w:val="none"/>
              </w:rPr>
              <w:t>相应证明材料（如有要求</w:t>
            </w:r>
            <w:r>
              <w:rPr>
                <w:rFonts w:hint="eastAsia" w:ascii="仿宋" w:hAnsi="仿宋" w:eastAsia="仿宋" w:cs="仿宋"/>
                <w:highlight w:val="none"/>
                <w:lang w:val="en-US" w:eastAsia="zh-CN"/>
              </w:rPr>
              <w:t>提供</w:t>
            </w:r>
            <w:r>
              <w:rPr>
                <w:rFonts w:hint="eastAsia" w:ascii="仿宋" w:hAnsi="仿宋" w:eastAsia="仿宋" w:cs="仿宋"/>
                <w:highlight w:val="none"/>
              </w:rPr>
              <w:t>，无则不提供）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14:paraId="1EC72967">
            <w:pPr>
              <w:pStyle w:val="36"/>
              <w:spacing w:line="360" w:lineRule="auto"/>
              <w:jc w:val="center"/>
              <w:rPr>
                <w:rFonts w:ascii="仿宋" w:hAnsi="仿宋" w:eastAsia="仿宋" w:cs="仿宋"/>
                <w:highlight w:val="none"/>
              </w:rPr>
            </w:pPr>
            <w:r>
              <w:rPr>
                <w:rFonts w:hint="eastAsia" w:ascii="仿宋" w:hAnsi="仿宋" w:eastAsia="仿宋" w:cs="仿宋"/>
                <w:bCs/>
                <w:spacing w:val="8"/>
                <w:highlight w:val="none"/>
              </w:rPr>
              <w:t>正/负或无偏离</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vAlign w:val="center"/>
          </w:tcPr>
          <w:p w14:paraId="413B2ACE">
            <w:pPr>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vAlign w:val="center"/>
          </w:tcPr>
          <w:p w14:paraId="3D1C3E29">
            <w:pPr>
              <w:spacing w:line="360" w:lineRule="auto"/>
              <w:jc w:val="center"/>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2E683500">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4BBA0BA1">
            <w:pPr>
              <w:pStyle w:val="36"/>
              <w:spacing w:line="360" w:lineRule="auto"/>
              <w:rPr>
                <w:rFonts w:ascii="仿宋" w:hAnsi="仿宋" w:eastAsia="仿宋" w:cs="仿宋"/>
                <w:highlight w:val="none"/>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6D0B7A3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2F298DC1">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0D0A4A2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05E3E315">
            <w:pPr>
              <w:pStyle w:val="36"/>
              <w:spacing w:line="360" w:lineRule="auto"/>
              <w:rPr>
                <w:rFonts w:ascii="仿宋" w:hAnsi="仿宋" w:eastAsia="仿宋" w:cs="仿宋"/>
                <w:highlight w:val="none"/>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2B976F6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154AB800">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73F3668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6785C8AF">
            <w:pPr>
              <w:pStyle w:val="36"/>
              <w:spacing w:line="360" w:lineRule="auto"/>
              <w:rPr>
                <w:rFonts w:ascii="仿宋" w:hAnsi="仿宋" w:eastAsia="仿宋" w:cs="仿宋"/>
                <w:highlight w:val="none"/>
              </w:rPr>
            </w:pPr>
          </w:p>
        </w:tc>
      </w:tr>
    </w:tbl>
    <w:p w14:paraId="264F30E1">
      <w:pPr>
        <w:pStyle w:val="10"/>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highlight w:val="none"/>
        </w:rPr>
      </w:pPr>
    </w:p>
    <w:p w14:paraId="4610E185">
      <w:pPr>
        <w:spacing w:line="360" w:lineRule="auto"/>
        <w:rPr>
          <w:rFonts w:ascii="仿宋" w:hAnsi="仿宋" w:eastAsia="仿宋" w:cs="仿宋"/>
          <w:b/>
          <w:sz w:val="28"/>
          <w:szCs w:val="28"/>
          <w:highlight w:val="none"/>
        </w:rPr>
      </w:pPr>
    </w:p>
    <w:p w14:paraId="535DAAF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的所有技术、服务要求内容列入此表。</w:t>
      </w:r>
    </w:p>
    <w:p w14:paraId="43CD04BB">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技术、服务要求的内容对应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填写，并逐页盖章。</w:t>
      </w:r>
    </w:p>
    <w:p w14:paraId="5FC1069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15338A0C">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4A596405">
      <w:pPr>
        <w:adjustRightInd w:val="0"/>
        <w:spacing w:line="360" w:lineRule="auto"/>
        <w:ind w:firstLine="560" w:firstLineChars="200"/>
        <w:jc w:val="left"/>
        <w:rPr>
          <w:rFonts w:hint="eastAsia" w:ascii="仿宋" w:hAnsi="仿宋" w:eastAsia="仿宋" w:cs="仿宋"/>
          <w:color w:val="000000"/>
          <w:sz w:val="28"/>
          <w:szCs w:val="28"/>
          <w:highlight w:val="none"/>
        </w:rPr>
      </w:pPr>
    </w:p>
    <w:p w14:paraId="6E78781B">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5134918">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06894B3D">
      <w:pPr>
        <w:adjustRightInd w:val="0"/>
        <w:spacing w:line="360" w:lineRule="auto"/>
        <w:ind w:firstLine="560" w:firstLineChars="200"/>
        <w:jc w:val="left"/>
        <w:rPr>
          <w:rFonts w:hint="eastAsia" w:ascii="仿宋" w:hAnsi="仿宋" w:eastAsia="仿宋" w:cs="仿宋"/>
          <w:bCs/>
          <w:sz w:val="24"/>
          <w:szCs w:val="24"/>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3FFA27F1">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附件6</w:t>
      </w:r>
    </w:p>
    <w:p w14:paraId="65AFF779">
      <w:pPr>
        <w:widowControl/>
        <w:spacing w:line="360" w:lineRule="auto"/>
        <w:ind w:firstLine="627" w:firstLineChars="196"/>
        <w:jc w:val="center"/>
        <w:outlineLvl w:val="1"/>
        <w:rPr>
          <w:rFonts w:ascii="仿宋" w:hAnsi="仿宋" w:eastAsia="仿宋" w:cs="仿宋"/>
          <w:b/>
          <w:sz w:val="32"/>
          <w:szCs w:val="32"/>
          <w:highlight w:val="none"/>
        </w:rPr>
      </w:pPr>
      <w:r>
        <w:rPr>
          <w:rFonts w:hint="eastAsia" w:ascii="仿宋" w:hAnsi="仿宋" w:eastAsia="仿宋" w:cs="仿宋"/>
          <w:b/>
          <w:sz w:val="32"/>
          <w:szCs w:val="32"/>
          <w:highlight w:val="none"/>
        </w:rPr>
        <w:t>商务要求应答表</w:t>
      </w:r>
    </w:p>
    <w:p w14:paraId="1D3705E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采购项目名称：</w:t>
      </w:r>
    </w:p>
    <w:p w14:paraId="2706C2F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795" w:type="dxa"/>
            <w:noWrap/>
            <w:vAlign w:val="center"/>
          </w:tcPr>
          <w:p w14:paraId="147386BE">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sz w:val="24"/>
                <w:highlight w:val="none"/>
                <w:lang w:eastAsia="zh-CN"/>
              </w:rPr>
              <w:t>遴选文件</w:t>
            </w:r>
            <w:r>
              <w:rPr>
                <w:rFonts w:hint="eastAsia" w:ascii="仿宋" w:hAnsi="仿宋" w:eastAsia="仿宋" w:cs="仿宋"/>
                <w:b/>
                <w:sz w:val="28"/>
                <w:szCs w:val="28"/>
                <w:highlight w:val="none"/>
              </w:rPr>
              <w:t xml:space="preserve">第八章 </w:t>
            </w:r>
          </w:p>
          <w:p w14:paraId="510BAACE">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要求</w:t>
            </w:r>
          </w:p>
        </w:tc>
        <w:tc>
          <w:tcPr>
            <w:tcW w:w="2795" w:type="dxa"/>
            <w:noWrap/>
            <w:vAlign w:val="center"/>
          </w:tcPr>
          <w:p w14:paraId="6466A43D">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供应商应答内容</w:t>
            </w:r>
          </w:p>
        </w:tc>
        <w:tc>
          <w:tcPr>
            <w:tcW w:w="2795" w:type="dxa"/>
            <w:noWrap/>
            <w:vAlign w:val="center"/>
          </w:tcPr>
          <w:p w14:paraId="27AD17FE">
            <w:pPr>
              <w:spacing w:line="360" w:lineRule="auto"/>
              <w:jc w:val="center"/>
              <w:rPr>
                <w:rFonts w:ascii="仿宋" w:hAnsi="仿宋" w:eastAsia="仿宋" w:cs="仿宋"/>
                <w:sz w:val="24"/>
                <w:szCs w:val="24"/>
                <w:highlight w:val="none"/>
              </w:rPr>
            </w:pPr>
            <w:r>
              <w:rPr>
                <w:rFonts w:hint="eastAsia" w:ascii="仿宋" w:hAnsi="仿宋" w:eastAsia="仿宋" w:cs="仿宋"/>
                <w:bCs/>
                <w:spacing w:val="8"/>
                <w:highlight w:val="non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spacing w:line="360" w:lineRule="auto"/>
              <w:jc w:val="center"/>
              <w:rPr>
                <w:rFonts w:ascii="仿宋" w:hAnsi="仿宋" w:eastAsia="仿宋" w:cs="仿宋"/>
                <w:sz w:val="24"/>
                <w:szCs w:val="24"/>
                <w:highlight w:val="none"/>
              </w:rPr>
            </w:pPr>
          </w:p>
        </w:tc>
        <w:tc>
          <w:tcPr>
            <w:tcW w:w="2795" w:type="dxa"/>
            <w:noWrap/>
          </w:tcPr>
          <w:p w14:paraId="7D2B391D">
            <w:pPr>
              <w:spacing w:line="360" w:lineRule="auto"/>
              <w:jc w:val="center"/>
              <w:rPr>
                <w:rFonts w:ascii="仿宋" w:hAnsi="仿宋" w:eastAsia="仿宋" w:cs="仿宋"/>
                <w:sz w:val="24"/>
                <w:szCs w:val="24"/>
                <w:highlight w:val="none"/>
              </w:rPr>
            </w:pPr>
          </w:p>
        </w:tc>
        <w:tc>
          <w:tcPr>
            <w:tcW w:w="2795" w:type="dxa"/>
            <w:noWrap/>
          </w:tcPr>
          <w:p w14:paraId="5D459B48">
            <w:pPr>
              <w:spacing w:line="360" w:lineRule="auto"/>
              <w:jc w:val="center"/>
              <w:rPr>
                <w:rFonts w:ascii="仿宋" w:hAnsi="仿宋" w:eastAsia="仿宋" w:cs="仿宋"/>
                <w:sz w:val="24"/>
                <w:szCs w:val="24"/>
                <w:highlight w:val="none"/>
              </w:rPr>
            </w:pPr>
          </w:p>
        </w:tc>
        <w:tc>
          <w:tcPr>
            <w:tcW w:w="2795" w:type="dxa"/>
            <w:noWrap/>
          </w:tcPr>
          <w:p w14:paraId="3AAF6FB4">
            <w:pPr>
              <w:spacing w:line="360" w:lineRule="auto"/>
              <w:jc w:val="center"/>
              <w:rPr>
                <w:rFonts w:ascii="仿宋" w:hAnsi="仿宋" w:eastAsia="仿宋" w:cs="仿宋"/>
                <w:sz w:val="24"/>
                <w:szCs w:val="24"/>
                <w:highlight w:val="none"/>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spacing w:line="360" w:lineRule="auto"/>
              <w:jc w:val="center"/>
              <w:rPr>
                <w:rFonts w:ascii="仿宋" w:hAnsi="仿宋" w:eastAsia="仿宋" w:cs="仿宋"/>
                <w:sz w:val="24"/>
                <w:szCs w:val="24"/>
                <w:highlight w:val="none"/>
              </w:rPr>
            </w:pPr>
          </w:p>
        </w:tc>
        <w:tc>
          <w:tcPr>
            <w:tcW w:w="2795" w:type="dxa"/>
            <w:noWrap/>
          </w:tcPr>
          <w:p w14:paraId="3B5923BE">
            <w:pPr>
              <w:spacing w:line="360" w:lineRule="auto"/>
              <w:jc w:val="center"/>
              <w:rPr>
                <w:rFonts w:ascii="仿宋" w:hAnsi="仿宋" w:eastAsia="仿宋" w:cs="仿宋"/>
                <w:sz w:val="24"/>
                <w:szCs w:val="24"/>
                <w:highlight w:val="none"/>
              </w:rPr>
            </w:pPr>
          </w:p>
        </w:tc>
        <w:tc>
          <w:tcPr>
            <w:tcW w:w="2795" w:type="dxa"/>
            <w:noWrap/>
          </w:tcPr>
          <w:p w14:paraId="16161CAC">
            <w:pPr>
              <w:spacing w:line="360" w:lineRule="auto"/>
              <w:jc w:val="center"/>
              <w:rPr>
                <w:rFonts w:ascii="仿宋" w:hAnsi="仿宋" w:eastAsia="仿宋" w:cs="仿宋"/>
                <w:sz w:val="24"/>
                <w:szCs w:val="24"/>
                <w:highlight w:val="none"/>
              </w:rPr>
            </w:pPr>
          </w:p>
        </w:tc>
        <w:tc>
          <w:tcPr>
            <w:tcW w:w="2795" w:type="dxa"/>
            <w:noWrap/>
          </w:tcPr>
          <w:p w14:paraId="090FB11D">
            <w:pPr>
              <w:spacing w:line="360" w:lineRule="auto"/>
              <w:jc w:val="center"/>
              <w:rPr>
                <w:rFonts w:ascii="仿宋" w:hAnsi="仿宋" w:eastAsia="仿宋" w:cs="仿宋"/>
                <w:sz w:val="24"/>
                <w:szCs w:val="24"/>
                <w:highlight w:val="none"/>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spacing w:line="360" w:lineRule="auto"/>
              <w:jc w:val="center"/>
              <w:rPr>
                <w:rFonts w:ascii="仿宋" w:hAnsi="仿宋" w:eastAsia="仿宋" w:cs="仿宋"/>
                <w:sz w:val="24"/>
                <w:szCs w:val="24"/>
                <w:highlight w:val="none"/>
              </w:rPr>
            </w:pPr>
          </w:p>
        </w:tc>
        <w:tc>
          <w:tcPr>
            <w:tcW w:w="2795" w:type="dxa"/>
            <w:noWrap/>
          </w:tcPr>
          <w:p w14:paraId="400AB61B">
            <w:pPr>
              <w:spacing w:line="360" w:lineRule="auto"/>
              <w:jc w:val="center"/>
              <w:rPr>
                <w:rFonts w:ascii="仿宋" w:hAnsi="仿宋" w:eastAsia="仿宋" w:cs="仿宋"/>
                <w:sz w:val="24"/>
                <w:szCs w:val="24"/>
                <w:highlight w:val="none"/>
              </w:rPr>
            </w:pPr>
          </w:p>
        </w:tc>
        <w:tc>
          <w:tcPr>
            <w:tcW w:w="2795" w:type="dxa"/>
            <w:noWrap/>
          </w:tcPr>
          <w:p w14:paraId="10487C2F">
            <w:pPr>
              <w:spacing w:line="360" w:lineRule="auto"/>
              <w:jc w:val="center"/>
              <w:rPr>
                <w:rFonts w:ascii="仿宋" w:hAnsi="仿宋" w:eastAsia="仿宋" w:cs="仿宋"/>
                <w:sz w:val="24"/>
                <w:szCs w:val="24"/>
                <w:highlight w:val="none"/>
              </w:rPr>
            </w:pPr>
          </w:p>
        </w:tc>
        <w:tc>
          <w:tcPr>
            <w:tcW w:w="2795" w:type="dxa"/>
            <w:noWrap/>
          </w:tcPr>
          <w:p w14:paraId="71831B6E">
            <w:pPr>
              <w:spacing w:line="360" w:lineRule="auto"/>
              <w:jc w:val="center"/>
              <w:rPr>
                <w:rFonts w:ascii="仿宋" w:hAnsi="仿宋" w:eastAsia="仿宋" w:cs="仿宋"/>
                <w:sz w:val="24"/>
                <w:szCs w:val="24"/>
                <w:highlight w:val="none"/>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spacing w:line="360" w:lineRule="auto"/>
              <w:jc w:val="center"/>
              <w:rPr>
                <w:rFonts w:ascii="仿宋" w:hAnsi="仿宋" w:eastAsia="仿宋" w:cs="仿宋"/>
                <w:sz w:val="24"/>
                <w:szCs w:val="24"/>
                <w:highlight w:val="none"/>
              </w:rPr>
            </w:pPr>
          </w:p>
        </w:tc>
        <w:tc>
          <w:tcPr>
            <w:tcW w:w="2795" w:type="dxa"/>
            <w:noWrap/>
          </w:tcPr>
          <w:p w14:paraId="13F61E5A">
            <w:pPr>
              <w:spacing w:line="360" w:lineRule="auto"/>
              <w:jc w:val="center"/>
              <w:rPr>
                <w:rFonts w:ascii="仿宋" w:hAnsi="仿宋" w:eastAsia="仿宋" w:cs="仿宋"/>
                <w:sz w:val="24"/>
                <w:szCs w:val="24"/>
                <w:highlight w:val="none"/>
              </w:rPr>
            </w:pPr>
          </w:p>
        </w:tc>
        <w:tc>
          <w:tcPr>
            <w:tcW w:w="2795" w:type="dxa"/>
            <w:noWrap/>
          </w:tcPr>
          <w:p w14:paraId="34082817">
            <w:pPr>
              <w:spacing w:line="360" w:lineRule="auto"/>
              <w:jc w:val="center"/>
              <w:rPr>
                <w:rFonts w:ascii="仿宋" w:hAnsi="仿宋" w:eastAsia="仿宋" w:cs="仿宋"/>
                <w:sz w:val="24"/>
                <w:szCs w:val="24"/>
                <w:highlight w:val="none"/>
              </w:rPr>
            </w:pPr>
          </w:p>
        </w:tc>
        <w:tc>
          <w:tcPr>
            <w:tcW w:w="2795" w:type="dxa"/>
            <w:noWrap/>
          </w:tcPr>
          <w:p w14:paraId="539684B3">
            <w:pPr>
              <w:spacing w:line="360" w:lineRule="auto"/>
              <w:jc w:val="center"/>
              <w:rPr>
                <w:rFonts w:ascii="仿宋" w:hAnsi="仿宋" w:eastAsia="仿宋" w:cs="仿宋"/>
                <w:sz w:val="24"/>
                <w:szCs w:val="24"/>
                <w:highlight w:val="none"/>
              </w:rPr>
            </w:pPr>
          </w:p>
        </w:tc>
      </w:tr>
    </w:tbl>
    <w:p w14:paraId="0015C913">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的所有商务要求内容</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列入此表。</w:t>
      </w:r>
    </w:p>
    <w:p w14:paraId="6E60C94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商务要求的内容对应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响应，并逐页盖章。</w:t>
      </w:r>
    </w:p>
    <w:p w14:paraId="7F134621">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00A9B6C1">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0F90D2AC">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E741CC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FAAF22">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455A878E">
      <w:pPr>
        <w:adjustRightInd w:val="0"/>
        <w:spacing w:line="360" w:lineRule="auto"/>
        <w:jc w:val="left"/>
        <w:rPr>
          <w:rFonts w:hint="eastAsia" w:ascii="仿宋" w:hAnsi="仿宋" w:eastAsia="仿宋" w:cs="仿宋"/>
          <w:bCs/>
          <w:kern w:val="0"/>
          <w:sz w:val="24"/>
          <w:szCs w:val="24"/>
          <w:highlight w:val="none"/>
        </w:rPr>
      </w:pPr>
      <w:bookmarkStart w:id="23" w:name="_Toc217446089"/>
    </w:p>
    <w:p w14:paraId="5EF884DB">
      <w:pPr>
        <w:pStyle w:val="2"/>
        <w:rPr>
          <w:rFonts w:hint="eastAsia" w:ascii="仿宋" w:hAnsi="仿宋" w:eastAsia="仿宋" w:cs="仿宋"/>
          <w:bCs/>
          <w:kern w:val="0"/>
          <w:sz w:val="24"/>
          <w:szCs w:val="24"/>
          <w:highlight w:val="none"/>
        </w:rPr>
      </w:pPr>
    </w:p>
    <w:p w14:paraId="178AAEAF">
      <w:pPr>
        <w:rPr>
          <w:rFonts w:hint="eastAsia" w:ascii="仿宋" w:hAnsi="仿宋" w:eastAsia="仿宋" w:cs="仿宋"/>
          <w:bCs/>
          <w:kern w:val="0"/>
          <w:sz w:val="24"/>
          <w:szCs w:val="24"/>
          <w:highlight w:val="none"/>
        </w:rPr>
      </w:pPr>
    </w:p>
    <w:p w14:paraId="78DA1FAF">
      <w:pPr>
        <w:pStyle w:val="2"/>
        <w:rPr>
          <w:rFonts w:hint="eastAsia"/>
        </w:rPr>
      </w:pPr>
    </w:p>
    <w:p w14:paraId="4C5ED17D">
      <w:pPr>
        <w:adjustRightInd w:val="0"/>
        <w:spacing w:line="360" w:lineRule="auto"/>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附件7</w:t>
      </w:r>
    </w:p>
    <w:p w14:paraId="2FBA84EC">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近三年产品业绩一览表</w:t>
      </w:r>
      <w:bookmarkEnd w:id="23"/>
    </w:p>
    <w:p w14:paraId="722FBEA3">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u w:val="single"/>
          <w:lang w:val="en-US" w:eastAsia="zh-CN"/>
        </w:rPr>
        <w:t>遴选文件</w:t>
      </w:r>
      <w:r>
        <w:rPr>
          <w:rFonts w:hint="eastAsia" w:ascii="仿宋" w:hAnsi="仿宋" w:eastAsia="仿宋" w:cs="仿宋"/>
          <w:b/>
          <w:bCs/>
          <w:color w:val="000000"/>
          <w:sz w:val="32"/>
          <w:szCs w:val="32"/>
          <w:highlight w:val="none"/>
          <w:u w:val="single"/>
        </w:rPr>
        <w:t>未要求业绩的，不填此表</w:t>
      </w:r>
      <w:r>
        <w:rPr>
          <w:rFonts w:hint="eastAsia" w:ascii="仿宋" w:hAnsi="仿宋" w:eastAsia="仿宋" w:cs="仿宋"/>
          <w:b/>
          <w:bCs/>
          <w:color w:val="000000"/>
          <w:sz w:val="32"/>
          <w:szCs w:val="32"/>
          <w:highlight w:val="none"/>
        </w:rPr>
        <w:t>）</w:t>
      </w:r>
    </w:p>
    <w:p w14:paraId="4D1D72B9">
      <w:pPr>
        <w:spacing w:line="360" w:lineRule="auto"/>
        <w:rPr>
          <w:rFonts w:ascii="仿宋" w:hAnsi="仿宋" w:eastAsia="仿宋" w:cs="仿宋"/>
          <w:color w:val="000000"/>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14:paraId="147EF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14:paraId="669BFD66">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年份</w:t>
            </w:r>
          </w:p>
        </w:tc>
        <w:tc>
          <w:tcPr>
            <w:tcW w:w="1440" w:type="dxa"/>
            <w:noWrap/>
            <w:vAlign w:val="center"/>
          </w:tcPr>
          <w:p w14:paraId="722EA1A4">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用户名称</w:t>
            </w:r>
          </w:p>
        </w:tc>
        <w:tc>
          <w:tcPr>
            <w:tcW w:w="1320" w:type="dxa"/>
            <w:noWrap/>
            <w:vAlign w:val="center"/>
          </w:tcPr>
          <w:p w14:paraId="1D93F6A8">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项目名称</w:t>
            </w:r>
          </w:p>
        </w:tc>
        <w:tc>
          <w:tcPr>
            <w:tcW w:w="1161" w:type="dxa"/>
            <w:noWrap/>
            <w:vAlign w:val="center"/>
          </w:tcPr>
          <w:p w14:paraId="0F89860A">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完成时间</w:t>
            </w:r>
          </w:p>
        </w:tc>
        <w:tc>
          <w:tcPr>
            <w:tcW w:w="1260" w:type="dxa"/>
            <w:noWrap/>
            <w:vAlign w:val="center"/>
          </w:tcPr>
          <w:p w14:paraId="2FCBE0C7">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合同金额</w:t>
            </w:r>
          </w:p>
        </w:tc>
        <w:tc>
          <w:tcPr>
            <w:tcW w:w="1374" w:type="dxa"/>
            <w:gridSpan w:val="3"/>
            <w:tcBorders>
              <w:right w:val="single" w:color="auto" w:sz="4" w:space="0"/>
            </w:tcBorders>
            <w:noWrap/>
            <w:vAlign w:val="center"/>
          </w:tcPr>
          <w:p w14:paraId="609B72DA">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完成项目质量</w:t>
            </w:r>
          </w:p>
        </w:tc>
        <w:tc>
          <w:tcPr>
            <w:tcW w:w="1305" w:type="dxa"/>
            <w:tcBorders>
              <w:left w:val="single" w:color="auto" w:sz="4" w:space="0"/>
            </w:tcBorders>
            <w:noWrap/>
            <w:vAlign w:val="center"/>
          </w:tcPr>
          <w:p w14:paraId="28B076F2">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 xml:space="preserve">   备注</w:t>
            </w:r>
          </w:p>
        </w:tc>
      </w:tr>
      <w:tr w14:paraId="383BD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DC270AF">
            <w:pPr>
              <w:spacing w:line="360" w:lineRule="auto"/>
              <w:jc w:val="center"/>
              <w:rPr>
                <w:rFonts w:ascii="仿宋" w:hAnsi="仿宋" w:eastAsia="仿宋" w:cs="仿宋"/>
                <w:color w:val="000000"/>
                <w:highlight w:val="none"/>
              </w:rPr>
            </w:pPr>
          </w:p>
        </w:tc>
        <w:tc>
          <w:tcPr>
            <w:tcW w:w="1440" w:type="dxa"/>
            <w:noWrap/>
            <w:vAlign w:val="center"/>
          </w:tcPr>
          <w:p w14:paraId="68966D3F">
            <w:pPr>
              <w:spacing w:line="360" w:lineRule="auto"/>
              <w:jc w:val="center"/>
              <w:rPr>
                <w:rFonts w:ascii="仿宋" w:hAnsi="仿宋" w:eastAsia="仿宋" w:cs="仿宋"/>
                <w:color w:val="000000"/>
                <w:highlight w:val="none"/>
              </w:rPr>
            </w:pPr>
          </w:p>
        </w:tc>
        <w:tc>
          <w:tcPr>
            <w:tcW w:w="1320" w:type="dxa"/>
            <w:noWrap/>
            <w:vAlign w:val="center"/>
          </w:tcPr>
          <w:p w14:paraId="1275287E">
            <w:pPr>
              <w:spacing w:line="360" w:lineRule="auto"/>
              <w:jc w:val="center"/>
              <w:rPr>
                <w:rFonts w:ascii="仿宋" w:hAnsi="仿宋" w:eastAsia="仿宋" w:cs="仿宋"/>
                <w:color w:val="000000"/>
                <w:highlight w:val="none"/>
              </w:rPr>
            </w:pPr>
          </w:p>
        </w:tc>
        <w:tc>
          <w:tcPr>
            <w:tcW w:w="1161" w:type="dxa"/>
            <w:noWrap/>
            <w:vAlign w:val="center"/>
          </w:tcPr>
          <w:p w14:paraId="5ED76529">
            <w:pPr>
              <w:spacing w:line="360" w:lineRule="auto"/>
              <w:jc w:val="center"/>
              <w:rPr>
                <w:rFonts w:ascii="仿宋" w:hAnsi="仿宋" w:eastAsia="仿宋" w:cs="仿宋"/>
                <w:color w:val="000000"/>
                <w:highlight w:val="none"/>
              </w:rPr>
            </w:pPr>
          </w:p>
        </w:tc>
        <w:tc>
          <w:tcPr>
            <w:tcW w:w="1260" w:type="dxa"/>
            <w:noWrap/>
            <w:vAlign w:val="center"/>
          </w:tcPr>
          <w:p w14:paraId="19582266">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612B731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6D38144A">
            <w:pPr>
              <w:spacing w:line="360" w:lineRule="auto"/>
              <w:jc w:val="center"/>
              <w:rPr>
                <w:rFonts w:ascii="仿宋" w:hAnsi="仿宋" w:eastAsia="仿宋" w:cs="仿宋"/>
                <w:color w:val="000000"/>
                <w:highlight w:val="none"/>
              </w:rPr>
            </w:pPr>
          </w:p>
        </w:tc>
      </w:tr>
      <w:tr w14:paraId="2310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0A4DE8A">
            <w:pPr>
              <w:spacing w:line="360" w:lineRule="auto"/>
              <w:jc w:val="center"/>
              <w:rPr>
                <w:rFonts w:ascii="仿宋" w:hAnsi="仿宋" w:eastAsia="仿宋" w:cs="仿宋"/>
                <w:color w:val="000000"/>
                <w:highlight w:val="none"/>
              </w:rPr>
            </w:pPr>
          </w:p>
        </w:tc>
        <w:tc>
          <w:tcPr>
            <w:tcW w:w="1440" w:type="dxa"/>
            <w:noWrap/>
            <w:vAlign w:val="center"/>
          </w:tcPr>
          <w:p w14:paraId="23AE653C">
            <w:pPr>
              <w:spacing w:line="360" w:lineRule="auto"/>
              <w:jc w:val="center"/>
              <w:rPr>
                <w:rFonts w:ascii="仿宋" w:hAnsi="仿宋" w:eastAsia="仿宋" w:cs="仿宋"/>
                <w:color w:val="000000"/>
                <w:highlight w:val="none"/>
              </w:rPr>
            </w:pPr>
          </w:p>
        </w:tc>
        <w:tc>
          <w:tcPr>
            <w:tcW w:w="1320" w:type="dxa"/>
            <w:noWrap/>
            <w:vAlign w:val="center"/>
          </w:tcPr>
          <w:p w14:paraId="5508E3D5">
            <w:pPr>
              <w:spacing w:line="360" w:lineRule="auto"/>
              <w:jc w:val="center"/>
              <w:rPr>
                <w:rFonts w:ascii="仿宋" w:hAnsi="仿宋" w:eastAsia="仿宋" w:cs="仿宋"/>
                <w:color w:val="000000"/>
                <w:highlight w:val="none"/>
              </w:rPr>
            </w:pPr>
          </w:p>
        </w:tc>
        <w:tc>
          <w:tcPr>
            <w:tcW w:w="1161" w:type="dxa"/>
            <w:noWrap/>
            <w:vAlign w:val="center"/>
          </w:tcPr>
          <w:p w14:paraId="67C36F5F">
            <w:pPr>
              <w:spacing w:line="360" w:lineRule="auto"/>
              <w:jc w:val="center"/>
              <w:rPr>
                <w:rFonts w:ascii="仿宋" w:hAnsi="仿宋" w:eastAsia="仿宋" w:cs="仿宋"/>
                <w:color w:val="000000"/>
                <w:highlight w:val="none"/>
              </w:rPr>
            </w:pPr>
          </w:p>
        </w:tc>
        <w:tc>
          <w:tcPr>
            <w:tcW w:w="1260" w:type="dxa"/>
            <w:noWrap/>
            <w:vAlign w:val="center"/>
          </w:tcPr>
          <w:p w14:paraId="5DFE89C1">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419D482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3FDCECF3">
            <w:pPr>
              <w:spacing w:line="360" w:lineRule="auto"/>
              <w:jc w:val="center"/>
              <w:rPr>
                <w:rFonts w:ascii="仿宋" w:hAnsi="仿宋" w:eastAsia="仿宋" w:cs="仿宋"/>
                <w:color w:val="000000"/>
                <w:highlight w:val="none"/>
              </w:rPr>
            </w:pPr>
          </w:p>
        </w:tc>
      </w:tr>
      <w:tr w14:paraId="742F1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2CA35E29">
            <w:pPr>
              <w:spacing w:line="360" w:lineRule="auto"/>
              <w:jc w:val="center"/>
              <w:rPr>
                <w:rFonts w:ascii="仿宋" w:hAnsi="仿宋" w:eastAsia="仿宋" w:cs="仿宋"/>
                <w:color w:val="000000"/>
                <w:highlight w:val="none"/>
              </w:rPr>
            </w:pPr>
          </w:p>
        </w:tc>
        <w:tc>
          <w:tcPr>
            <w:tcW w:w="1440" w:type="dxa"/>
            <w:noWrap/>
            <w:vAlign w:val="center"/>
          </w:tcPr>
          <w:p w14:paraId="617F929C">
            <w:pPr>
              <w:spacing w:line="360" w:lineRule="auto"/>
              <w:jc w:val="center"/>
              <w:rPr>
                <w:rFonts w:ascii="仿宋" w:hAnsi="仿宋" w:eastAsia="仿宋" w:cs="仿宋"/>
                <w:color w:val="000000"/>
                <w:highlight w:val="none"/>
              </w:rPr>
            </w:pPr>
          </w:p>
        </w:tc>
        <w:tc>
          <w:tcPr>
            <w:tcW w:w="1320" w:type="dxa"/>
            <w:noWrap/>
            <w:vAlign w:val="center"/>
          </w:tcPr>
          <w:p w14:paraId="7559B63A">
            <w:pPr>
              <w:spacing w:line="360" w:lineRule="auto"/>
              <w:jc w:val="center"/>
              <w:rPr>
                <w:rFonts w:ascii="仿宋" w:hAnsi="仿宋" w:eastAsia="仿宋" w:cs="仿宋"/>
                <w:color w:val="000000"/>
                <w:highlight w:val="none"/>
              </w:rPr>
            </w:pPr>
          </w:p>
        </w:tc>
        <w:tc>
          <w:tcPr>
            <w:tcW w:w="1161" w:type="dxa"/>
            <w:noWrap/>
            <w:vAlign w:val="center"/>
          </w:tcPr>
          <w:p w14:paraId="399CD306">
            <w:pPr>
              <w:spacing w:line="360" w:lineRule="auto"/>
              <w:jc w:val="center"/>
              <w:rPr>
                <w:rFonts w:ascii="仿宋" w:hAnsi="仿宋" w:eastAsia="仿宋" w:cs="仿宋"/>
                <w:color w:val="000000"/>
                <w:highlight w:val="none"/>
              </w:rPr>
            </w:pPr>
          </w:p>
        </w:tc>
        <w:tc>
          <w:tcPr>
            <w:tcW w:w="1260" w:type="dxa"/>
            <w:noWrap/>
            <w:vAlign w:val="center"/>
          </w:tcPr>
          <w:p w14:paraId="7D20134F">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37F32919">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471BD197">
            <w:pPr>
              <w:spacing w:line="360" w:lineRule="auto"/>
              <w:jc w:val="center"/>
              <w:rPr>
                <w:rFonts w:ascii="仿宋" w:hAnsi="仿宋" w:eastAsia="仿宋" w:cs="仿宋"/>
                <w:color w:val="000000"/>
                <w:highlight w:val="none"/>
              </w:rPr>
            </w:pPr>
          </w:p>
        </w:tc>
      </w:tr>
      <w:tr w14:paraId="06831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78E0D4E">
            <w:pPr>
              <w:spacing w:line="360" w:lineRule="auto"/>
              <w:jc w:val="center"/>
              <w:rPr>
                <w:rFonts w:ascii="仿宋" w:hAnsi="仿宋" w:eastAsia="仿宋" w:cs="仿宋"/>
                <w:color w:val="000000"/>
                <w:highlight w:val="none"/>
              </w:rPr>
            </w:pPr>
          </w:p>
        </w:tc>
        <w:tc>
          <w:tcPr>
            <w:tcW w:w="1440" w:type="dxa"/>
            <w:tcBorders>
              <w:right w:val="single" w:color="auto" w:sz="4" w:space="0"/>
            </w:tcBorders>
            <w:noWrap/>
            <w:vAlign w:val="center"/>
          </w:tcPr>
          <w:p w14:paraId="5CEE47C4">
            <w:pPr>
              <w:spacing w:line="360" w:lineRule="auto"/>
              <w:jc w:val="center"/>
              <w:rPr>
                <w:rFonts w:ascii="仿宋" w:hAnsi="仿宋" w:eastAsia="仿宋" w:cs="仿宋"/>
                <w:color w:val="000000"/>
                <w:highlight w:val="none"/>
              </w:rPr>
            </w:pPr>
          </w:p>
        </w:tc>
        <w:tc>
          <w:tcPr>
            <w:tcW w:w="1320" w:type="dxa"/>
            <w:tcBorders>
              <w:left w:val="single" w:color="auto" w:sz="4" w:space="0"/>
            </w:tcBorders>
            <w:noWrap/>
            <w:vAlign w:val="center"/>
          </w:tcPr>
          <w:p w14:paraId="33972B2E">
            <w:pPr>
              <w:spacing w:line="360" w:lineRule="auto"/>
              <w:jc w:val="center"/>
              <w:rPr>
                <w:rFonts w:ascii="仿宋" w:hAnsi="仿宋" w:eastAsia="仿宋" w:cs="仿宋"/>
                <w:color w:val="000000"/>
                <w:highlight w:val="none"/>
              </w:rPr>
            </w:pPr>
          </w:p>
        </w:tc>
        <w:tc>
          <w:tcPr>
            <w:tcW w:w="1161" w:type="dxa"/>
            <w:noWrap/>
            <w:vAlign w:val="center"/>
          </w:tcPr>
          <w:p w14:paraId="2504EA45">
            <w:pPr>
              <w:spacing w:line="360" w:lineRule="auto"/>
              <w:jc w:val="center"/>
              <w:rPr>
                <w:rFonts w:ascii="仿宋" w:hAnsi="仿宋" w:eastAsia="仿宋" w:cs="仿宋"/>
                <w:color w:val="000000"/>
                <w:highlight w:val="none"/>
              </w:rPr>
            </w:pPr>
          </w:p>
        </w:tc>
        <w:tc>
          <w:tcPr>
            <w:tcW w:w="1260" w:type="dxa"/>
            <w:noWrap/>
            <w:vAlign w:val="center"/>
          </w:tcPr>
          <w:p w14:paraId="0E070645">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29EA2FA7">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29FCD54E">
            <w:pPr>
              <w:spacing w:line="360" w:lineRule="auto"/>
              <w:jc w:val="center"/>
              <w:rPr>
                <w:rFonts w:ascii="仿宋" w:hAnsi="仿宋" w:eastAsia="仿宋" w:cs="仿宋"/>
                <w:color w:val="000000"/>
                <w:highlight w:val="none"/>
              </w:rPr>
            </w:pPr>
          </w:p>
        </w:tc>
      </w:tr>
      <w:tr w14:paraId="27F84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14:paraId="1D9A452D">
            <w:pPr>
              <w:spacing w:line="360" w:lineRule="auto"/>
              <w:rPr>
                <w:rFonts w:ascii="仿宋" w:hAnsi="仿宋" w:eastAsia="仿宋" w:cs="仿宋"/>
                <w:color w:val="000000"/>
                <w:highlight w:val="none"/>
              </w:rPr>
            </w:pPr>
          </w:p>
        </w:tc>
        <w:tc>
          <w:tcPr>
            <w:tcW w:w="1440" w:type="dxa"/>
            <w:tcBorders>
              <w:left w:val="single" w:color="auto" w:sz="4" w:space="0"/>
              <w:right w:val="single" w:color="auto" w:sz="4" w:space="0"/>
            </w:tcBorders>
            <w:noWrap/>
            <w:vAlign w:val="center"/>
          </w:tcPr>
          <w:p w14:paraId="2DAF835D">
            <w:pPr>
              <w:spacing w:line="360" w:lineRule="auto"/>
              <w:rPr>
                <w:rFonts w:ascii="仿宋" w:hAnsi="仿宋" w:eastAsia="仿宋" w:cs="仿宋"/>
                <w:color w:val="000000"/>
                <w:highlight w:val="none"/>
              </w:rPr>
            </w:pPr>
          </w:p>
        </w:tc>
        <w:tc>
          <w:tcPr>
            <w:tcW w:w="1320" w:type="dxa"/>
            <w:tcBorders>
              <w:left w:val="single" w:color="auto" w:sz="4" w:space="0"/>
              <w:right w:val="single" w:color="auto" w:sz="4" w:space="0"/>
            </w:tcBorders>
            <w:noWrap/>
            <w:vAlign w:val="center"/>
          </w:tcPr>
          <w:p w14:paraId="0C0D6F9C">
            <w:pPr>
              <w:spacing w:line="360" w:lineRule="auto"/>
              <w:rPr>
                <w:rFonts w:ascii="仿宋" w:hAnsi="仿宋" w:eastAsia="仿宋" w:cs="仿宋"/>
                <w:color w:val="000000"/>
                <w:highlight w:val="none"/>
              </w:rPr>
            </w:pPr>
          </w:p>
        </w:tc>
        <w:tc>
          <w:tcPr>
            <w:tcW w:w="1161" w:type="dxa"/>
            <w:tcBorders>
              <w:left w:val="single" w:color="auto" w:sz="4" w:space="0"/>
              <w:right w:val="single" w:color="auto" w:sz="4" w:space="0"/>
            </w:tcBorders>
            <w:noWrap/>
            <w:vAlign w:val="center"/>
          </w:tcPr>
          <w:p w14:paraId="3715C9A4">
            <w:pPr>
              <w:spacing w:line="360" w:lineRule="auto"/>
              <w:rPr>
                <w:rFonts w:ascii="仿宋" w:hAnsi="仿宋" w:eastAsia="仿宋" w:cs="仿宋"/>
                <w:color w:val="000000"/>
                <w:highlight w:val="none"/>
              </w:rPr>
            </w:pPr>
          </w:p>
        </w:tc>
        <w:tc>
          <w:tcPr>
            <w:tcW w:w="1269" w:type="dxa"/>
            <w:gridSpan w:val="2"/>
            <w:tcBorders>
              <w:left w:val="single" w:color="auto" w:sz="4" w:space="0"/>
              <w:right w:val="single" w:color="auto" w:sz="4" w:space="0"/>
            </w:tcBorders>
            <w:noWrap/>
            <w:vAlign w:val="center"/>
          </w:tcPr>
          <w:p w14:paraId="2728AA55">
            <w:pPr>
              <w:spacing w:line="360" w:lineRule="auto"/>
              <w:rPr>
                <w:rFonts w:ascii="仿宋" w:hAnsi="仿宋" w:eastAsia="仿宋" w:cs="仿宋"/>
                <w:color w:val="000000"/>
                <w:highlight w:val="none"/>
              </w:rPr>
            </w:pPr>
          </w:p>
        </w:tc>
        <w:tc>
          <w:tcPr>
            <w:tcW w:w="1365" w:type="dxa"/>
            <w:gridSpan w:val="2"/>
            <w:tcBorders>
              <w:left w:val="single" w:color="auto" w:sz="4" w:space="0"/>
              <w:right w:val="single" w:color="auto" w:sz="4" w:space="0"/>
            </w:tcBorders>
            <w:noWrap/>
            <w:vAlign w:val="center"/>
          </w:tcPr>
          <w:p w14:paraId="1D3B209C">
            <w:pPr>
              <w:spacing w:line="360" w:lineRule="auto"/>
              <w:rPr>
                <w:rFonts w:ascii="仿宋" w:hAnsi="仿宋" w:eastAsia="仿宋" w:cs="仿宋"/>
                <w:color w:val="000000"/>
                <w:highlight w:val="none"/>
              </w:rPr>
            </w:pPr>
          </w:p>
        </w:tc>
        <w:tc>
          <w:tcPr>
            <w:tcW w:w="1305" w:type="dxa"/>
            <w:tcBorders>
              <w:left w:val="single" w:color="auto" w:sz="4" w:space="0"/>
            </w:tcBorders>
            <w:noWrap/>
            <w:vAlign w:val="center"/>
          </w:tcPr>
          <w:p w14:paraId="6F0C4A90">
            <w:pPr>
              <w:spacing w:line="360" w:lineRule="auto"/>
              <w:rPr>
                <w:rFonts w:ascii="仿宋" w:hAnsi="仿宋" w:eastAsia="仿宋" w:cs="仿宋"/>
                <w:color w:val="000000"/>
                <w:highlight w:val="none"/>
              </w:rPr>
            </w:pPr>
          </w:p>
        </w:tc>
      </w:tr>
      <w:tr w14:paraId="308FF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C930AB9">
            <w:pPr>
              <w:spacing w:line="360" w:lineRule="auto"/>
              <w:rPr>
                <w:rFonts w:ascii="仿宋" w:hAnsi="仿宋" w:eastAsia="仿宋" w:cs="仿宋"/>
                <w:color w:val="000000"/>
                <w:highlight w:val="none"/>
              </w:rPr>
            </w:pPr>
          </w:p>
        </w:tc>
        <w:tc>
          <w:tcPr>
            <w:tcW w:w="1440" w:type="dxa"/>
            <w:noWrap/>
            <w:vAlign w:val="center"/>
          </w:tcPr>
          <w:p w14:paraId="32097866">
            <w:pPr>
              <w:spacing w:line="360" w:lineRule="auto"/>
              <w:rPr>
                <w:rFonts w:ascii="仿宋" w:hAnsi="仿宋" w:eastAsia="仿宋" w:cs="仿宋"/>
                <w:color w:val="000000"/>
                <w:highlight w:val="none"/>
              </w:rPr>
            </w:pPr>
          </w:p>
        </w:tc>
        <w:tc>
          <w:tcPr>
            <w:tcW w:w="1320" w:type="dxa"/>
            <w:noWrap/>
            <w:vAlign w:val="center"/>
          </w:tcPr>
          <w:p w14:paraId="71542F09">
            <w:pPr>
              <w:spacing w:line="360" w:lineRule="auto"/>
              <w:rPr>
                <w:rFonts w:ascii="仿宋" w:hAnsi="仿宋" w:eastAsia="仿宋" w:cs="仿宋"/>
                <w:color w:val="000000"/>
                <w:highlight w:val="none"/>
              </w:rPr>
            </w:pPr>
          </w:p>
        </w:tc>
        <w:tc>
          <w:tcPr>
            <w:tcW w:w="1161" w:type="dxa"/>
            <w:noWrap/>
            <w:vAlign w:val="center"/>
          </w:tcPr>
          <w:p w14:paraId="5AC2A978">
            <w:pPr>
              <w:spacing w:line="360" w:lineRule="auto"/>
              <w:rPr>
                <w:rFonts w:ascii="仿宋" w:hAnsi="仿宋" w:eastAsia="仿宋" w:cs="仿宋"/>
                <w:color w:val="000000"/>
                <w:highlight w:val="none"/>
              </w:rPr>
            </w:pPr>
          </w:p>
        </w:tc>
        <w:tc>
          <w:tcPr>
            <w:tcW w:w="1269" w:type="dxa"/>
            <w:gridSpan w:val="2"/>
            <w:tcBorders>
              <w:right w:val="single" w:color="auto" w:sz="4" w:space="0"/>
            </w:tcBorders>
            <w:noWrap/>
            <w:vAlign w:val="center"/>
          </w:tcPr>
          <w:p w14:paraId="2EB4EB36">
            <w:pPr>
              <w:spacing w:line="360" w:lineRule="auto"/>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478D2E43">
            <w:pPr>
              <w:spacing w:line="360" w:lineRule="auto"/>
              <w:rPr>
                <w:rFonts w:ascii="仿宋" w:hAnsi="仿宋" w:eastAsia="仿宋" w:cs="仿宋"/>
                <w:color w:val="000000"/>
                <w:highlight w:val="none"/>
              </w:rPr>
            </w:pPr>
          </w:p>
        </w:tc>
        <w:tc>
          <w:tcPr>
            <w:tcW w:w="1314" w:type="dxa"/>
            <w:gridSpan w:val="2"/>
            <w:tcBorders>
              <w:left w:val="single" w:color="auto" w:sz="4" w:space="0"/>
            </w:tcBorders>
            <w:noWrap/>
            <w:vAlign w:val="center"/>
          </w:tcPr>
          <w:p w14:paraId="753E4B06">
            <w:pPr>
              <w:spacing w:line="360" w:lineRule="auto"/>
              <w:rPr>
                <w:rFonts w:ascii="仿宋" w:hAnsi="仿宋" w:eastAsia="仿宋" w:cs="仿宋"/>
                <w:color w:val="000000"/>
                <w:highlight w:val="none"/>
              </w:rPr>
            </w:pPr>
          </w:p>
        </w:tc>
      </w:tr>
      <w:tr w14:paraId="65D16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490A5E12">
            <w:pPr>
              <w:spacing w:line="360" w:lineRule="auto"/>
              <w:jc w:val="center"/>
              <w:rPr>
                <w:rFonts w:ascii="仿宋" w:hAnsi="仿宋" w:eastAsia="仿宋" w:cs="仿宋"/>
                <w:color w:val="000000"/>
                <w:highlight w:val="none"/>
              </w:rPr>
            </w:pPr>
          </w:p>
        </w:tc>
        <w:tc>
          <w:tcPr>
            <w:tcW w:w="1440" w:type="dxa"/>
            <w:noWrap/>
            <w:vAlign w:val="center"/>
          </w:tcPr>
          <w:p w14:paraId="3DC3B05A">
            <w:pPr>
              <w:spacing w:line="360" w:lineRule="auto"/>
              <w:jc w:val="center"/>
              <w:rPr>
                <w:rFonts w:ascii="仿宋" w:hAnsi="仿宋" w:eastAsia="仿宋" w:cs="仿宋"/>
                <w:color w:val="000000"/>
                <w:highlight w:val="none"/>
              </w:rPr>
            </w:pPr>
          </w:p>
        </w:tc>
        <w:tc>
          <w:tcPr>
            <w:tcW w:w="1320" w:type="dxa"/>
            <w:noWrap/>
            <w:vAlign w:val="center"/>
          </w:tcPr>
          <w:p w14:paraId="01C1C2C7">
            <w:pPr>
              <w:spacing w:line="360" w:lineRule="auto"/>
              <w:jc w:val="center"/>
              <w:rPr>
                <w:rFonts w:ascii="仿宋" w:hAnsi="仿宋" w:eastAsia="仿宋" w:cs="仿宋"/>
                <w:color w:val="000000"/>
                <w:highlight w:val="none"/>
              </w:rPr>
            </w:pPr>
          </w:p>
        </w:tc>
        <w:tc>
          <w:tcPr>
            <w:tcW w:w="1161" w:type="dxa"/>
            <w:noWrap/>
            <w:vAlign w:val="center"/>
          </w:tcPr>
          <w:p w14:paraId="2B816DD7">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151B024A">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744B73C">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3D35523F">
            <w:pPr>
              <w:spacing w:line="360" w:lineRule="auto"/>
              <w:jc w:val="center"/>
              <w:rPr>
                <w:rFonts w:ascii="仿宋" w:hAnsi="仿宋" w:eastAsia="仿宋" w:cs="仿宋"/>
                <w:color w:val="000000"/>
                <w:highlight w:val="none"/>
              </w:rPr>
            </w:pPr>
          </w:p>
        </w:tc>
      </w:tr>
      <w:tr w14:paraId="0A057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88C00C6">
            <w:pPr>
              <w:spacing w:line="360" w:lineRule="auto"/>
              <w:jc w:val="center"/>
              <w:rPr>
                <w:rFonts w:ascii="仿宋" w:hAnsi="仿宋" w:eastAsia="仿宋" w:cs="仿宋"/>
                <w:color w:val="000000"/>
                <w:highlight w:val="none"/>
              </w:rPr>
            </w:pPr>
          </w:p>
        </w:tc>
        <w:tc>
          <w:tcPr>
            <w:tcW w:w="1440" w:type="dxa"/>
            <w:noWrap/>
            <w:vAlign w:val="center"/>
          </w:tcPr>
          <w:p w14:paraId="5B2F113B">
            <w:pPr>
              <w:spacing w:line="360" w:lineRule="auto"/>
              <w:jc w:val="center"/>
              <w:rPr>
                <w:rFonts w:ascii="仿宋" w:hAnsi="仿宋" w:eastAsia="仿宋" w:cs="仿宋"/>
                <w:color w:val="000000"/>
                <w:highlight w:val="none"/>
              </w:rPr>
            </w:pPr>
          </w:p>
        </w:tc>
        <w:tc>
          <w:tcPr>
            <w:tcW w:w="1320" w:type="dxa"/>
            <w:noWrap/>
            <w:vAlign w:val="center"/>
          </w:tcPr>
          <w:p w14:paraId="5131793C">
            <w:pPr>
              <w:spacing w:line="360" w:lineRule="auto"/>
              <w:jc w:val="center"/>
              <w:rPr>
                <w:rFonts w:ascii="仿宋" w:hAnsi="仿宋" w:eastAsia="仿宋" w:cs="仿宋"/>
                <w:color w:val="000000"/>
                <w:highlight w:val="none"/>
              </w:rPr>
            </w:pPr>
          </w:p>
        </w:tc>
        <w:tc>
          <w:tcPr>
            <w:tcW w:w="1161" w:type="dxa"/>
            <w:noWrap/>
            <w:vAlign w:val="center"/>
          </w:tcPr>
          <w:p w14:paraId="093D484E">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5B0FE290">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3D492F2">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28383131">
            <w:pPr>
              <w:spacing w:line="360" w:lineRule="auto"/>
              <w:jc w:val="center"/>
              <w:rPr>
                <w:rFonts w:ascii="仿宋" w:hAnsi="仿宋" w:eastAsia="仿宋" w:cs="仿宋"/>
                <w:color w:val="000000"/>
                <w:highlight w:val="none"/>
              </w:rPr>
            </w:pPr>
          </w:p>
        </w:tc>
      </w:tr>
      <w:tr w14:paraId="3DE26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14:paraId="2CBF506A">
            <w:pPr>
              <w:spacing w:line="360" w:lineRule="auto"/>
              <w:jc w:val="center"/>
              <w:rPr>
                <w:rFonts w:ascii="仿宋" w:hAnsi="仿宋" w:eastAsia="仿宋" w:cs="仿宋"/>
                <w:color w:val="000000"/>
                <w:highlight w:val="none"/>
              </w:rPr>
            </w:pPr>
          </w:p>
        </w:tc>
        <w:tc>
          <w:tcPr>
            <w:tcW w:w="1440" w:type="dxa"/>
            <w:tcBorders>
              <w:bottom w:val="single" w:color="auto" w:sz="4" w:space="0"/>
            </w:tcBorders>
            <w:noWrap/>
            <w:vAlign w:val="center"/>
          </w:tcPr>
          <w:p w14:paraId="708DB425">
            <w:pPr>
              <w:spacing w:line="360" w:lineRule="auto"/>
              <w:jc w:val="center"/>
              <w:rPr>
                <w:rFonts w:ascii="仿宋" w:hAnsi="仿宋" w:eastAsia="仿宋" w:cs="仿宋"/>
                <w:color w:val="000000"/>
                <w:highlight w:val="none"/>
              </w:rPr>
            </w:pPr>
          </w:p>
        </w:tc>
        <w:tc>
          <w:tcPr>
            <w:tcW w:w="1320" w:type="dxa"/>
            <w:tcBorders>
              <w:bottom w:val="single" w:color="auto" w:sz="4" w:space="0"/>
            </w:tcBorders>
            <w:noWrap/>
            <w:vAlign w:val="center"/>
          </w:tcPr>
          <w:p w14:paraId="5702D5E4">
            <w:pPr>
              <w:spacing w:line="360" w:lineRule="auto"/>
              <w:jc w:val="center"/>
              <w:rPr>
                <w:rFonts w:ascii="仿宋" w:hAnsi="仿宋" w:eastAsia="仿宋" w:cs="仿宋"/>
                <w:color w:val="000000"/>
                <w:highlight w:val="none"/>
              </w:rPr>
            </w:pPr>
          </w:p>
        </w:tc>
        <w:tc>
          <w:tcPr>
            <w:tcW w:w="1161" w:type="dxa"/>
            <w:tcBorders>
              <w:bottom w:val="single" w:color="auto" w:sz="4" w:space="0"/>
            </w:tcBorders>
            <w:noWrap/>
            <w:vAlign w:val="center"/>
          </w:tcPr>
          <w:p w14:paraId="533D6093">
            <w:pPr>
              <w:spacing w:line="360" w:lineRule="auto"/>
              <w:jc w:val="center"/>
              <w:rPr>
                <w:rFonts w:ascii="仿宋" w:hAnsi="仿宋" w:eastAsia="仿宋" w:cs="仿宋"/>
                <w:color w:val="000000"/>
                <w:highlight w:val="none"/>
              </w:rPr>
            </w:pPr>
          </w:p>
        </w:tc>
        <w:tc>
          <w:tcPr>
            <w:tcW w:w="1269" w:type="dxa"/>
            <w:gridSpan w:val="2"/>
            <w:tcBorders>
              <w:bottom w:val="single" w:color="auto" w:sz="4" w:space="0"/>
              <w:right w:val="single" w:color="auto" w:sz="4" w:space="0"/>
            </w:tcBorders>
            <w:noWrap/>
            <w:vAlign w:val="center"/>
          </w:tcPr>
          <w:p w14:paraId="5B07E300">
            <w:pPr>
              <w:spacing w:line="360" w:lineRule="auto"/>
              <w:jc w:val="center"/>
              <w:rPr>
                <w:rFonts w:ascii="仿宋" w:hAnsi="仿宋" w:eastAsia="仿宋" w:cs="仿宋"/>
                <w:color w:val="000000"/>
                <w:highlight w:val="none"/>
              </w:rPr>
            </w:pPr>
          </w:p>
        </w:tc>
        <w:tc>
          <w:tcPr>
            <w:tcW w:w="1356" w:type="dxa"/>
            <w:tcBorders>
              <w:left w:val="single" w:color="auto" w:sz="4" w:space="0"/>
              <w:bottom w:val="single" w:color="auto" w:sz="4" w:space="0"/>
              <w:right w:val="single" w:color="auto" w:sz="4" w:space="0"/>
            </w:tcBorders>
            <w:noWrap/>
            <w:vAlign w:val="center"/>
          </w:tcPr>
          <w:p w14:paraId="5E57AABA">
            <w:pPr>
              <w:spacing w:line="360" w:lineRule="auto"/>
              <w:jc w:val="center"/>
              <w:rPr>
                <w:rFonts w:ascii="仿宋" w:hAnsi="仿宋" w:eastAsia="仿宋" w:cs="仿宋"/>
                <w:color w:val="000000"/>
                <w:highlight w:val="none"/>
              </w:rPr>
            </w:pPr>
          </w:p>
        </w:tc>
        <w:tc>
          <w:tcPr>
            <w:tcW w:w="1314" w:type="dxa"/>
            <w:gridSpan w:val="2"/>
            <w:tcBorders>
              <w:left w:val="single" w:color="auto" w:sz="4" w:space="0"/>
              <w:bottom w:val="single" w:color="auto" w:sz="4" w:space="0"/>
            </w:tcBorders>
            <w:noWrap/>
            <w:vAlign w:val="center"/>
          </w:tcPr>
          <w:p w14:paraId="646EDDCD">
            <w:pPr>
              <w:spacing w:line="360" w:lineRule="auto"/>
              <w:jc w:val="center"/>
              <w:rPr>
                <w:rFonts w:ascii="仿宋" w:hAnsi="仿宋" w:eastAsia="仿宋" w:cs="仿宋"/>
                <w:color w:val="000000"/>
                <w:highlight w:val="none"/>
              </w:rPr>
            </w:pPr>
          </w:p>
        </w:tc>
      </w:tr>
      <w:tr w14:paraId="09A8E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757908D9">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23054D3C">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737E5469">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42781820">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368806F3">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72D1B07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311E437">
            <w:pPr>
              <w:spacing w:line="360" w:lineRule="auto"/>
              <w:jc w:val="center"/>
              <w:rPr>
                <w:rFonts w:ascii="仿宋" w:hAnsi="仿宋" w:eastAsia="仿宋" w:cs="仿宋"/>
                <w:color w:val="000000"/>
                <w:highlight w:val="none"/>
              </w:rPr>
            </w:pPr>
          </w:p>
        </w:tc>
      </w:tr>
      <w:tr w14:paraId="4A2D2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3AB3B7F0">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12F0B091">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478C72E2">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5015A42A">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5D11C0DF">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388C0E8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7E8347D">
            <w:pPr>
              <w:spacing w:line="360" w:lineRule="auto"/>
              <w:jc w:val="center"/>
              <w:rPr>
                <w:rFonts w:ascii="仿宋" w:hAnsi="仿宋" w:eastAsia="仿宋" w:cs="仿宋"/>
                <w:color w:val="000000"/>
                <w:highlight w:val="none"/>
              </w:rPr>
            </w:pPr>
          </w:p>
        </w:tc>
      </w:tr>
      <w:tr w14:paraId="7A907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14:paraId="24CB029E">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0D3F6914">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2EAE1334">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7B0DA7FB">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4035BEA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8D45B6C">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057160EE">
            <w:pPr>
              <w:spacing w:line="360" w:lineRule="auto"/>
              <w:jc w:val="center"/>
              <w:rPr>
                <w:rFonts w:ascii="仿宋" w:hAnsi="仿宋" w:eastAsia="仿宋" w:cs="仿宋"/>
                <w:color w:val="000000"/>
                <w:highlight w:val="none"/>
              </w:rPr>
            </w:pPr>
          </w:p>
        </w:tc>
      </w:tr>
      <w:tr w14:paraId="6624A0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14:paraId="6EED012A">
            <w:pPr>
              <w:spacing w:line="360" w:lineRule="auto"/>
              <w:jc w:val="center"/>
              <w:rPr>
                <w:rFonts w:ascii="仿宋" w:hAnsi="仿宋" w:eastAsia="仿宋" w:cs="仿宋"/>
                <w:color w:val="000000"/>
                <w:highlight w:val="none"/>
              </w:rPr>
            </w:pPr>
          </w:p>
        </w:tc>
        <w:tc>
          <w:tcPr>
            <w:tcW w:w="1440" w:type="dxa"/>
            <w:tcBorders>
              <w:top w:val="single" w:color="auto" w:sz="4" w:space="0"/>
            </w:tcBorders>
            <w:noWrap/>
            <w:vAlign w:val="center"/>
          </w:tcPr>
          <w:p w14:paraId="7F283DFE">
            <w:pPr>
              <w:spacing w:line="360" w:lineRule="auto"/>
              <w:jc w:val="center"/>
              <w:rPr>
                <w:rFonts w:ascii="仿宋" w:hAnsi="仿宋" w:eastAsia="仿宋" w:cs="仿宋"/>
                <w:color w:val="000000"/>
                <w:highlight w:val="none"/>
              </w:rPr>
            </w:pPr>
          </w:p>
        </w:tc>
        <w:tc>
          <w:tcPr>
            <w:tcW w:w="1320" w:type="dxa"/>
            <w:tcBorders>
              <w:top w:val="single" w:color="auto" w:sz="4" w:space="0"/>
            </w:tcBorders>
            <w:noWrap/>
            <w:vAlign w:val="center"/>
          </w:tcPr>
          <w:p w14:paraId="30629793">
            <w:pPr>
              <w:spacing w:line="360" w:lineRule="auto"/>
              <w:jc w:val="center"/>
              <w:rPr>
                <w:rFonts w:ascii="仿宋" w:hAnsi="仿宋" w:eastAsia="仿宋" w:cs="仿宋"/>
                <w:color w:val="000000"/>
                <w:highlight w:val="none"/>
              </w:rPr>
            </w:pPr>
          </w:p>
        </w:tc>
        <w:tc>
          <w:tcPr>
            <w:tcW w:w="1161" w:type="dxa"/>
            <w:tcBorders>
              <w:top w:val="single" w:color="auto" w:sz="4" w:space="0"/>
            </w:tcBorders>
            <w:noWrap/>
            <w:vAlign w:val="center"/>
          </w:tcPr>
          <w:p w14:paraId="27B0D4D6">
            <w:pPr>
              <w:spacing w:line="360" w:lineRule="auto"/>
              <w:jc w:val="center"/>
              <w:rPr>
                <w:rFonts w:ascii="仿宋" w:hAnsi="仿宋" w:eastAsia="仿宋" w:cs="仿宋"/>
                <w:color w:val="000000"/>
                <w:highlight w:val="none"/>
              </w:rPr>
            </w:pPr>
          </w:p>
        </w:tc>
        <w:tc>
          <w:tcPr>
            <w:tcW w:w="1269" w:type="dxa"/>
            <w:gridSpan w:val="2"/>
            <w:tcBorders>
              <w:top w:val="single" w:color="auto" w:sz="4" w:space="0"/>
              <w:right w:val="single" w:color="auto" w:sz="4" w:space="0"/>
            </w:tcBorders>
            <w:noWrap/>
            <w:vAlign w:val="center"/>
          </w:tcPr>
          <w:p w14:paraId="7DB8AE8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right w:val="single" w:color="auto" w:sz="4" w:space="0"/>
            </w:tcBorders>
            <w:noWrap/>
            <w:vAlign w:val="center"/>
          </w:tcPr>
          <w:p w14:paraId="1F1C7A7F">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tcBorders>
            <w:noWrap/>
            <w:vAlign w:val="center"/>
          </w:tcPr>
          <w:p w14:paraId="1B4CA3C9">
            <w:pPr>
              <w:spacing w:line="360" w:lineRule="auto"/>
              <w:jc w:val="center"/>
              <w:rPr>
                <w:rFonts w:ascii="仿宋" w:hAnsi="仿宋" w:eastAsia="仿宋" w:cs="仿宋"/>
                <w:color w:val="000000"/>
                <w:highlight w:val="none"/>
              </w:rPr>
            </w:pPr>
          </w:p>
        </w:tc>
      </w:tr>
    </w:tbl>
    <w:p w14:paraId="68AA64F5">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注：以上业绩需提供有关书面证明材料。“合同金额”需提供合同复印件；“完成项目质量”需提供合同验收资料或用户单位书面证明材料。</w:t>
      </w:r>
    </w:p>
    <w:p w14:paraId="0250631D">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24166B7F">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sz w:val="28"/>
          <w:szCs w:val="28"/>
          <w:highlight w:val="none"/>
        </w:rPr>
        <w:t>法定代表人或授权代表（签字或盖章）</w:t>
      </w:r>
      <w:r>
        <w:rPr>
          <w:rFonts w:hint="eastAsia" w:ascii="仿宋" w:hAnsi="仿宋" w:eastAsia="仿宋" w:cs="仿宋"/>
          <w:bCs/>
          <w:sz w:val="28"/>
          <w:szCs w:val="28"/>
          <w:highlight w:val="none"/>
        </w:rPr>
        <w:t>：</w:t>
      </w:r>
    </w:p>
    <w:p w14:paraId="5F7E671F">
      <w:pPr>
        <w:spacing w:line="360" w:lineRule="auto"/>
        <w:ind w:firstLine="560" w:firstLineChars="200"/>
        <w:rPr>
          <w:rFonts w:ascii="仿宋" w:hAnsi="仿宋" w:eastAsia="仿宋" w:cs="仿宋"/>
          <w:highlight w:val="none"/>
        </w:rPr>
      </w:pPr>
      <w:r>
        <w:rPr>
          <w:rFonts w:hint="eastAsia" w:ascii="仿宋" w:hAnsi="仿宋" w:eastAsia="仿宋" w:cs="仿宋"/>
          <w:bCs/>
          <w:sz w:val="28"/>
          <w:szCs w:val="28"/>
          <w:highlight w:val="none"/>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D4B24E-DE18-4EE4-B74A-A0C58ECF88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624E79FA-147D-4318-BEFA-A3FD33183FCE}"/>
  </w:font>
  <w:font w:name="仿宋_GB2312">
    <w:panose1 w:val="02010609030101010101"/>
    <w:charset w:val="86"/>
    <w:family w:val="auto"/>
    <w:pitch w:val="default"/>
    <w:sig w:usb0="00000001" w:usb1="080E0000" w:usb2="00000000" w:usb3="00000000" w:csb0="00040000" w:csb1="00000000"/>
    <w:embedRegular r:id="rId3" w:fontKey="{E1843A55-5ECF-4AFA-823F-81E811D6AF5C}"/>
  </w:font>
  <w:font w:name="方正公文小标宋">
    <w:panose1 w:val="02000500000000000000"/>
    <w:charset w:val="86"/>
    <w:family w:val="auto"/>
    <w:pitch w:val="default"/>
    <w:sig w:usb0="A00002BF" w:usb1="38CF7CFA" w:usb2="00000016" w:usb3="00000000" w:csb0="00040001" w:csb1="00000000"/>
    <w:embedRegular r:id="rId4" w:fontKey="{9C7A09E1-4568-4BB8-8DCE-975A015212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FD26">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57B8F352">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mc:Fallback>
      </mc:AlternateContent>
    </w:r>
  </w:p>
  <w:p w14:paraId="1637DEF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4C79">
    <w:pPr>
      <w:pStyle w:val="9"/>
      <w:ind w:right="360"/>
      <w:rPr>
        <w:rStyle w:val="19"/>
        <w:kern w:val="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E55A8">
                          <w:pPr>
                            <w:pStyle w:val="9"/>
                            <w:rPr>
                              <w:rStyle w:val="19"/>
                            </w:rPr>
                          </w:pPr>
                          <w:r>
                            <w:fldChar w:fldCharType="begin"/>
                          </w:r>
                          <w:r>
                            <w:rPr>
                              <w:rStyle w:val="19"/>
                            </w:rPr>
                            <w:instrText xml:space="preserve">PAGE  </w:instrText>
                          </w:r>
                          <w:r>
                            <w:fldChar w:fldCharType="separate"/>
                          </w:r>
                          <w:r>
                            <w:rPr>
                              <w:rStyle w:val="19"/>
                            </w:rPr>
                            <w:t>30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62BE55A8">
                    <w:pPr>
                      <w:pStyle w:val="9"/>
                      <w:rPr>
                        <w:rStyle w:val="19"/>
                      </w:rPr>
                    </w:pPr>
                    <w:r>
                      <w:fldChar w:fldCharType="begin"/>
                    </w:r>
                    <w:r>
                      <w:rPr>
                        <w:rStyle w:val="19"/>
                      </w:rPr>
                      <w:instrText xml:space="preserve">PAGE  </w:instrText>
                    </w:r>
                    <w:r>
                      <w:fldChar w:fldCharType="separate"/>
                    </w:r>
                    <w:r>
                      <w:rPr>
                        <w:rStyle w:val="19"/>
                      </w:rPr>
                      <w:t>30</w:t>
                    </w:r>
                    <w:r>
                      <w:fldChar w:fldCharType="end"/>
                    </w:r>
                  </w:p>
                </w:txbxContent>
              </v:textbox>
            </v:shape>
          </w:pict>
        </mc:Fallback>
      </mc:AlternateContent>
    </w:r>
  </w:p>
  <w:p w14:paraId="04E55B2C">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ACF1">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416CAEE4">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08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BFD17">
                          <w:pPr>
                            <w:pStyle w:val="9"/>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70BFD17">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2074">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E5DC7">
                          <w:pPr>
                            <w:pStyle w:val="9"/>
                            <w:rPr>
                              <w:rStyle w:val="19"/>
                            </w:rPr>
                          </w:pPr>
                          <w:r>
                            <w:fldChar w:fldCharType="begin"/>
                          </w:r>
                          <w:r>
                            <w:rPr>
                              <w:rStyle w:val="19"/>
                            </w:rPr>
                            <w:instrText xml:space="preserve">PAGE  </w:instrText>
                          </w:r>
                          <w:r>
                            <w:fldChar w:fldCharType="separate"/>
                          </w:r>
                          <w:r>
                            <w:rPr>
                              <w:rStyle w:val="19"/>
                            </w:rP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7D8E5DC7">
                    <w:pPr>
                      <w:pStyle w:val="9"/>
                      <w:rPr>
                        <w:rStyle w:val="19"/>
                      </w:rPr>
                    </w:pPr>
                    <w:r>
                      <w:fldChar w:fldCharType="begin"/>
                    </w:r>
                    <w:r>
                      <w:rPr>
                        <w:rStyle w:val="19"/>
                      </w:rPr>
                      <w:instrText xml:space="preserve">PAGE  </w:instrText>
                    </w:r>
                    <w:r>
                      <w:fldChar w:fldCharType="separate"/>
                    </w:r>
                    <w:r>
                      <w:rPr>
                        <w:rStyle w:val="19"/>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9242">
    <w:pPr>
      <w:pStyle w:val="9"/>
      <w:framePr w:wrap="around" w:vAnchor="text" w:hAnchor="margin" w:xAlign="center" w:y="1"/>
      <w:rPr>
        <w:rStyle w:val="19"/>
      </w:rPr>
    </w:pPr>
    <w:r>
      <w:fldChar w:fldCharType="begin"/>
    </w:r>
    <w:r>
      <w:rPr>
        <w:rStyle w:val="19"/>
      </w:rPr>
      <w:instrText xml:space="preserve">PAGE  </w:instrText>
    </w:r>
    <w:r>
      <w:fldChar w:fldCharType="end"/>
    </w:r>
  </w:p>
  <w:p w14:paraId="3EC8C5D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6C15">
    <w:pPr>
      <w:pStyle w:val="10"/>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14:paraId="70D132A7">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DF1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8A3AF"/>
    <w:multiLevelType w:val="singleLevel"/>
    <w:tmpl w:val="9598A3AF"/>
    <w:lvl w:ilvl="0" w:tentative="0">
      <w:start w:val="1"/>
      <w:numFmt w:val="decimal"/>
      <w:suff w:val="nothing"/>
      <w:lvlText w:val="%1、"/>
      <w:lvlJc w:val="left"/>
    </w:lvl>
  </w:abstractNum>
  <w:abstractNum w:abstractNumId="1">
    <w:nsid w:val="A4C7C6E1"/>
    <w:multiLevelType w:val="singleLevel"/>
    <w:tmpl w:val="A4C7C6E1"/>
    <w:lvl w:ilvl="0" w:tentative="0">
      <w:start w:val="5"/>
      <w:numFmt w:val="chineseCounting"/>
      <w:suff w:val="nothing"/>
      <w:lvlText w:val="%1、"/>
      <w:lvlJc w:val="left"/>
      <w:rPr>
        <w:rFonts w:hint="eastAsia"/>
      </w:rPr>
    </w:lvl>
  </w:abstractNum>
  <w:abstractNum w:abstractNumId="2">
    <w:nsid w:val="A5171C62"/>
    <w:multiLevelType w:val="singleLevel"/>
    <w:tmpl w:val="A5171C62"/>
    <w:lvl w:ilvl="0" w:tentative="0">
      <w:start w:val="3"/>
      <w:numFmt w:val="chineseCounting"/>
      <w:suff w:val="nothing"/>
      <w:lvlText w:val="（%1）"/>
      <w:lvlJc w:val="left"/>
      <w:rPr>
        <w:rFonts w:hint="eastAsia"/>
      </w:rPr>
    </w:lvl>
  </w:abstractNum>
  <w:abstractNum w:abstractNumId="3">
    <w:nsid w:val="BAB6AEB1"/>
    <w:multiLevelType w:val="singleLevel"/>
    <w:tmpl w:val="BAB6AEB1"/>
    <w:lvl w:ilvl="0" w:tentative="0">
      <w:start w:val="7"/>
      <w:numFmt w:val="chineseCounting"/>
      <w:suff w:val="space"/>
      <w:lvlText w:val="（%1）"/>
      <w:lvlJc w:val="left"/>
      <w:rPr>
        <w:rFonts w:hint="eastAsia"/>
      </w:rPr>
    </w:lvl>
  </w:abstractNum>
  <w:abstractNum w:abstractNumId="4">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3B4C505F"/>
    <w:multiLevelType w:val="singleLevel"/>
    <w:tmpl w:val="3B4C505F"/>
    <w:lvl w:ilvl="0" w:tentative="0">
      <w:start w:val="1"/>
      <w:numFmt w:val="chineseCounting"/>
      <w:suff w:val="nothing"/>
      <w:lvlText w:val="%1、"/>
      <w:lvlJc w:val="left"/>
      <w:rPr>
        <w:rFonts w:hint="eastAsia"/>
      </w:rPr>
    </w:lvl>
  </w:abstractNum>
  <w:abstractNum w:abstractNumId="6">
    <w:nsid w:val="4578CF41"/>
    <w:multiLevelType w:val="singleLevel"/>
    <w:tmpl w:val="4578CF41"/>
    <w:lvl w:ilvl="0" w:tentative="0">
      <w:start w:val="1"/>
      <w:numFmt w:val="chineseCounting"/>
      <w:suff w:val="space"/>
      <w:lvlText w:val="第%1章"/>
      <w:lvlJc w:val="left"/>
      <w:rPr>
        <w:rFonts w:hint="eastAsia"/>
      </w:rPr>
    </w:lvl>
  </w:abstractNum>
  <w:abstractNum w:abstractNumId="7">
    <w:nsid w:val="45946062"/>
    <w:multiLevelType w:val="singleLevel"/>
    <w:tmpl w:val="45946062"/>
    <w:lvl w:ilvl="0" w:tentative="0">
      <w:start w:val="1"/>
      <w:numFmt w:val="decimal"/>
      <w:suff w:val="nothing"/>
      <w:lvlText w:val="%1、"/>
      <w:lvlJc w:val="left"/>
    </w:lvl>
  </w:abstractNum>
  <w:abstractNum w:abstractNumId="8">
    <w:nsid w:val="4B2DF71E"/>
    <w:multiLevelType w:val="singleLevel"/>
    <w:tmpl w:val="4B2DF71E"/>
    <w:lvl w:ilvl="0" w:tentative="0">
      <w:start w:val="1"/>
      <w:numFmt w:val="decimal"/>
      <w:suff w:val="nothing"/>
      <w:lvlText w:val="%1、"/>
      <w:lvlJc w:val="left"/>
    </w:lvl>
  </w:abstractNum>
  <w:abstractNum w:abstractNumId="9">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4"/>
  </w:num>
  <w:num w:numId="2">
    <w:abstractNumId w:val="9"/>
  </w:num>
  <w:num w:numId="3">
    <w:abstractNumId w:val="6"/>
  </w:num>
  <w:num w:numId="4">
    <w:abstractNumId w:val="2"/>
  </w:num>
  <w:num w:numId="5">
    <w:abstractNumId w:val="8"/>
  </w:num>
  <w:num w:numId="6">
    <w:abstractNumId w:val="7"/>
  </w:num>
  <w:num w:numId="7">
    <w:abstractNumId w:val="3"/>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A8053F"/>
    <w:rsid w:val="02AB78A7"/>
    <w:rsid w:val="02CF50C0"/>
    <w:rsid w:val="03276493"/>
    <w:rsid w:val="03A32C74"/>
    <w:rsid w:val="04264DDE"/>
    <w:rsid w:val="068D3C6C"/>
    <w:rsid w:val="06CB01B2"/>
    <w:rsid w:val="0735445F"/>
    <w:rsid w:val="082D68C0"/>
    <w:rsid w:val="0895440D"/>
    <w:rsid w:val="099C21AA"/>
    <w:rsid w:val="09C8176A"/>
    <w:rsid w:val="0AC7222B"/>
    <w:rsid w:val="0B4B1C27"/>
    <w:rsid w:val="0C1B1726"/>
    <w:rsid w:val="0C526FE5"/>
    <w:rsid w:val="0C653F5B"/>
    <w:rsid w:val="0FBF4992"/>
    <w:rsid w:val="10E16B8A"/>
    <w:rsid w:val="11692E07"/>
    <w:rsid w:val="11DA1B30"/>
    <w:rsid w:val="12F17558"/>
    <w:rsid w:val="13502D0A"/>
    <w:rsid w:val="13C479B3"/>
    <w:rsid w:val="14081913"/>
    <w:rsid w:val="143811B7"/>
    <w:rsid w:val="152534E9"/>
    <w:rsid w:val="155F532E"/>
    <w:rsid w:val="16EB3B9B"/>
    <w:rsid w:val="17081A00"/>
    <w:rsid w:val="17DB07D7"/>
    <w:rsid w:val="190A1374"/>
    <w:rsid w:val="19377C8F"/>
    <w:rsid w:val="19B71113"/>
    <w:rsid w:val="1A8106F0"/>
    <w:rsid w:val="1AA46DAA"/>
    <w:rsid w:val="1B4A3E71"/>
    <w:rsid w:val="1BF20354"/>
    <w:rsid w:val="1C0D55E0"/>
    <w:rsid w:val="1D64349D"/>
    <w:rsid w:val="1D7F73F8"/>
    <w:rsid w:val="1E561981"/>
    <w:rsid w:val="1ECC20E3"/>
    <w:rsid w:val="1F4D3D68"/>
    <w:rsid w:val="1FAA5B7D"/>
    <w:rsid w:val="20490CC8"/>
    <w:rsid w:val="21AC7207"/>
    <w:rsid w:val="2244629C"/>
    <w:rsid w:val="22D84291"/>
    <w:rsid w:val="248D2E59"/>
    <w:rsid w:val="24D740D4"/>
    <w:rsid w:val="25075CAA"/>
    <w:rsid w:val="258204E4"/>
    <w:rsid w:val="25B17454"/>
    <w:rsid w:val="29A349F9"/>
    <w:rsid w:val="29D11F74"/>
    <w:rsid w:val="29E351DD"/>
    <w:rsid w:val="2BFF1D42"/>
    <w:rsid w:val="2C33078A"/>
    <w:rsid w:val="2C84328E"/>
    <w:rsid w:val="2CA42DE1"/>
    <w:rsid w:val="2CED4F6B"/>
    <w:rsid w:val="2D1542AF"/>
    <w:rsid w:val="2D520CBF"/>
    <w:rsid w:val="2D5C161A"/>
    <w:rsid w:val="2E274D7B"/>
    <w:rsid w:val="2EE21121"/>
    <w:rsid w:val="2FAD2601"/>
    <w:rsid w:val="2FE45165"/>
    <w:rsid w:val="309B2467"/>
    <w:rsid w:val="31010479"/>
    <w:rsid w:val="31091496"/>
    <w:rsid w:val="314B4C91"/>
    <w:rsid w:val="32CD2A10"/>
    <w:rsid w:val="33DC5895"/>
    <w:rsid w:val="35284C04"/>
    <w:rsid w:val="35CE3363"/>
    <w:rsid w:val="37491522"/>
    <w:rsid w:val="3A5A3BAD"/>
    <w:rsid w:val="3A826D1A"/>
    <w:rsid w:val="3BE21884"/>
    <w:rsid w:val="3C557122"/>
    <w:rsid w:val="3C59428D"/>
    <w:rsid w:val="3CC54F57"/>
    <w:rsid w:val="3D5373E0"/>
    <w:rsid w:val="40112809"/>
    <w:rsid w:val="4065532C"/>
    <w:rsid w:val="41623A80"/>
    <w:rsid w:val="41BE23E1"/>
    <w:rsid w:val="420D14D6"/>
    <w:rsid w:val="421C7457"/>
    <w:rsid w:val="423A5D5C"/>
    <w:rsid w:val="429513FF"/>
    <w:rsid w:val="431B32FE"/>
    <w:rsid w:val="431D73DC"/>
    <w:rsid w:val="434A6B0B"/>
    <w:rsid w:val="451A208F"/>
    <w:rsid w:val="45AA61B4"/>
    <w:rsid w:val="462F56C6"/>
    <w:rsid w:val="46FC2990"/>
    <w:rsid w:val="47282841"/>
    <w:rsid w:val="48245A6D"/>
    <w:rsid w:val="48D83DF3"/>
    <w:rsid w:val="49C229F0"/>
    <w:rsid w:val="49F11610"/>
    <w:rsid w:val="4A236E73"/>
    <w:rsid w:val="4A9D2073"/>
    <w:rsid w:val="4AA26071"/>
    <w:rsid w:val="4B3029AD"/>
    <w:rsid w:val="4CFA0B84"/>
    <w:rsid w:val="4D2F1826"/>
    <w:rsid w:val="4DAD1CF2"/>
    <w:rsid w:val="4DE2558B"/>
    <w:rsid w:val="4DF85D67"/>
    <w:rsid w:val="4F79375C"/>
    <w:rsid w:val="4F8A39C2"/>
    <w:rsid w:val="506C5065"/>
    <w:rsid w:val="50884351"/>
    <w:rsid w:val="517E212C"/>
    <w:rsid w:val="54111726"/>
    <w:rsid w:val="542E6249"/>
    <w:rsid w:val="547B5F26"/>
    <w:rsid w:val="55711EBB"/>
    <w:rsid w:val="55BF1E12"/>
    <w:rsid w:val="55D55BA4"/>
    <w:rsid w:val="55E9251C"/>
    <w:rsid w:val="561843C9"/>
    <w:rsid w:val="5681463C"/>
    <w:rsid w:val="58816255"/>
    <w:rsid w:val="58A65CBC"/>
    <w:rsid w:val="58F6310D"/>
    <w:rsid w:val="5914654F"/>
    <w:rsid w:val="5A3115B5"/>
    <w:rsid w:val="5BF8682E"/>
    <w:rsid w:val="5CA72002"/>
    <w:rsid w:val="5CDB3E8E"/>
    <w:rsid w:val="5D1D4073"/>
    <w:rsid w:val="5D526A35"/>
    <w:rsid w:val="5D8A720C"/>
    <w:rsid w:val="5DA705C8"/>
    <w:rsid w:val="5E4044BD"/>
    <w:rsid w:val="5F8D1984"/>
    <w:rsid w:val="5FED5F7E"/>
    <w:rsid w:val="61112140"/>
    <w:rsid w:val="62175DE5"/>
    <w:rsid w:val="62180C9A"/>
    <w:rsid w:val="625E7607"/>
    <w:rsid w:val="62C326D2"/>
    <w:rsid w:val="64223473"/>
    <w:rsid w:val="6505667C"/>
    <w:rsid w:val="653D52B2"/>
    <w:rsid w:val="664C4B1D"/>
    <w:rsid w:val="664F0CB2"/>
    <w:rsid w:val="66DB4D83"/>
    <w:rsid w:val="67786A75"/>
    <w:rsid w:val="67E71264"/>
    <w:rsid w:val="68806576"/>
    <w:rsid w:val="696F05B5"/>
    <w:rsid w:val="69C405B3"/>
    <w:rsid w:val="6A5F3F1C"/>
    <w:rsid w:val="6A9D0B41"/>
    <w:rsid w:val="6BB64010"/>
    <w:rsid w:val="6C371961"/>
    <w:rsid w:val="6D2825EA"/>
    <w:rsid w:val="6D594018"/>
    <w:rsid w:val="6EA6211A"/>
    <w:rsid w:val="6F601F1C"/>
    <w:rsid w:val="704669F8"/>
    <w:rsid w:val="70666005"/>
    <w:rsid w:val="71833E3D"/>
    <w:rsid w:val="719E17CE"/>
    <w:rsid w:val="72B7769C"/>
    <w:rsid w:val="73322077"/>
    <w:rsid w:val="748C1DB2"/>
    <w:rsid w:val="762244DF"/>
    <w:rsid w:val="763B6C8C"/>
    <w:rsid w:val="769E3AC5"/>
    <w:rsid w:val="76AE2E69"/>
    <w:rsid w:val="76E54993"/>
    <w:rsid w:val="78880BB9"/>
    <w:rsid w:val="78E71CAD"/>
    <w:rsid w:val="792B78C2"/>
    <w:rsid w:val="797D43BF"/>
    <w:rsid w:val="79E61F64"/>
    <w:rsid w:val="7AEC49C8"/>
    <w:rsid w:val="7B191EC6"/>
    <w:rsid w:val="7B7D5A51"/>
    <w:rsid w:val="7C556F2D"/>
    <w:rsid w:val="7E1840F5"/>
    <w:rsid w:val="7ECD54A1"/>
    <w:rsid w:val="7F0B5061"/>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4">
    <w:name w:val="heading 2"/>
    <w:basedOn w:val="1"/>
    <w:next w:val="5"/>
    <w:link w:val="30"/>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1"/>
    <w:autoRedefine/>
    <w:qFormat/>
    <w:uiPriority w:val="0"/>
    <w:pPr>
      <w:spacing w:after="120"/>
    </w:pPr>
  </w:style>
  <w:style w:type="paragraph" w:styleId="5">
    <w:name w:val="Normal Indent"/>
    <w:basedOn w:val="1"/>
    <w:link w:val="37"/>
    <w:autoRedefine/>
    <w:qFormat/>
    <w:uiPriority w:val="0"/>
    <w:pPr>
      <w:spacing w:line="360" w:lineRule="auto"/>
      <w:ind w:right="25" w:rightChars="12" w:firstLine="487" w:firstLineChars="202"/>
    </w:pPr>
    <w:rPr>
      <w:rFonts w:ascii="宋体" w:hAnsi="宋体"/>
      <w:b/>
      <w:kern w:val="0"/>
      <w:sz w:val="24"/>
      <w:szCs w:val="24"/>
    </w:rPr>
  </w:style>
  <w:style w:type="paragraph" w:styleId="6">
    <w:name w:val="annotation text"/>
    <w:basedOn w:val="1"/>
    <w:link w:val="32"/>
    <w:autoRedefine/>
    <w:unhideWhenUsed/>
    <w:qFormat/>
    <w:uiPriority w:val="0"/>
    <w:pPr>
      <w:jc w:val="left"/>
    </w:pPr>
    <w:rPr>
      <w:rFonts w:ascii="宋体"/>
      <w:kern w:val="0"/>
      <w:sz w:val="34"/>
      <w:szCs w:val="22"/>
    </w:rPr>
  </w:style>
  <w:style w:type="paragraph" w:styleId="7">
    <w:name w:val="Body Text Indent"/>
    <w:basedOn w:val="1"/>
    <w:link w:val="33"/>
    <w:autoRedefine/>
    <w:qFormat/>
    <w:uiPriority w:val="0"/>
    <w:pPr>
      <w:ind w:firstLine="630"/>
    </w:pPr>
    <w:rPr>
      <w:sz w:val="32"/>
    </w:rPr>
  </w:style>
  <w:style w:type="paragraph" w:styleId="8">
    <w:name w:val="Balloon Text"/>
    <w:basedOn w:val="1"/>
    <w:link w:val="34"/>
    <w:autoRedefine/>
    <w:qFormat/>
    <w:uiPriority w:val="0"/>
    <w:rPr>
      <w:sz w:val="18"/>
      <w:szCs w:val="18"/>
    </w:rPr>
  </w:style>
  <w:style w:type="paragraph" w:styleId="9">
    <w:name w:val="footer"/>
    <w:basedOn w:val="1"/>
    <w:link w:val="28"/>
    <w:autoRedefine/>
    <w:unhideWhenUsed/>
    <w:qFormat/>
    <w:uiPriority w:val="99"/>
    <w:pPr>
      <w:tabs>
        <w:tab w:val="center" w:pos="4153"/>
        <w:tab w:val="right" w:pos="8306"/>
      </w:tabs>
      <w:snapToGrid w:val="0"/>
      <w:jc w:val="left"/>
    </w:pPr>
    <w:rPr>
      <w:sz w:val="18"/>
      <w:szCs w:val="18"/>
    </w:rPr>
  </w:style>
  <w:style w:type="paragraph" w:styleId="10">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spacing w:before="120" w:after="120" w:line="360" w:lineRule="auto"/>
      <w:ind w:firstLine="180" w:firstLineChars="75"/>
    </w:pPr>
    <w:rPr>
      <w:bCs/>
      <w:caps/>
      <w:sz w:val="24"/>
      <w:szCs w:val="24"/>
    </w:rPr>
  </w:style>
  <w:style w:type="paragraph" w:styleId="12">
    <w:name w:val="Subtitle"/>
    <w:basedOn w:val="1"/>
    <w:next w:val="1"/>
    <w:link w:val="47"/>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2"/>
    <w:next w:val="1"/>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page number"/>
    <w:basedOn w:val="17"/>
    <w:autoRedefine/>
    <w:qFormat/>
    <w:uiPriority w:val="0"/>
  </w:style>
  <w:style w:type="character" w:styleId="20">
    <w:name w:val="Hyperlink"/>
    <w:autoRedefine/>
    <w:qFormat/>
    <w:uiPriority w:val="99"/>
    <w:rPr>
      <w:color w:val="0000FF"/>
      <w:u w:val="single"/>
    </w:rPr>
  </w:style>
  <w:style w:type="character" w:styleId="21">
    <w:name w:val="annotation reference"/>
    <w:basedOn w:val="17"/>
    <w:autoRedefine/>
    <w:qFormat/>
    <w:uiPriority w:val="0"/>
    <w:rPr>
      <w:sz w:val="21"/>
      <w:szCs w:val="21"/>
    </w:rPr>
  </w:style>
  <w:style w:type="paragraph" w:customStyle="1" w:styleId="22">
    <w:name w:val="标题 5（有编号）（绿盟科技）"/>
    <w:basedOn w:val="23"/>
    <w:next w:val="24"/>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3">
    <w:name w:val="正文_2"/>
    <w:next w:val="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5">
    <w:name w:val="正文文本_1"/>
    <w:basedOn w:val="26"/>
    <w:next w:val="26"/>
    <w:autoRedefine/>
    <w:unhideWhenUsed/>
    <w:qFormat/>
    <w:uiPriority w:val="99"/>
    <w:pPr>
      <w:spacing w:after="120"/>
    </w:pPr>
    <w:rPr>
      <w:rFonts w:ascii="Times New Roman" w:hAnsi="Times New Roman"/>
      <w:kern w:val="0"/>
      <w:sz w:val="20"/>
      <w:szCs w:val="20"/>
    </w:rPr>
  </w:style>
  <w:style w:type="paragraph" w:customStyle="1" w:styleId="2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页眉 Char"/>
    <w:basedOn w:val="17"/>
    <w:link w:val="10"/>
    <w:autoRedefine/>
    <w:semiHidden/>
    <w:qFormat/>
    <w:uiPriority w:val="99"/>
    <w:rPr>
      <w:sz w:val="18"/>
      <w:szCs w:val="18"/>
    </w:rPr>
  </w:style>
  <w:style w:type="character" w:customStyle="1" w:styleId="28">
    <w:name w:val="页脚 Char"/>
    <w:basedOn w:val="17"/>
    <w:link w:val="9"/>
    <w:autoRedefine/>
    <w:semiHidden/>
    <w:qFormat/>
    <w:uiPriority w:val="99"/>
    <w:rPr>
      <w:sz w:val="18"/>
      <w:szCs w:val="18"/>
    </w:rPr>
  </w:style>
  <w:style w:type="character" w:customStyle="1" w:styleId="29">
    <w:name w:val="标题 1 Char"/>
    <w:basedOn w:val="17"/>
    <w:link w:val="3"/>
    <w:autoRedefine/>
    <w:qFormat/>
    <w:uiPriority w:val="0"/>
    <w:rPr>
      <w:rFonts w:ascii="黑体" w:hAnsi="黑体" w:eastAsia="黑体" w:cs="Times New Roman"/>
      <w:b/>
      <w:kern w:val="44"/>
      <w:sz w:val="32"/>
      <w:szCs w:val="32"/>
    </w:rPr>
  </w:style>
  <w:style w:type="character" w:customStyle="1" w:styleId="30">
    <w:name w:val="标题 2 Char"/>
    <w:basedOn w:val="17"/>
    <w:link w:val="4"/>
    <w:autoRedefine/>
    <w:qFormat/>
    <w:uiPriority w:val="0"/>
    <w:rPr>
      <w:rFonts w:ascii="Arial" w:hAnsi="Arial" w:eastAsia="黑体" w:cs="Times New Roman"/>
      <w:sz w:val="30"/>
      <w:szCs w:val="30"/>
    </w:rPr>
  </w:style>
  <w:style w:type="character" w:customStyle="1" w:styleId="31">
    <w:name w:val="正文文本 Char"/>
    <w:basedOn w:val="17"/>
    <w:link w:val="2"/>
    <w:autoRedefine/>
    <w:qFormat/>
    <w:uiPriority w:val="99"/>
    <w:rPr>
      <w:rFonts w:ascii="Times New Roman" w:hAnsi="Times New Roman" w:eastAsia="宋体" w:cs="Times New Roman"/>
      <w:szCs w:val="20"/>
    </w:rPr>
  </w:style>
  <w:style w:type="character" w:customStyle="1" w:styleId="32">
    <w:name w:val="批注文字 Char"/>
    <w:basedOn w:val="17"/>
    <w:link w:val="6"/>
    <w:autoRedefine/>
    <w:qFormat/>
    <w:uiPriority w:val="99"/>
    <w:rPr>
      <w:rFonts w:ascii="宋体" w:hAnsi="Times New Roman" w:eastAsia="宋体" w:cs="Times New Roman"/>
      <w:kern w:val="0"/>
      <w:sz w:val="34"/>
    </w:rPr>
  </w:style>
  <w:style w:type="character" w:customStyle="1" w:styleId="33">
    <w:name w:val="正文文本缩进 Char"/>
    <w:basedOn w:val="17"/>
    <w:link w:val="7"/>
    <w:autoRedefine/>
    <w:qFormat/>
    <w:uiPriority w:val="0"/>
    <w:rPr>
      <w:rFonts w:ascii="Times New Roman" w:hAnsi="Times New Roman" w:eastAsia="宋体" w:cs="Times New Roman"/>
      <w:sz w:val="32"/>
      <w:szCs w:val="20"/>
    </w:rPr>
  </w:style>
  <w:style w:type="character" w:customStyle="1" w:styleId="34">
    <w:name w:val="批注框文本 Char"/>
    <w:basedOn w:val="17"/>
    <w:link w:val="8"/>
    <w:autoRedefine/>
    <w:qFormat/>
    <w:uiPriority w:val="0"/>
    <w:rPr>
      <w:rFonts w:ascii="Times New Roman" w:hAnsi="Times New Roman" w:eastAsia="宋体" w:cs="Times New Roman"/>
      <w:sz w:val="18"/>
      <w:szCs w:val="18"/>
    </w:rPr>
  </w:style>
  <w:style w:type="paragraph" w:styleId="35">
    <w:name w:val="List Paragraph"/>
    <w:basedOn w:val="1"/>
    <w:autoRedefine/>
    <w:qFormat/>
    <w:uiPriority w:val="0"/>
    <w:pPr>
      <w:ind w:firstLine="420" w:firstLineChars="200"/>
    </w:pPr>
    <w:rPr>
      <w:szCs w:val="24"/>
    </w:rPr>
  </w:style>
  <w:style w:type="paragraph" w:customStyle="1" w:styleId="36">
    <w:name w:val="表格"/>
    <w:basedOn w:val="1"/>
    <w:autoRedefine/>
    <w:qFormat/>
    <w:uiPriority w:val="0"/>
    <w:pPr>
      <w:spacing w:line="400" w:lineRule="exact"/>
    </w:pPr>
    <w:rPr>
      <w:sz w:val="24"/>
      <w:szCs w:val="24"/>
    </w:rPr>
  </w:style>
  <w:style w:type="character" w:customStyle="1" w:styleId="37">
    <w:name w:val="正文缩进 Char"/>
    <w:link w:val="5"/>
    <w:autoRedefine/>
    <w:qFormat/>
    <w:uiPriority w:val="0"/>
    <w:rPr>
      <w:rFonts w:ascii="宋体" w:hAnsi="宋体" w:eastAsia="宋体" w:cs="Times New Roman"/>
      <w:b/>
      <w:kern w:val="0"/>
      <w:sz w:val="24"/>
      <w:szCs w:val="24"/>
    </w:rPr>
  </w:style>
  <w:style w:type="character" w:customStyle="1" w:styleId="38">
    <w:name w:val="font31"/>
    <w:basedOn w:val="17"/>
    <w:autoRedefine/>
    <w:qFormat/>
    <w:uiPriority w:val="0"/>
    <w:rPr>
      <w:rFonts w:hint="eastAsia" w:ascii="宋体" w:hAnsi="宋体" w:eastAsia="宋体" w:cs="宋体"/>
      <w:color w:val="0000FF"/>
      <w:sz w:val="28"/>
      <w:szCs w:val="28"/>
      <w:u w:val="none"/>
    </w:rPr>
  </w:style>
  <w:style w:type="character" w:customStyle="1" w:styleId="39">
    <w:name w:val="font01"/>
    <w:basedOn w:val="17"/>
    <w:autoRedefine/>
    <w:qFormat/>
    <w:uiPriority w:val="0"/>
    <w:rPr>
      <w:rFonts w:hint="eastAsia" w:ascii="宋体" w:hAnsi="宋体" w:eastAsia="宋体" w:cs="宋体"/>
      <w:color w:val="000000"/>
      <w:sz w:val="28"/>
      <w:szCs w:val="28"/>
      <w:u w:val="none"/>
    </w:rPr>
  </w:style>
  <w:style w:type="paragraph" w:customStyle="1" w:styleId="40">
    <w:name w:val="正文_1"/>
    <w:next w:val="23"/>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1">
    <w:name w:val="正文文本_0"/>
    <w:basedOn w:val="42"/>
    <w:next w:val="40"/>
    <w:autoRedefine/>
    <w:qFormat/>
    <w:uiPriority w:val="0"/>
    <w:pPr>
      <w:spacing w:after="120"/>
    </w:pPr>
  </w:style>
  <w:style w:type="paragraph" w:customStyle="1" w:styleId="42">
    <w:name w:val="正文_1_0"/>
    <w:next w:val="4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列出段落2"/>
    <w:basedOn w:val="1"/>
    <w:autoRedefine/>
    <w:qFormat/>
    <w:uiPriority w:val="0"/>
    <w:pPr>
      <w:ind w:firstLine="420" w:firstLineChars="200"/>
    </w:pPr>
  </w:style>
  <w:style w:type="paragraph" w:customStyle="1" w:styleId="44">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5">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副标题 Char"/>
    <w:basedOn w:val="17"/>
    <w:link w:val="12"/>
    <w:autoRedefine/>
    <w:qFormat/>
    <w:uiPriority w:val="0"/>
    <w:rPr>
      <w:rFonts w:ascii="Cambria" w:hAnsi="Cambria"/>
      <w:b/>
      <w:bCs/>
      <w:color w:val="000000"/>
      <w:kern w:val="28"/>
      <w:sz w:val="32"/>
      <w:szCs w:val="32"/>
    </w:rPr>
  </w:style>
  <w:style w:type="character" w:customStyle="1" w:styleId="48">
    <w:name w:val="font23"/>
    <w:basedOn w:val="17"/>
    <w:autoRedefine/>
    <w:qFormat/>
    <w:uiPriority w:val="0"/>
    <w:rPr>
      <w:rFonts w:hint="eastAsia" w:ascii="新宋体" w:hAnsi="新宋体" w:eastAsia="新宋体" w:cs="新宋体"/>
      <w:color w:val="000000"/>
      <w:sz w:val="20"/>
      <w:szCs w:val="20"/>
      <w:u w:val="none"/>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1">
    <w:name w:val="font191"/>
    <w:basedOn w:val="17"/>
    <w:autoRedefine/>
    <w:qFormat/>
    <w:uiPriority w:val="0"/>
    <w:rPr>
      <w:rFonts w:ascii="Arial" w:hAnsi="Arial" w:cs="Arial"/>
      <w:color w:val="000000"/>
      <w:sz w:val="19"/>
      <w:szCs w:val="19"/>
      <w:u w:val="none"/>
    </w:rPr>
  </w:style>
  <w:style w:type="character" w:customStyle="1" w:styleId="52">
    <w:name w:val="font201"/>
    <w:basedOn w:val="17"/>
    <w:autoRedefine/>
    <w:qFormat/>
    <w:uiPriority w:val="0"/>
    <w:rPr>
      <w:rFonts w:ascii="Calibri" w:hAnsi="Calibri" w:cs="Calibri"/>
      <w:color w:val="000000"/>
      <w:sz w:val="21"/>
      <w:szCs w:val="21"/>
      <w:u w:val="none"/>
    </w:rPr>
  </w:style>
  <w:style w:type="paragraph" w:customStyle="1" w:styleId="53">
    <w:name w:val="标题 1_0"/>
    <w:basedOn w:val="26"/>
    <w:next w:val="26"/>
    <w:autoRedefine/>
    <w:qFormat/>
    <w:uiPriority w:val="9"/>
    <w:pPr>
      <w:keepNext/>
      <w:keepLines/>
      <w:spacing w:before="340" w:after="330" w:line="578" w:lineRule="auto"/>
      <w:outlineLvl w:val="0"/>
    </w:pPr>
    <w:rPr>
      <w:b/>
      <w:bCs/>
      <w:kern w:val="44"/>
      <w:sz w:val="44"/>
      <w:szCs w:val="44"/>
    </w:rPr>
  </w:style>
  <w:style w:type="character" w:customStyle="1" w:styleId="54">
    <w:name w:val="font41"/>
    <w:basedOn w:val="17"/>
    <w:autoRedefine/>
    <w:qFormat/>
    <w:uiPriority w:val="0"/>
    <w:rPr>
      <w:rFonts w:ascii="Arial" w:hAnsi="Arial" w:cs="Arial"/>
      <w:color w:val="000000"/>
      <w:sz w:val="24"/>
      <w:szCs w:val="24"/>
      <w:u w:val="none"/>
    </w:rPr>
  </w:style>
  <w:style w:type="character" w:customStyle="1" w:styleId="55">
    <w:name w:val="font61"/>
    <w:basedOn w:val="17"/>
    <w:autoRedefine/>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7406</Words>
  <Characters>7575</Characters>
  <Lines>129</Lines>
  <Paragraphs>36</Paragraphs>
  <TotalTime>8</TotalTime>
  <ScaleCrop>false</ScaleCrop>
  <LinksUpToDate>false</LinksUpToDate>
  <CharactersWithSpaces>7985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2024-12-02T07:08:00Z</cp:lastPrinted>
  <dcterms:modified xsi:type="dcterms:W3CDTF">2025-02-19T03:16:03Z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ABD4243711FC4EFEAAB2683CCD056AB5_13</vt:lpwstr>
  </property>
  <property fmtid="{D5CDD505-2E9C-101B-9397-08002B2CF9AE}" pid="4" name="KSOTemplateDocerSaveRecord">
    <vt:lpwstr>eyJoZGlkIjoiNzhmZGE0NDUzMWE0ODk1YWVjYWZlODk0OWQzNjBlOWYiLCJ1c2VySWQiOiI0NTY0NDMzOTMifQ==</vt:lpwstr>
  </property>
</Properties>
</file>