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795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大竹县人民医院传染病智能监测预警前置系统所需密码机、CA证书</w:t>
      </w:r>
    </w:p>
    <w:p w14:paraId="0C5AA72E">
      <w:pPr>
        <w:jc w:val="center"/>
        <w:rPr>
          <w:rFonts w:hint="default"/>
          <w:lang w:val="en-US" w:eastAsia="zh-CN"/>
        </w:rPr>
      </w:pPr>
      <w:r>
        <w:rPr>
          <w:rFonts w:hint="eastAsia" w:ascii="方正公文小标宋" w:hAnsi="方正公文小标宋" w:eastAsia="方正公文小标宋" w:cs="方正公文小标宋"/>
          <w:color w:val="auto"/>
          <w:sz w:val="32"/>
          <w:szCs w:val="32"/>
          <w:lang w:eastAsia="zh-CN"/>
        </w:rPr>
        <w:t>项目</w:t>
      </w:r>
      <w:r>
        <w:rPr>
          <w:rFonts w:hint="eastAsia" w:ascii="方正公文小标宋" w:hAnsi="方正公文小标宋" w:eastAsia="方正公文小标宋" w:cs="方正公文小标宋"/>
          <w:color w:val="auto"/>
          <w:sz w:val="32"/>
          <w:szCs w:val="32"/>
          <w:lang w:val="en-US" w:eastAsia="zh-CN"/>
        </w:rPr>
        <w:t>(第二次）</w:t>
      </w:r>
      <w:r>
        <w:rPr>
          <w:rFonts w:hint="eastAsia" w:ascii="方正公文小标宋" w:hAnsi="方正公文小标宋" w:eastAsia="方正公文小标宋" w:cs="方正公文小标宋"/>
          <w:sz w:val="32"/>
          <w:szCs w:val="32"/>
          <w:lang w:val="en-US" w:eastAsia="zh-CN"/>
        </w:rPr>
        <w:t>现场报价文件</w:t>
      </w:r>
    </w:p>
    <w:p w14:paraId="2B78022E">
      <w:pPr>
        <w:pStyle w:val="20"/>
        <w:spacing w:line="560" w:lineRule="exact"/>
        <w:ind w:firstLine="560"/>
        <w:jc w:val="both"/>
        <w:rPr>
          <w:rFonts w:hint="eastAsia" w:ascii="方正公文小标宋" w:hAnsi="方正公文小标宋" w:eastAsia="方正公文小标宋" w:cs="方正公文小标宋"/>
          <w:sz w:val="24"/>
          <w:szCs w:val="24"/>
          <w:lang w:val="en-US" w:eastAsia="zh-CN"/>
        </w:rPr>
      </w:pPr>
    </w:p>
    <w:p w14:paraId="5555145D">
      <w:pPr>
        <w:pStyle w:val="20"/>
        <w:spacing w:line="360" w:lineRule="auto"/>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大竹县人民医院传染病智能监测预警前置系统所需密码机、CA证书项目（第二次）</w:t>
      </w:r>
    </w:p>
    <w:p w14:paraId="66342735">
      <w:pPr>
        <w:pStyle w:val="20"/>
        <w:spacing w:line="360" w:lineRule="auto"/>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竹医总采（遴）【2025-1-24-2】号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14:paraId="466CFC12">
      <w:pPr>
        <w:pStyle w:val="20"/>
        <w:spacing w:line="360" w:lineRule="auto"/>
        <w:ind w:left="0" w:leftChars="0" w:firstLine="0" w:firstLineChars="0"/>
        <w:jc w:val="both"/>
        <w:rPr>
          <w:rFonts w:hint="eastAsia" w:ascii="仿宋" w:hAnsi="仿宋" w:eastAsia="仿宋" w:cs="仿宋"/>
          <w:b/>
          <w:sz w:val="28"/>
          <w:szCs w:val="28"/>
          <w:lang w:val="en-US" w:eastAsia="zh-CN"/>
        </w:rPr>
      </w:pPr>
    </w:p>
    <w:p w14:paraId="50A28C32">
      <w:pPr>
        <w:pStyle w:val="20"/>
        <w:spacing w:line="360" w:lineRule="auto"/>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3D8FBC63">
      <w:pPr>
        <w:pStyle w:val="20"/>
        <w:spacing w:line="360" w:lineRule="auto"/>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00BF9AE2">
      <w:pPr>
        <w:pStyle w:val="20"/>
        <w:spacing w:line="360" w:lineRule="auto"/>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14:paraId="2AF376A0">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b/>
          <w:bCs/>
          <w:sz w:val="28"/>
          <w:szCs w:val="28"/>
          <w:lang w:val="en-US" w:eastAsia="zh-CN"/>
        </w:rPr>
      </w:pPr>
    </w:p>
    <w:p w14:paraId="10579EBA">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参加</w:t>
      </w:r>
      <w:r>
        <w:rPr>
          <w:rFonts w:hint="eastAsia" w:ascii="仿宋_GB2312" w:hAnsi="仿宋_GB2312" w:eastAsia="仿宋_GB2312" w:cs="仿宋_GB2312"/>
          <w:b/>
          <w:bCs/>
          <w:sz w:val="28"/>
          <w:szCs w:val="28"/>
          <w:lang w:val="en-US" w:eastAsia="zh-CN"/>
        </w:rPr>
        <w:t>现场报价</w:t>
      </w:r>
      <w:r>
        <w:rPr>
          <w:rFonts w:hint="eastAsia" w:ascii="仿宋_GB2312" w:hAnsi="仿宋_GB2312" w:eastAsia="仿宋_GB2312" w:cs="仿宋_GB2312"/>
          <w:b/>
          <w:bCs/>
          <w:sz w:val="28"/>
          <w:szCs w:val="28"/>
        </w:rPr>
        <w:t>的供应商应</w:t>
      </w:r>
      <w:r>
        <w:rPr>
          <w:rFonts w:hint="eastAsia" w:ascii="仿宋_GB2312" w:hAnsi="仿宋_GB2312" w:eastAsia="仿宋_GB2312" w:cs="仿宋_GB2312"/>
          <w:b/>
          <w:bCs/>
          <w:sz w:val="28"/>
          <w:szCs w:val="28"/>
          <w:lang w:val="en-US" w:eastAsia="zh-CN"/>
        </w:rPr>
        <w:t>提供的资料</w:t>
      </w:r>
      <w:r>
        <w:rPr>
          <w:rFonts w:hint="eastAsia" w:ascii="仿宋_GB2312" w:hAnsi="仿宋_GB2312" w:eastAsia="仿宋_GB2312" w:cs="仿宋_GB2312"/>
          <w:b/>
          <w:bCs/>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8"/>
          <w:szCs w:val="28"/>
        </w:rPr>
      </w:pPr>
      <w:bookmarkStart w:id="0" w:name="_Toc30838_WPSOffice_Level2"/>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有效的营业执照副本复印件加盖鲜章</w:t>
      </w:r>
      <w:r>
        <w:rPr>
          <w:rFonts w:hint="eastAsia" w:ascii="仿宋_GB2312" w:hAnsi="仿宋_GB2312" w:eastAsia="仿宋_GB2312" w:cs="仿宋_GB2312"/>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8"/>
          <w:szCs w:val="28"/>
        </w:rPr>
      </w:pPr>
      <w:bookmarkStart w:id="1" w:name="_Toc28428_WPSOffice_Level2"/>
      <w:r>
        <w:rPr>
          <w:rFonts w:hint="eastAsia" w:ascii="仿宋_GB2312" w:hAnsi="仿宋_GB2312" w:eastAsia="仿宋_GB2312" w:cs="仿宋_GB2312"/>
          <w:sz w:val="28"/>
          <w:szCs w:val="28"/>
        </w:rPr>
        <w:t>2、</w:t>
      </w:r>
      <w:bookmarkEnd w:id="1"/>
      <w:r>
        <w:rPr>
          <w:rFonts w:hint="eastAsia" w:ascii="仿宋_GB2312" w:hAnsi="仿宋_GB2312" w:eastAsia="仿宋_GB2312" w:cs="仿宋_GB2312"/>
          <w:sz w:val="28"/>
          <w:szCs w:val="28"/>
          <w:lang w:val="en-US" w:eastAsia="zh-CN"/>
        </w:rPr>
        <w:t>营业执照法定代表人的身份证复印件加盖鲜章</w:t>
      </w:r>
      <w:r>
        <w:rPr>
          <w:rFonts w:hint="eastAsia" w:ascii="仿宋_GB2312" w:hAnsi="仿宋_GB2312" w:eastAsia="仿宋_GB2312" w:cs="仿宋_GB2312"/>
          <w:sz w:val="28"/>
          <w:szCs w:val="28"/>
        </w:rPr>
        <w:t>；</w:t>
      </w:r>
    </w:p>
    <w:p w14:paraId="5A33676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sz w:val="28"/>
          <w:szCs w:val="28"/>
        </w:rPr>
        <w:t>；</w:t>
      </w:r>
      <w:bookmarkEnd w:id="2"/>
    </w:p>
    <w:p w14:paraId="5B0FEFDB">
      <w:pPr>
        <w:pStyle w:val="12"/>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p>
    <w:p w14:paraId="57389D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sz w:val="28"/>
          <w:szCs w:val="28"/>
          <w:lang w:val="en-US" w:eastAsia="zh-CN"/>
        </w:rPr>
        <w:t>77500元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柒万柒仟伍佰元整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4D1605E9">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lang w:val="en-US" w:eastAsia="zh-CN"/>
        </w:rPr>
        <w:t>三、采购标的</w:t>
      </w:r>
    </w:p>
    <w:p w14:paraId="1B18C12A">
      <w:pPr>
        <w:pStyle w:val="20"/>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供应商</w:t>
      </w:r>
      <w:r>
        <w:rPr>
          <w:rFonts w:hint="eastAsia" w:ascii="仿宋_GB2312" w:hAnsi="仿宋_GB2312" w:eastAsia="仿宋_GB2312" w:cs="仿宋_GB2312"/>
          <w:color w:val="auto"/>
          <w:sz w:val="28"/>
          <w:szCs w:val="28"/>
          <w:highlight w:val="none"/>
          <w:lang w:val="en-US" w:eastAsia="zh-CN"/>
        </w:rPr>
        <w:t>提供符合</w:t>
      </w:r>
      <w:r>
        <w:rPr>
          <w:rFonts w:hint="eastAsia" w:ascii="仿宋_GB2312" w:hAnsi="仿宋_GB2312" w:eastAsia="仿宋_GB2312" w:cs="仿宋_GB2312"/>
          <w:color w:val="auto"/>
          <w:sz w:val="28"/>
          <w:szCs w:val="28"/>
          <w:lang w:val="en-US" w:eastAsia="zh-CN"/>
        </w:rPr>
        <w:t>《国家疾控局综合司关于做好国家传染病智能监测预警前置软件服务器软硬件环境配置的通知》（国疾控综规财函〔2024)71号）文件对密码机和CA证书部分的要求的货物及配套服务，并完成安装工作，且该货物能适配我院系统正常运行。</w:t>
      </w:r>
    </w:p>
    <w:tbl>
      <w:tblPr>
        <w:tblStyle w:val="9"/>
        <w:tblW w:w="48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0"/>
        <w:gridCol w:w="1026"/>
        <w:gridCol w:w="1026"/>
        <w:gridCol w:w="4219"/>
      </w:tblGrid>
      <w:tr w14:paraId="1A88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784" w:type="pct"/>
            <w:tcBorders>
              <w:top w:val="single" w:color="000000" w:sz="4" w:space="0"/>
              <w:left w:val="single" w:color="000000" w:sz="4" w:space="0"/>
              <w:bottom w:val="single" w:color="000000" w:sz="4" w:space="0"/>
              <w:right w:val="single" w:color="000000" w:sz="4" w:space="0"/>
            </w:tcBorders>
            <w:noWrap w:val="0"/>
            <w:vAlign w:val="center"/>
          </w:tcPr>
          <w:p w14:paraId="402902C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品名</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6119B1">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5D2BFC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163" w:type="pct"/>
            <w:tcBorders>
              <w:top w:val="single" w:color="000000" w:sz="4" w:space="0"/>
              <w:left w:val="single" w:color="000000" w:sz="4" w:space="0"/>
              <w:bottom w:val="single" w:color="000000" w:sz="4" w:space="0"/>
              <w:right w:val="single" w:color="000000" w:sz="4" w:space="0"/>
            </w:tcBorders>
            <w:noWrap w:val="0"/>
            <w:vAlign w:val="center"/>
          </w:tcPr>
          <w:p w14:paraId="7F506000">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p>
        </w:tc>
      </w:tr>
      <w:tr w14:paraId="4924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784" w:type="pct"/>
            <w:tcBorders>
              <w:top w:val="single" w:color="000000" w:sz="4" w:space="0"/>
              <w:left w:val="single" w:color="000000" w:sz="4" w:space="0"/>
              <w:bottom w:val="single" w:color="000000" w:sz="4" w:space="0"/>
              <w:right w:val="single" w:color="000000" w:sz="4" w:space="0"/>
            </w:tcBorders>
            <w:noWrap w:val="0"/>
            <w:vAlign w:val="center"/>
          </w:tcPr>
          <w:p w14:paraId="0F202F9F">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疾控报送服务器密码机</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9E8AC5A">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F00D3CA">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63" w:type="pct"/>
            <w:tcBorders>
              <w:left w:val="single" w:color="000000" w:sz="4" w:space="0"/>
              <w:right w:val="single" w:color="000000" w:sz="4" w:space="0"/>
            </w:tcBorders>
            <w:noWrap w:val="0"/>
            <w:vAlign w:val="center"/>
          </w:tcPr>
          <w:p w14:paraId="0B75D85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含5年证书服务费。</w:t>
            </w:r>
          </w:p>
        </w:tc>
      </w:tr>
    </w:tbl>
    <w:p w14:paraId="41534DDF">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四、技术要求</w:t>
      </w:r>
    </w:p>
    <w:tbl>
      <w:tblPr>
        <w:tblStyle w:val="9"/>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96"/>
        <w:gridCol w:w="7811"/>
      </w:tblGrid>
      <w:tr w14:paraId="2E88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1" w:type="pct"/>
            <w:noWrap w:val="0"/>
            <w:vAlign w:val="center"/>
          </w:tcPr>
          <w:p w14:paraId="53A9C8C3">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12" w:type="pct"/>
            <w:noWrap w:val="0"/>
            <w:vAlign w:val="center"/>
          </w:tcPr>
          <w:p w14:paraId="78D61967">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产品</w:t>
            </w:r>
          </w:p>
          <w:p w14:paraId="62C79025">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7811" w:type="dxa"/>
            <w:noWrap w:val="0"/>
            <w:vAlign w:val="center"/>
          </w:tcPr>
          <w:p w14:paraId="789A9C5B">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主要技术</w:t>
            </w:r>
            <w:r>
              <w:rPr>
                <w:rFonts w:hint="eastAsia" w:ascii="仿宋_GB2312" w:hAnsi="仿宋_GB2312" w:eastAsia="仿宋_GB2312" w:cs="仿宋_GB2312"/>
                <w:b/>
                <w:bCs/>
                <w:sz w:val="28"/>
                <w:szCs w:val="28"/>
              </w:rPr>
              <w:t>要求</w:t>
            </w:r>
          </w:p>
        </w:tc>
      </w:tr>
      <w:tr w14:paraId="6FC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noWrap w:val="0"/>
            <w:vAlign w:val="center"/>
          </w:tcPr>
          <w:p w14:paraId="524C85C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12" w:type="pct"/>
            <w:noWrap w:val="0"/>
            <w:vAlign w:val="center"/>
          </w:tcPr>
          <w:p w14:paraId="678A6E9F">
            <w:pPr>
              <w:spacing w:line="24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单位数字证书</w:t>
            </w:r>
          </w:p>
        </w:tc>
        <w:tc>
          <w:tcPr>
            <w:tcW w:w="7811" w:type="dxa"/>
            <w:noWrap w:val="0"/>
            <w:vAlign w:val="top"/>
          </w:tcPr>
          <w:p w14:paraId="60567E3F">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1.证书存放于加密机中，标识单位的网络身份；</w:t>
            </w:r>
          </w:p>
          <w:p w14:paraId="529C1A0E">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2.证书有效期5年；</w:t>
            </w:r>
          </w:p>
          <w:p w14:paraId="08CEE0EB">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3.遵循国际X.509 V3技术标准；</w:t>
            </w:r>
          </w:p>
          <w:p w14:paraId="7576348A">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4.身份认证---实现基于数字证书的身份认证，支持不同 CA 的证书验证，提供 CRL/OCSP 等多种方式的证书有效性验证。</w:t>
            </w:r>
          </w:p>
          <w:p w14:paraId="764217C4">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数字签名与签名验证---提供 PKCS1/ PKCS7 attach/PKCS7 detach/XML Sign 等多种格式的数字签名和数字签名验证功能(PKCS1 签 名支持记录签名日志功能)。</w:t>
            </w:r>
          </w:p>
          <w:p w14:paraId="4811FCCB">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数字信封---支持数字信封功能。</w:t>
            </w:r>
          </w:p>
          <w:p w14:paraId="7C5472F5">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7.文件签名与验证---对文件提供数字签名和数字签名验证功能</w:t>
            </w:r>
          </w:p>
          <w:p w14:paraId="18572BC7">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8.证书有效性验证功能---提供 CRL/OCSP 等多种方式的证书有效性验证。</w:t>
            </w:r>
          </w:p>
          <w:p w14:paraId="7A0B7DB3">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多证书链功能---可同时配置多条证书链， 验证不同 CA 系统签发的数 字证书。</w:t>
            </w:r>
          </w:p>
          <w:p w14:paraId="0B15A8DA">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10.支持国密算法SM2/SM3/SM4；</w:t>
            </w:r>
          </w:p>
          <w:p w14:paraId="068AF512">
            <w:pPr>
              <w:spacing w:line="48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11. 与现有传染病直报系统采用的 CA 证书（北京CA）兼容互认。（</w:t>
            </w:r>
            <w:r>
              <w:rPr>
                <w:rFonts w:hint="eastAsia" w:ascii="仿宋_GB2312" w:hAnsi="仿宋_GB2312" w:eastAsia="仿宋_GB2312" w:cs="仿宋_GB2312"/>
                <w:b/>
                <w:bCs/>
                <w:sz w:val="24"/>
                <w:szCs w:val="24"/>
                <w:u w:val="single"/>
              </w:rPr>
              <w:t>提供北京CA针对本项目的兼容互认证明</w:t>
            </w:r>
            <w:r>
              <w:rPr>
                <w:rFonts w:hint="eastAsia" w:ascii="仿宋_GB2312" w:hAnsi="仿宋_GB2312" w:eastAsia="仿宋_GB2312" w:cs="仿宋_GB2312"/>
                <w:sz w:val="24"/>
                <w:szCs w:val="24"/>
              </w:rPr>
              <w:t>）</w:t>
            </w:r>
          </w:p>
        </w:tc>
      </w:tr>
      <w:tr w14:paraId="34D9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noWrap w:val="0"/>
            <w:vAlign w:val="center"/>
          </w:tcPr>
          <w:p w14:paraId="0E0F6815">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12" w:type="pct"/>
            <w:noWrap w:val="0"/>
            <w:vAlign w:val="center"/>
          </w:tcPr>
          <w:p w14:paraId="23EECC21">
            <w:pPr>
              <w:spacing w:line="24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疾控报送服务器密码机</w:t>
            </w:r>
          </w:p>
        </w:tc>
        <w:tc>
          <w:tcPr>
            <w:tcW w:w="7811" w:type="dxa"/>
            <w:noWrap w:val="0"/>
            <w:vAlign w:val="center"/>
          </w:tcPr>
          <w:p w14:paraId="0F9BF195">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1.采用国家密码管理局批准的硬件芯片实现各类密码算法，保证算法的高安全性；支持密钥安全产生、安装、存储、使用、销毁以及备份恢复全生命周期的管理</w:t>
            </w:r>
            <w:r>
              <w:rPr>
                <w:rFonts w:hint="eastAsia" w:ascii="仿宋_GB2312" w:hAnsi="仿宋_GB2312" w:eastAsia="仿宋_GB2312" w:cs="仿宋_GB2312"/>
                <w:sz w:val="24"/>
                <w:szCs w:val="24"/>
                <w:lang w:eastAsia="zh-CN"/>
              </w:rPr>
              <w:t>。</w:t>
            </w:r>
          </w:p>
          <w:p w14:paraId="4855B1D3">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2.至少支持三层密钥结构包括：管理密钥、用户密钥/设备密钥/密钥加密密钥、会话 密钥；支持密钥安全存储，保证关键密钥在任何时候不以明文形式出现在设备外，密钥备份文件也受到备份密钥的加密保护</w:t>
            </w:r>
            <w:r>
              <w:rPr>
                <w:rFonts w:hint="eastAsia" w:ascii="仿宋_GB2312" w:hAnsi="仿宋_GB2312" w:eastAsia="仿宋_GB2312" w:cs="仿宋_GB2312"/>
                <w:sz w:val="24"/>
                <w:szCs w:val="24"/>
                <w:lang w:eastAsia="zh-CN"/>
              </w:rPr>
              <w:t>。</w:t>
            </w:r>
          </w:p>
          <w:p w14:paraId="36ED142B">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3.支持应用实体密钥的产生，证书申请，并通过管理界面导入应用实体的签名证书、加密证书和加密密钥对</w:t>
            </w:r>
            <w:r>
              <w:rPr>
                <w:rFonts w:hint="eastAsia" w:ascii="仿宋_GB2312" w:hAnsi="仿宋_GB2312" w:eastAsia="仿宋_GB2312" w:cs="仿宋_GB2312"/>
                <w:sz w:val="24"/>
                <w:szCs w:val="24"/>
                <w:lang w:eastAsia="zh-CN"/>
              </w:rPr>
              <w:t>。</w:t>
            </w:r>
          </w:p>
          <w:p w14:paraId="3C892A88">
            <w:pPr>
              <w:pStyle w:val="23"/>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4.支持国密双证机制（签名证书、加密证书），支持导入多级CA证书及管理</w:t>
            </w:r>
          </w:p>
          <w:p w14:paraId="5720F287">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5.</w:t>
            </w:r>
            <w:r>
              <w:rPr>
                <w:rFonts w:hint="eastAsia" w:ascii="仿宋_GB2312" w:hAnsi="仿宋_GB2312" w:eastAsia="仿宋_GB2312" w:cs="仿宋_GB2312"/>
                <w:sz w:val="24"/>
                <w:szCs w:val="24"/>
              </w:rPr>
              <w:t>支持基于SM4算法的FPE保留格式加解密功能；</w:t>
            </w:r>
          </w:p>
          <w:p w14:paraId="171D5012">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6.支持接口鉴权签名HMAC、MAC；支持PKCS1/ PKCS7 attach/PKCS7 detach/XML Sign 等多种格式的数字签名和验证，同时支持大文件数字签名和验证； </w:t>
            </w:r>
          </w:p>
          <w:p w14:paraId="2BBFF89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sz w:val="24"/>
                <w:szCs w:val="24"/>
              </w:rPr>
              <w:t>支持多方协同签名、多方协同解密功能；</w:t>
            </w:r>
          </w:p>
          <w:p w14:paraId="6FC69981">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8.支持密钥分散功能；支持国密SM2\SM3\SM4算法</w:t>
            </w:r>
          </w:p>
          <w:p w14:paraId="05236448">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9.支持用户证书、根证书/证书链的导入、存储和验证、使用以及备份恢复等功能</w:t>
            </w:r>
          </w:p>
          <w:p w14:paraId="1F2FDB0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10..产品须符合疾控统一接口API《疾控报送服务器密码机接口API》；支持与全国一体化传染病智能监测平台完成相关业务互通对接测试</w:t>
            </w:r>
          </w:p>
          <w:p w14:paraId="73FB3FC4">
            <w:pPr>
              <w:spacing w:line="480" w:lineRule="auto"/>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rPr>
              <w:t>11.设备高度2U，CPU核数≥双核，内存≥8G，硬盘≥4T，千兆电口≥2（支持网口扩展）SM2密钥对产生≥13000对/秒；SM2签名≥7000次/秒；SM2验证≥2700次/秒；SM4算法加/解密≥700Mbps；SM3杂凑算法≥700Mbps</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w:t>
            </w:r>
          </w:p>
          <w:p w14:paraId="1FA4BB8E">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12.遵循GM/T 0018-2012《密码设备应用接口规范》、GM/T 0030-2014《服务器密码机技术规范》、GM-T 0059-2018《服务器密码机检测规范》等密码行业标准，符合GM/T 0028-2014《密码模块安全技术要求》安全等级第二级要求。</w:t>
            </w:r>
            <w:r>
              <w:rPr>
                <w:rFonts w:hint="eastAsia" w:ascii="仿宋_GB2312" w:hAnsi="仿宋_GB2312" w:eastAsia="仿宋_GB2312" w:cs="仿宋_GB2312"/>
                <w:kern w:val="0"/>
                <w:sz w:val="24"/>
                <w:szCs w:val="24"/>
              </w:rPr>
              <w:t>提供国家密码管理局颁发的《商用密码产品认证证书》证明材料。</w:t>
            </w:r>
          </w:p>
          <w:p w14:paraId="166E8CD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sz w:val="24"/>
                <w:szCs w:val="24"/>
              </w:rPr>
              <w:t>产品支持RFC8200,8201,2474,4191,4291,4443,4861,4862,6980,7217,8106标准协议，且具有良好的一致性和互通性，</w:t>
            </w:r>
            <w:r>
              <w:rPr>
                <w:rFonts w:hint="eastAsia" w:ascii="仿宋_GB2312" w:hAnsi="仿宋_GB2312" w:eastAsia="仿宋_GB2312" w:cs="仿宋_GB2312"/>
                <w:b/>
                <w:bCs/>
                <w:sz w:val="24"/>
                <w:szCs w:val="24"/>
                <w:u w:val="single"/>
              </w:rPr>
              <w:t>并提供相关证明文件</w:t>
            </w:r>
            <w:r>
              <w:rPr>
                <w:rFonts w:hint="eastAsia" w:ascii="仿宋_GB2312" w:hAnsi="仿宋_GB2312" w:eastAsia="仿宋_GB2312" w:cs="仿宋_GB2312"/>
                <w:sz w:val="24"/>
                <w:szCs w:val="24"/>
              </w:rPr>
              <w:t>。</w:t>
            </w:r>
          </w:p>
          <w:p w14:paraId="5E946BA9">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14.所投密码机和CA证书，需适配于国家前置传染病软件服务器以及国家前置传染病软件</w:t>
            </w:r>
            <w:r>
              <w:rPr>
                <w:rFonts w:hint="eastAsia" w:ascii="仿宋_GB2312" w:hAnsi="仿宋_GB2312" w:eastAsia="仿宋_GB2312" w:cs="仿宋_GB2312"/>
                <w:sz w:val="24"/>
                <w:szCs w:val="24"/>
                <w:lang w:eastAsia="zh-CN"/>
              </w:rPr>
              <w:t>。</w:t>
            </w:r>
          </w:p>
        </w:tc>
      </w:tr>
    </w:tbl>
    <w:p w14:paraId="327CC8A6">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52999239">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、其他要求</w:t>
      </w:r>
    </w:p>
    <w:p w14:paraId="3D8D2DFE">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1、供应商在递交</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文件前，自行踏勘与项目相关的现场环境、技术参数、测试、兼容性等实施条件，无论勘察与否，视为已了解项目相关情况。（项目联系</w:t>
      </w:r>
      <w:r>
        <w:rPr>
          <w:rFonts w:hint="eastAsia" w:ascii="仿宋_GB2312" w:hAnsi="仿宋_GB2312" w:eastAsia="仿宋_GB2312" w:cs="仿宋_GB2312"/>
          <w:sz w:val="28"/>
          <w:szCs w:val="28"/>
          <w:lang w:val="en-US" w:eastAsia="zh-CN"/>
        </w:rPr>
        <w:t>科室</w:t>
      </w:r>
      <w:r>
        <w:rPr>
          <w:rFonts w:hint="eastAsia" w:ascii="仿宋_GB2312" w:hAnsi="仿宋_GB2312" w:eastAsia="仿宋_GB2312" w:cs="仿宋_GB2312"/>
          <w:sz w:val="28"/>
          <w:szCs w:val="28"/>
        </w:rPr>
        <w:t>：大竹县人民医院</w:t>
      </w:r>
      <w:r>
        <w:rPr>
          <w:rFonts w:hint="eastAsia" w:ascii="仿宋_GB2312" w:hAnsi="仿宋_GB2312" w:eastAsia="仿宋_GB2312" w:cs="仿宋_GB2312"/>
          <w:sz w:val="28"/>
          <w:szCs w:val="28"/>
          <w:lang w:val="en-US" w:eastAsia="zh-CN"/>
        </w:rPr>
        <w:t>信息中心</w:t>
      </w:r>
      <w:r>
        <w:rPr>
          <w:rFonts w:hint="eastAsia" w:ascii="仿宋_GB2312" w:hAnsi="仿宋_GB2312" w:eastAsia="仿宋_GB2312" w:cs="仿宋_GB2312"/>
          <w:sz w:val="28"/>
          <w:szCs w:val="28"/>
        </w:rPr>
        <w:t xml:space="preserve"> ）</w:t>
      </w:r>
    </w:p>
    <w:p w14:paraId="335CAA5B">
      <w:pPr>
        <w:pStyle w:val="12"/>
        <w:spacing w:line="360" w:lineRule="auto"/>
        <w:ind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z w:val="28"/>
          <w:szCs w:val="28"/>
        </w:rPr>
        <w:t>2、本次项目为交钥匙工程，供应商须对本次采购疾控报送服务器密码机提供设备正常运行所需的货物及安装配件和安装调试服务，供应商提供的疾控报送服务器密码机须无缝对接采购人现有硬件安装环境和应用系统运行环境，如供应商提供的成交货物无法兼容采购人的硬件运行系统，或成交货物存在其他不能正常运行的情况，将按供应商虚假响应处理。</w:t>
      </w:r>
    </w:p>
    <w:p w14:paraId="755C379E">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kern w:val="0"/>
          <w:sz w:val="28"/>
          <w:szCs w:val="28"/>
          <w:highlight w:val="none"/>
          <w:lang w:val="en-US" w:eastAsia="zh-CN"/>
        </w:rPr>
        <w:t>3、供应商须严格按照采购人通知，将指定货物在规定时限内配送至指定地点，并完成安装调试、交接等工作，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r>
        <w:rPr>
          <w:rFonts w:hint="eastAsia" w:ascii="仿宋_GB2312" w:hAnsi="仿宋_GB2312" w:eastAsia="仿宋_GB2312" w:cs="仿宋_GB2312"/>
          <w:color w:val="auto"/>
          <w:sz w:val="28"/>
          <w:szCs w:val="28"/>
        </w:rPr>
        <w:t>货物送达指定地点由供应商承担货物装卸、搬运上楼费用。</w:t>
      </w:r>
    </w:p>
    <w:p w14:paraId="00332B8F">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、供应商应将货物配送到采购人指定的院内任意地点接受采购人验货，并将该批货物的产品检验报告资料和合格证等资料，移交至采购人职能科室工作人员。</w:t>
      </w:r>
    </w:p>
    <w:p w14:paraId="57887867">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供应商应随货附销售单据。销售单据所记录的数据应与实际供货的品名、规格型号、数量、单价、金额等一致。货物验收时验收记录单据应当由采购人签字认可。</w:t>
      </w:r>
    </w:p>
    <w:p w14:paraId="6B75E4DD">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未提供全流程服务视为供应商违约。供应商不得随意变更接洽人员。</w:t>
      </w:r>
    </w:p>
    <w:p w14:paraId="4E08DEC9">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14:paraId="674CC536">
      <w:pPr>
        <w:pStyle w:val="16"/>
        <w:keepNext w:val="0"/>
        <w:keepLines w:val="0"/>
        <w:pageBreakBefore w:val="0"/>
        <w:kinsoku/>
        <w:wordWrap/>
        <w:overflowPunct/>
        <w:topLinePunct w:val="0"/>
        <w:bidi w:val="0"/>
        <w:adjustRightInd/>
        <w:snapToGrid/>
        <w:spacing w:line="360" w:lineRule="auto"/>
        <w:ind w:left="420" w:leftChars="200" w:firstLine="281"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六</w:t>
      </w:r>
      <w:r>
        <w:rPr>
          <w:rFonts w:hint="eastAsia" w:ascii="仿宋_GB2312" w:hAnsi="仿宋_GB2312" w:eastAsia="仿宋_GB2312" w:cs="仿宋_GB2312"/>
          <w:b/>
          <w:color w:val="auto"/>
          <w:sz w:val="28"/>
          <w:szCs w:val="28"/>
        </w:rPr>
        <w:t>、商务要求</w:t>
      </w:r>
    </w:p>
    <w:p w14:paraId="65782688">
      <w:pPr>
        <w:pStyle w:val="20"/>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p>
    <w:p w14:paraId="1DB09BBE">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双方签订采购合同生效之日起，供应商30日内完成本文件所有内容并向采购人交付工作成果，且完全实现《国家疾控局综合司关于做好国家传染病智能监测预警前置软件服务器软硬件环境配置的通知》（国疾控综规财函〔2024)71号）文件对密码机和CA证书部分的要求。</w:t>
      </w:r>
    </w:p>
    <w:p w14:paraId="47C8E799">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sz w:val="28"/>
          <w:szCs w:val="28"/>
          <w:u w:val="single"/>
          <w:lang w:val="en-US" w:eastAsia="zh-CN"/>
        </w:rPr>
        <w:t>货物交付采购人之前，货物的损毁、灭失风险由供应商承担。</w:t>
      </w:r>
    </w:p>
    <w:p w14:paraId="5BFB0B88">
      <w:pPr>
        <w:pStyle w:val="12"/>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6C5427F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、采购人采用银行转账方式付款，采购人付款前，成交供应商</w:t>
      </w:r>
      <w:r>
        <w:rPr>
          <w:rFonts w:hint="eastAsia" w:ascii="仿宋_GB2312" w:hAnsi="仿宋_GB2312" w:eastAsia="仿宋_GB2312" w:cs="仿宋_GB2312"/>
          <w:color w:val="auto"/>
          <w:sz w:val="28"/>
          <w:szCs w:val="28"/>
          <w:lang w:val="en-US" w:eastAsia="zh-CN"/>
        </w:rPr>
        <w:t>向采购人交付本项目标的</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且经采购人书面验收合格后，</w:t>
      </w:r>
      <w:r>
        <w:rPr>
          <w:rFonts w:hint="eastAsia" w:ascii="仿宋_GB2312" w:hAnsi="仿宋_GB2312" w:eastAsia="仿宋_GB2312" w:cs="仿宋_GB2312"/>
          <w:color w:val="auto"/>
          <w:sz w:val="28"/>
          <w:szCs w:val="28"/>
        </w:rPr>
        <w:t>成交供应商必须出具国家认可的足额有效发票，否则采购人有权拒绝付款。</w:t>
      </w:r>
    </w:p>
    <w:p w14:paraId="7E7FC0F3">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采购人书面验收合格后，成交供应商才可开具发票。</w:t>
      </w:r>
      <w:r>
        <w:rPr>
          <w:rFonts w:hint="eastAsia" w:ascii="仿宋_GB2312" w:hAnsi="仿宋_GB2312" w:eastAsia="仿宋_GB2312" w:cs="仿宋_GB2312"/>
          <w:color w:val="auto"/>
          <w:sz w:val="28"/>
          <w:szCs w:val="28"/>
        </w:rPr>
        <w:t>采购人</w:t>
      </w:r>
      <w:r>
        <w:rPr>
          <w:rFonts w:hint="eastAsia" w:ascii="仿宋_GB2312" w:hAnsi="仿宋_GB2312" w:eastAsia="仿宋_GB2312" w:cs="仿宋_GB2312"/>
          <w:color w:val="auto"/>
          <w:sz w:val="28"/>
          <w:szCs w:val="28"/>
          <w:lang w:val="en-US" w:eastAsia="zh-CN"/>
        </w:rPr>
        <w:t>收到</w:t>
      </w:r>
      <w:r>
        <w:rPr>
          <w:rFonts w:hint="eastAsia" w:ascii="仿宋_GB2312" w:hAnsi="仿宋_GB2312" w:eastAsia="仿宋_GB2312" w:cs="仿宋_GB2312"/>
          <w:color w:val="auto"/>
          <w:sz w:val="28"/>
          <w:szCs w:val="28"/>
        </w:rPr>
        <w:t>成交供应商前款所述有效</w:t>
      </w:r>
      <w:r>
        <w:rPr>
          <w:rFonts w:hint="eastAsia" w:ascii="仿宋_GB2312" w:hAnsi="仿宋_GB2312" w:eastAsia="仿宋_GB2312" w:cs="仿宋_GB2312"/>
          <w:color w:val="auto"/>
          <w:sz w:val="28"/>
          <w:szCs w:val="28"/>
          <w:lang w:val="en-US" w:eastAsia="zh-CN"/>
        </w:rPr>
        <w:t>票据</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w:t>
      </w:r>
      <w:r>
        <w:rPr>
          <w:rFonts w:hint="eastAsia" w:ascii="仿宋_GB2312" w:hAnsi="仿宋_GB2312" w:eastAsia="仿宋_GB2312" w:cs="仿宋_GB2312"/>
          <w:color w:val="auto"/>
          <w:sz w:val="28"/>
          <w:szCs w:val="28"/>
          <w:lang w:val="en-US" w:eastAsia="zh-CN"/>
        </w:rPr>
        <w:t>合同总价款的90%。</w:t>
      </w:r>
    </w:p>
    <w:p w14:paraId="469DE97D">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3.剩余合同总价款的10%，在本项目验收合格之日一年后，成交供应商提供的设施设备正常运行，经采购人书面确认正常后，</w:t>
      </w:r>
      <w:r>
        <w:rPr>
          <w:rFonts w:hint="eastAsia" w:ascii="仿宋_GB2312" w:hAnsi="仿宋_GB2312" w:eastAsia="仿宋_GB2312" w:cs="仿宋_GB2312"/>
          <w:color w:val="auto"/>
          <w:sz w:val="28"/>
          <w:szCs w:val="28"/>
        </w:rPr>
        <w:t>采购人</w:t>
      </w:r>
      <w:r>
        <w:rPr>
          <w:rFonts w:hint="eastAsia" w:ascii="仿宋_GB2312" w:hAnsi="仿宋_GB2312" w:eastAsia="仿宋_GB2312" w:cs="仿宋_GB2312"/>
          <w:color w:val="auto"/>
          <w:sz w:val="28"/>
          <w:szCs w:val="28"/>
          <w:lang w:val="en-US" w:eastAsia="zh-CN"/>
        </w:rPr>
        <w:t>收到</w:t>
      </w:r>
      <w:r>
        <w:rPr>
          <w:rFonts w:hint="eastAsia" w:ascii="仿宋_GB2312" w:hAnsi="仿宋_GB2312" w:eastAsia="仿宋_GB2312" w:cs="仿宋_GB2312"/>
          <w:color w:val="auto"/>
          <w:sz w:val="28"/>
          <w:szCs w:val="28"/>
        </w:rPr>
        <w:t>成交供应商</w:t>
      </w:r>
      <w:r>
        <w:rPr>
          <w:rFonts w:hint="eastAsia" w:ascii="仿宋_GB2312" w:hAnsi="仿宋_GB2312" w:eastAsia="仿宋_GB2312" w:cs="仿宋_GB2312"/>
          <w:color w:val="auto"/>
          <w:sz w:val="28"/>
          <w:szCs w:val="28"/>
          <w:lang w:val="en-US" w:eastAsia="zh-CN"/>
        </w:rPr>
        <w:t>发票和付款函件后</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w:t>
      </w:r>
      <w:r>
        <w:rPr>
          <w:rFonts w:hint="eastAsia" w:ascii="仿宋_GB2312" w:hAnsi="仿宋_GB2312" w:eastAsia="仿宋_GB2312" w:cs="仿宋_GB2312"/>
          <w:color w:val="auto"/>
          <w:sz w:val="28"/>
          <w:szCs w:val="28"/>
          <w:lang w:val="en-US" w:eastAsia="zh-CN"/>
        </w:rPr>
        <w:t>合同总价款的10%。</w:t>
      </w:r>
    </w:p>
    <w:p w14:paraId="332E9191">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0164EA6F">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表面无划伤、无碰撞痕迹，无损坏。</w:t>
      </w:r>
      <w:r>
        <w:rPr>
          <w:rFonts w:hint="eastAsia"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rPr>
        <w:t>包装应干净、结实、无破损、封口严密、方便储存、运输和使用。包装上必须标明品名、规格、生产厂家、出厂日期或质保期。</w:t>
      </w:r>
    </w:p>
    <w:p w14:paraId="7C70A0AF">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4992927">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08DBB4C5">
      <w:pPr>
        <w:pStyle w:val="12"/>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疾控报送服务器密码机</w:t>
      </w:r>
      <w:r>
        <w:rPr>
          <w:rFonts w:hint="eastAsia" w:ascii="仿宋_GB2312" w:hAnsi="仿宋_GB2312" w:eastAsia="仿宋_GB2312" w:cs="仿宋_GB2312"/>
          <w:bCs/>
          <w:sz w:val="28"/>
          <w:szCs w:val="28"/>
        </w:rPr>
        <w:t>的质保期为三年。</w:t>
      </w:r>
    </w:p>
    <w:p w14:paraId="11C00F76">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单位数字证书</w:t>
      </w:r>
      <w:r>
        <w:rPr>
          <w:rFonts w:hint="eastAsia" w:ascii="仿宋_GB2312" w:hAnsi="仿宋_GB2312" w:eastAsia="仿宋_GB2312" w:cs="仿宋_GB2312"/>
          <w:b/>
          <w:sz w:val="28"/>
          <w:szCs w:val="28"/>
        </w:rPr>
        <w:t>的有效期为五年</w:t>
      </w:r>
      <w:r>
        <w:rPr>
          <w:rFonts w:hint="eastAsia" w:ascii="仿宋_GB2312" w:hAnsi="仿宋_GB2312" w:eastAsia="仿宋_GB2312" w:cs="仿宋_GB2312"/>
          <w:sz w:val="28"/>
          <w:szCs w:val="28"/>
        </w:rPr>
        <w:t>。</w:t>
      </w:r>
    </w:p>
    <w:p w14:paraId="25036408">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3、货物交接后，供应商须提供上架安装或系统安装服务，同时成交供应商应对采购人进行产品操作培训至采购人能正常操作货物。</w:t>
      </w:r>
    </w:p>
    <w:p w14:paraId="23469F64">
      <w:pPr>
        <w:pStyle w:val="12"/>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4、所有货物质保期自采购履约验收合格之日起计。成交供应商在质保期内应当为采购人提供以下技术支持和服务：</w:t>
      </w:r>
    </w:p>
    <w:p w14:paraId="6C3F32F5">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（1）电话咨询</w:t>
      </w:r>
    </w:p>
    <w:p w14:paraId="7A0EDBFC">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成交供应商应当为采购人提供技术援助电话，解答采购人在使用中遇到的问题，及时为采购人提出解决问题的建议。</w:t>
      </w:r>
    </w:p>
    <w:p w14:paraId="56DBFBCE">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（2）现场响应</w:t>
      </w:r>
    </w:p>
    <w:p w14:paraId="6E8B2028">
      <w:pPr>
        <w:pStyle w:val="12"/>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采购人遇到无法自行解决的货物故障，电话咨询不能解决的，成交供应商应在4小时内到达现场进行处理，确保产品正常工作；成交供应商到场后，无法在4小时内解决货物故障的，应在6小时内提供备用应急方案，使采购人能够正常使用。</w:t>
      </w:r>
    </w:p>
    <w:p w14:paraId="51B9433B">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在质保期内出现质量问题，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075970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货物的产品检验合格报告和相关证明材料，并核实材料真实性，如供应商无正当理由不予配合或证实实际货物与合同约定的要求不符，视为供应商违约，采购人有权拒收货物并要求供应商承担违约责任。</w:t>
      </w:r>
    </w:p>
    <w:p w14:paraId="799E0311">
      <w:pPr>
        <w:pStyle w:val="20"/>
        <w:keepNext w:val="0"/>
        <w:keepLines w:val="0"/>
        <w:pageBreakBefore w:val="0"/>
        <w:kinsoku/>
        <w:wordWrap/>
        <w:overflowPunct/>
        <w:topLinePunct w:val="0"/>
        <w:bidi w:val="0"/>
        <w:adjustRightInd/>
        <w:snapToGrid/>
        <w:spacing w:line="360" w:lineRule="auto"/>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12EF63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要求履行合同，按时全面履行本项目的各项义务，供应商不履行本项目义务或瑕疵履行本项目义务或延迟履行本项目义务或履行合同义务不符合合同约定的，则成交供应商违约。</w:t>
      </w:r>
    </w:p>
    <w:p w14:paraId="63E667A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0303E137">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44FF4195">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4C4A0933">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（3）成交供应商延迟履约，即成交供应商应向采购人提供的货物及服务未按合同约定时间达成的，采购人将扣除成交供应商结算货款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00元，供应商经采购人催告后应继续按合同约定履行合同。若供应商</w:t>
      </w:r>
      <w:r>
        <w:rPr>
          <w:rFonts w:hint="eastAsia" w:ascii="仿宋_GB2312" w:hAnsi="仿宋_GB2312" w:eastAsia="仿宋_GB2312" w:cs="仿宋_GB2312"/>
          <w:color w:val="auto"/>
          <w:sz w:val="28"/>
          <w:szCs w:val="28"/>
          <w:lang w:val="en-US" w:eastAsia="zh-CN"/>
        </w:rPr>
        <w:t>经采购人催告后仍然延迟10日履约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563A514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w:t>
      </w:r>
      <w:r>
        <w:rPr>
          <w:rFonts w:hint="eastAsia" w:ascii="仿宋_GB2312" w:hAnsi="仿宋_GB2312" w:eastAsia="仿宋_GB2312" w:cs="仿宋_GB2312"/>
          <w:color w:val="auto"/>
          <w:sz w:val="28"/>
          <w:szCs w:val="28"/>
          <w:lang w:eastAsia="zh-CN"/>
        </w:rPr>
        <w:t>所提</w:t>
      </w:r>
      <w:r>
        <w:rPr>
          <w:rFonts w:hint="eastAsia" w:ascii="仿宋_GB2312" w:hAnsi="仿宋_GB2312" w:eastAsia="仿宋_GB2312" w:cs="仿宋_GB2312"/>
          <w:color w:val="auto"/>
          <w:sz w:val="28"/>
          <w:szCs w:val="28"/>
        </w:rPr>
        <w:t>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w:t>
      </w:r>
      <w:r>
        <w:rPr>
          <w:rFonts w:hint="eastAsia" w:ascii="仿宋_GB2312" w:hAnsi="仿宋_GB2312" w:eastAsia="仿宋_GB2312" w:cs="仿宋_GB2312"/>
          <w:color w:val="auto"/>
          <w:sz w:val="28"/>
          <w:szCs w:val="28"/>
          <w:lang w:eastAsia="zh-CN"/>
        </w:rPr>
        <w:t>做</w:t>
      </w:r>
      <w:r>
        <w:rPr>
          <w:rFonts w:hint="eastAsia" w:ascii="仿宋_GB2312" w:hAnsi="仿宋_GB2312" w:eastAsia="仿宋_GB2312" w:cs="仿宋_GB2312"/>
          <w:color w:val="auto"/>
          <w:sz w:val="28"/>
          <w:szCs w:val="28"/>
        </w:rPr>
        <w:t>、更换、退货、减少价款或者报酬等违约责任。同时成交供应商每有一次违约行为，采购人将扣除成交供应商结算货款</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4560DB93">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5181DEAD">
      <w:pPr>
        <w:keepNext w:val="0"/>
        <w:keepLines w:val="0"/>
        <w:pageBreakBefore w:val="0"/>
        <w:numPr>
          <w:ilvl w:val="0"/>
          <w:numId w:val="0"/>
        </w:numPr>
        <w:kinsoku/>
        <w:wordWrap/>
        <w:overflowPunct/>
        <w:topLinePunct w:val="0"/>
        <w:bidi w:val="0"/>
        <w:adjustRightInd/>
        <w:snapToGrid/>
        <w:spacing w:beforeLines="50" w:afterLines="50" w:line="360" w:lineRule="auto"/>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七、供应商报价</w:t>
      </w:r>
    </w:p>
    <w:tbl>
      <w:tblPr>
        <w:tblStyle w:val="9"/>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456"/>
        <w:gridCol w:w="4223"/>
      </w:tblGrid>
      <w:tr w14:paraId="4E9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019" w:type="pct"/>
            <w:tcBorders>
              <w:top w:val="single" w:color="auto" w:sz="4" w:space="0"/>
              <w:left w:val="single" w:color="auto" w:sz="4" w:space="0"/>
              <w:bottom w:val="single" w:color="auto" w:sz="4" w:space="0"/>
              <w:right w:val="single" w:color="auto" w:sz="4" w:space="0"/>
            </w:tcBorders>
            <w:noWrap/>
            <w:vAlign w:val="center"/>
          </w:tcPr>
          <w:p w14:paraId="5C8BA7AF">
            <w:pPr>
              <w:keepNext w:val="0"/>
              <w:keepLines w:val="0"/>
              <w:pageBreakBefore w:val="0"/>
              <w:kinsoku/>
              <w:wordWrap/>
              <w:overflowPunct/>
              <w:topLinePunct w:val="0"/>
              <w:bidi w:val="0"/>
              <w:snapToGrid w:val="0"/>
              <w:spacing w:line="360" w:lineRule="auto"/>
              <w:jc w:val="center"/>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项目名称</w:t>
            </w:r>
          </w:p>
        </w:tc>
        <w:tc>
          <w:tcPr>
            <w:tcW w:w="1791" w:type="pct"/>
            <w:tcBorders>
              <w:top w:val="single" w:color="auto" w:sz="4" w:space="0"/>
              <w:left w:val="single" w:color="auto" w:sz="4" w:space="0"/>
              <w:bottom w:val="single" w:color="auto" w:sz="4" w:space="0"/>
              <w:right w:val="single" w:color="auto" w:sz="4" w:space="0"/>
            </w:tcBorders>
            <w:noWrap/>
            <w:vAlign w:val="center"/>
          </w:tcPr>
          <w:p w14:paraId="1F760BE7">
            <w:pPr>
              <w:keepNext w:val="0"/>
              <w:keepLines w:val="0"/>
              <w:pageBreakBefore w:val="0"/>
              <w:widowControl/>
              <w:kinsoku/>
              <w:wordWrap/>
              <w:overflowPunct/>
              <w:topLinePunct w:val="0"/>
              <w:bidi w:val="0"/>
              <w:spacing w:line="360" w:lineRule="auto"/>
              <w:jc w:val="center"/>
              <w:outlineLvl w:val="1"/>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highlight w:val="none"/>
                <w:lang w:val="en-US" w:eastAsia="zh-CN"/>
              </w:rPr>
              <w:t>供应商名称</w:t>
            </w:r>
          </w:p>
        </w:tc>
        <w:tc>
          <w:tcPr>
            <w:tcW w:w="2188" w:type="pct"/>
            <w:tcBorders>
              <w:top w:val="single" w:color="auto" w:sz="4" w:space="0"/>
              <w:left w:val="single" w:color="auto" w:sz="4" w:space="0"/>
              <w:bottom w:val="single" w:color="auto" w:sz="4" w:space="0"/>
              <w:right w:val="single" w:color="auto" w:sz="4" w:space="0"/>
            </w:tcBorders>
            <w:noWrap/>
            <w:vAlign w:val="center"/>
          </w:tcPr>
          <w:p w14:paraId="7B035464">
            <w:pPr>
              <w:keepNext w:val="0"/>
              <w:keepLines w:val="0"/>
              <w:pageBreakBefore w:val="0"/>
              <w:kinsoku/>
              <w:wordWrap/>
              <w:overflowPunct/>
              <w:topLinePunct w:val="0"/>
              <w:bidi w:val="0"/>
              <w:snapToGrid w:val="0"/>
              <w:spacing w:line="360" w:lineRule="auto"/>
              <w:jc w:val="center"/>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val="en-US" w:eastAsia="zh-CN"/>
              </w:rPr>
              <w:t>供应商报价</w:t>
            </w:r>
          </w:p>
        </w:tc>
      </w:tr>
      <w:tr w14:paraId="727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019" w:type="pct"/>
            <w:tcBorders>
              <w:top w:val="single" w:color="auto" w:sz="4" w:space="0"/>
              <w:left w:val="single" w:color="auto" w:sz="4" w:space="0"/>
              <w:bottom w:val="single" w:color="auto" w:sz="4" w:space="0"/>
              <w:right w:val="single" w:color="auto" w:sz="4" w:space="0"/>
            </w:tcBorders>
            <w:noWrap/>
            <w:vAlign w:val="center"/>
          </w:tcPr>
          <w:p w14:paraId="211F03AA">
            <w:pPr>
              <w:pStyle w:val="20"/>
              <w:keepNext w:val="0"/>
              <w:keepLines w:val="0"/>
              <w:pageBreakBefore w:val="0"/>
              <w:kinsoku/>
              <w:wordWrap/>
              <w:overflowPunct/>
              <w:topLinePunct w:val="0"/>
              <w:bidi w:val="0"/>
              <w:spacing w:line="360" w:lineRule="auto"/>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大竹县人民医院传染病智能监测预警前置系统所需密码机、CA证书项目（第二次）。</w:t>
            </w:r>
          </w:p>
          <w:p w14:paraId="7DC1246B">
            <w:pPr>
              <w:pStyle w:val="20"/>
              <w:keepNext w:val="0"/>
              <w:keepLines w:val="0"/>
              <w:pageBreakBefore w:val="0"/>
              <w:kinsoku/>
              <w:wordWrap/>
              <w:overflowPunct/>
              <w:topLinePunct w:val="0"/>
              <w:bidi w:val="0"/>
              <w:spacing w:line="360" w:lineRule="auto"/>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采购项目编号：竹医总采（遴）【2025-1-24-2】号</w:t>
            </w:r>
          </w:p>
        </w:tc>
        <w:tc>
          <w:tcPr>
            <w:tcW w:w="1791" w:type="pct"/>
            <w:tcBorders>
              <w:top w:val="single" w:color="auto" w:sz="4" w:space="0"/>
              <w:left w:val="single" w:color="auto" w:sz="4" w:space="0"/>
              <w:bottom w:val="single" w:color="auto" w:sz="4" w:space="0"/>
              <w:right w:val="single" w:color="auto" w:sz="4" w:space="0"/>
            </w:tcBorders>
            <w:noWrap/>
            <w:vAlign w:val="center"/>
          </w:tcPr>
          <w:p w14:paraId="7B407AC6">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sz w:val="24"/>
                <w:szCs w:val="24"/>
              </w:rPr>
            </w:pPr>
          </w:p>
        </w:tc>
        <w:tc>
          <w:tcPr>
            <w:tcW w:w="2188" w:type="pct"/>
            <w:tcBorders>
              <w:top w:val="single" w:color="auto" w:sz="4" w:space="0"/>
              <w:left w:val="single" w:color="auto" w:sz="4" w:space="0"/>
              <w:bottom w:val="single" w:color="auto" w:sz="4" w:space="0"/>
              <w:right w:val="single" w:color="auto" w:sz="4" w:space="0"/>
            </w:tcBorders>
            <w:noWrap/>
            <w:vAlign w:val="center"/>
          </w:tcPr>
          <w:p w14:paraId="17EC298F">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供应商报价为包干价，是完成本文件</w:t>
            </w:r>
            <w:r>
              <w:rPr>
                <w:rFonts w:hint="eastAsia" w:ascii="仿宋_GB2312" w:hAnsi="仿宋_GB2312" w:eastAsia="仿宋_GB2312" w:cs="仿宋_GB2312"/>
                <w:sz w:val="24"/>
                <w:szCs w:val="24"/>
              </w:rPr>
              <w:t>的全部内容的价格体现。包括</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为完成本项目的全部工作须支付或发生的一切所需费用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color w:val="auto"/>
                <w:sz w:val="24"/>
                <w:szCs w:val="24"/>
                <w:lang w:val="en-US" w:eastAsia="zh-CN"/>
              </w:rPr>
              <w:t>货物、运输、搬运、人工、税费等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和</w:t>
            </w:r>
            <w:r>
              <w:rPr>
                <w:rFonts w:hint="eastAsia" w:ascii="仿宋_GB2312" w:hAnsi="仿宋_GB2312" w:eastAsia="仿宋_GB2312" w:cs="仿宋_GB2312"/>
                <w:sz w:val="24"/>
                <w:szCs w:val="24"/>
                <w:lang w:val="en-US" w:eastAsia="zh-CN"/>
              </w:rPr>
              <w:t>供应商拟获得</w:t>
            </w:r>
            <w:r>
              <w:rPr>
                <w:rFonts w:hint="eastAsia" w:ascii="仿宋_GB2312" w:hAnsi="仿宋_GB2312" w:eastAsia="仿宋_GB2312" w:cs="仿宋_GB2312"/>
                <w:sz w:val="24"/>
                <w:szCs w:val="24"/>
              </w:rPr>
              <w:t>的利润。</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无须另向</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支付其他任何费用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rPr>
              <w:t>本次报价必须</w:t>
            </w:r>
            <w:r>
              <w:rPr>
                <w:rFonts w:hint="eastAsia" w:ascii="仿宋_GB2312" w:hAnsi="仿宋_GB2312" w:eastAsia="仿宋_GB2312" w:cs="仿宋_GB2312"/>
                <w:color w:val="auto"/>
                <w:sz w:val="24"/>
                <w:szCs w:val="24"/>
                <w:u w:val="single"/>
                <w:lang w:val="en-US" w:eastAsia="zh-CN"/>
              </w:rPr>
              <w:t>低于或等于本项目预算金额</w:t>
            </w:r>
            <w:r>
              <w:rPr>
                <w:rFonts w:hint="eastAsia" w:ascii="仿宋_GB2312" w:hAnsi="仿宋_GB2312" w:eastAsia="仿宋_GB2312" w:cs="仿宋_GB2312"/>
                <w:color w:val="auto"/>
                <w:sz w:val="24"/>
                <w:szCs w:val="24"/>
                <w:lang w:eastAsia="zh-CN"/>
              </w:rPr>
              <w:t>）</w:t>
            </w:r>
          </w:p>
          <w:p w14:paraId="21B1EF15">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（元）</w:t>
            </w:r>
          </w:p>
          <w:p w14:paraId="1EA35312">
            <w:pPr>
              <w:pStyle w:val="4"/>
              <w:keepNext w:val="0"/>
              <w:keepLines w:val="0"/>
              <w:pageBreakBefore w:val="0"/>
              <w:kinsoku/>
              <w:wordWrap/>
              <w:overflowPunct/>
              <w:topLinePunct w:val="0"/>
              <w:bidi w:val="0"/>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none"/>
                <w:lang w:val="en-US" w:eastAsia="zh-CN"/>
              </w:rPr>
              <w:t xml:space="preserve">大写：       </w:t>
            </w:r>
          </w:p>
        </w:tc>
      </w:tr>
    </w:tbl>
    <w:p w14:paraId="3050311B">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本文件共10页，供应商已阅读全部内容，并清楚知晓其含义且无异议，供应商同意遵守本文件所有内容，并签字盖章进行报价。</w:t>
      </w:r>
    </w:p>
    <w:p w14:paraId="1F897EFC">
      <w:pPr>
        <w:pStyle w:val="4"/>
        <w:keepNext w:val="0"/>
        <w:keepLines w:val="0"/>
        <w:pageBreakBefore w:val="0"/>
        <w:widowControl w:val="0"/>
        <w:kinsoku/>
        <w:wordWrap/>
        <w:overflowPunct/>
        <w:topLinePunct w:val="0"/>
        <w:autoSpaceDE/>
        <w:autoSpaceDN/>
        <w:bidi w:val="0"/>
        <w:snapToGrid/>
        <w:spacing w:line="360" w:lineRule="auto"/>
        <w:ind w:firstLine="562"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法定代表人或授权代表（签字或盖章）</w:t>
      </w:r>
      <w:r>
        <w:rPr>
          <w:rFonts w:hint="eastAsia" w:ascii="仿宋_GB2312" w:hAnsi="仿宋_GB2312" w:eastAsia="仿宋_GB2312" w:cs="仿宋_GB2312"/>
          <w:bCs/>
          <w:sz w:val="28"/>
          <w:szCs w:val="28"/>
        </w:rPr>
        <w:t>：</w:t>
      </w:r>
    </w:p>
    <w:p w14:paraId="6567412A">
      <w:pPr>
        <w:keepNext w:val="0"/>
        <w:keepLines w:val="0"/>
        <w:pageBreakBefore w:val="0"/>
        <w:widowControl w:val="0"/>
        <w:kinsoku/>
        <w:wordWrap/>
        <w:overflowPunct/>
        <w:topLinePunct w:val="0"/>
        <w:autoSpaceDE/>
        <w:autoSpaceDN/>
        <w:bidi w:val="0"/>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rPr>
        <w:t>日期</w:t>
      </w:r>
      <w:r>
        <w:rPr>
          <w:rFonts w:hint="eastAsia" w:ascii="仿宋_GB2312" w:hAnsi="仿宋_GB2312" w:eastAsia="仿宋_GB2312" w:cs="仿宋_GB2312"/>
          <w:bCs/>
          <w:sz w:val="28"/>
          <w:szCs w:val="28"/>
          <w:lang w:eastAsia="zh-CN"/>
        </w:rPr>
        <w:t>：</w:t>
      </w:r>
    </w:p>
    <w:p w14:paraId="12157609">
      <w:pPr>
        <w:spacing w:line="360" w:lineRule="auto"/>
        <w:jc w:val="left"/>
        <w:rPr>
          <w:rFonts w:hint="eastAsia" w:ascii="仿宋_GB2312" w:hAnsi="仿宋_GB2312" w:eastAsia="仿宋_GB2312" w:cs="仿宋_GB2312"/>
          <w:sz w:val="28"/>
          <w:szCs w:val="28"/>
          <w:lang w:val="en-US" w:eastAsia="zh-CN"/>
        </w:rPr>
      </w:pPr>
    </w:p>
    <w:p w14:paraId="5CD81940">
      <w:pPr>
        <w:spacing w:line="360" w:lineRule="auto"/>
        <w:jc w:val="left"/>
        <w:rPr>
          <w:rFonts w:hint="eastAsia" w:ascii="仿宋_GB2312" w:hAnsi="仿宋_GB2312" w:eastAsia="仿宋_GB2312" w:cs="仿宋_GB2312"/>
          <w:sz w:val="28"/>
          <w:szCs w:val="28"/>
          <w:lang w:val="en-US" w:eastAsia="zh-CN"/>
        </w:rPr>
      </w:pPr>
    </w:p>
    <w:p w14:paraId="2EBE19EC">
      <w:pPr>
        <w:spacing w:line="360" w:lineRule="auto"/>
        <w:jc w:val="left"/>
        <w:rPr>
          <w:rFonts w:hint="eastAsia" w:ascii="仿宋_GB2312" w:hAnsi="仿宋_GB2312" w:eastAsia="仿宋_GB2312" w:cs="仿宋_GB2312"/>
          <w:sz w:val="28"/>
          <w:szCs w:val="28"/>
          <w:lang w:val="en-US" w:eastAsia="zh-CN"/>
        </w:rPr>
      </w:pPr>
    </w:p>
    <w:p w14:paraId="46131F1E">
      <w:pPr>
        <w:spacing w:line="360" w:lineRule="auto"/>
        <w:jc w:val="left"/>
        <w:rPr>
          <w:rFonts w:hint="eastAsia" w:ascii="仿宋_GB2312" w:hAnsi="仿宋_GB2312" w:eastAsia="仿宋_GB2312" w:cs="仿宋_GB2312"/>
          <w:sz w:val="28"/>
          <w:szCs w:val="28"/>
          <w:lang w:val="en-US" w:eastAsia="zh-CN"/>
        </w:rPr>
      </w:pPr>
    </w:p>
    <w:p w14:paraId="19441B92">
      <w:pPr>
        <w:spacing w:line="360" w:lineRule="auto"/>
        <w:jc w:val="left"/>
        <w:rPr>
          <w:rFonts w:hint="eastAsia" w:ascii="仿宋_GB2312" w:hAnsi="仿宋_GB2312" w:eastAsia="仿宋_GB2312" w:cs="仿宋_GB2312"/>
          <w:sz w:val="28"/>
          <w:szCs w:val="28"/>
          <w:lang w:val="en-US" w:eastAsia="zh-CN"/>
        </w:rPr>
      </w:pPr>
    </w:p>
    <w:p w14:paraId="713C68AF">
      <w:p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14:paraId="3C258346">
      <w:pPr>
        <w:spacing w:line="360" w:lineRule="auto"/>
        <w:rPr>
          <w:rFonts w:hint="eastAsia" w:ascii="仿宋" w:hAnsi="仿宋" w:eastAsia="仿宋" w:cs="仿宋"/>
          <w:color w:val="auto"/>
          <w:sz w:val="28"/>
          <w:szCs w:val="28"/>
        </w:rPr>
      </w:pPr>
    </w:p>
    <w:p w14:paraId="3345EF4D">
      <w:pPr>
        <w:spacing w:line="360" w:lineRule="auto"/>
        <w:rPr>
          <w:rFonts w:hint="eastAsia" w:ascii="仿宋" w:hAnsi="仿宋" w:eastAsia="仿宋" w:cs="仿宋"/>
          <w:color w:val="auto"/>
          <w:sz w:val="28"/>
          <w:szCs w:val="28"/>
          <w:lang w:val="en-US" w:eastAsia="zh-CN"/>
        </w:rPr>
      </w:pPr>
    </w:p>
    <w:p w14:paraId="6C9F4677">
      <w:pPr>
        <w:pStyle w:val="20"/>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525B0DEA">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69B72EC7">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w:t>
      </w:r>
      <w:r>
        <w:rPr>
          <w:rFonts w:hint="eastAsia" w:ascii="仿宋" w:hAnsi="仿宋" w:eastAsia="仿宋" w:cs="仿宋"/>
          <w:sz w:val="28"/>
          <w:szCs w:val="28"/>
          <w:lang w:eastAsia="zh-CN"/>
        </w:rPr>
        <w:t>竹医总采（遴）</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大竹县人民医院传染病智能监测预警前置系统所需密码机、CA证书项目（第二次） </w:t>
      </w:r>
      <w:r>
        <w:rPr>
          <w:rFonts w:hint="eastAsia" w:ascii="仿宋" w:hAnsi="仿宋" w:eastAsia="仿宋" w:cs="仿宋"/>
          <w:sz w:val="28"/>
          <w:szCs w:val="28"/>
        </w:rPr>
        <w:t>”项目遴选活动的合法代表，以我方名义全权处理该项目有关报价、签订合同以及执行合同等一切事宜。</w:t>
      </w:r>
    </w:p>
    <w:p w14:paraId="05D98A2E">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634BA76C">
      <w:pPr>
        <w:pStyle w:val="20"/>
        <w:spacing w:line="360" w:lineRule="auto"/>
        <w:ind w:firstLine="560"/>
        <w:rPr>
          <w:rFonts w:ascii="仿宋" w:hAnsi="仿宋" w:eastAsia="仿宋" w:cs="仿宋"/>
          <w:sz w:val="28"/>
          <w:szCs w:val="28"/>
        </w:rPr>
      </w:pPr>
    </w:p>
    <w:p w14:paraId="288E3E50">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5A60F1C7">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01817F0E">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ACBFA84">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3E9B8565">
      <w:pPr>
        <w:pStyle w:val="20"/>
        <w:spacing w:line="360" w:lineRule="auto"/>
        <w:ind w:left="0" w:leftChars="0" w:firstLine="0" w:firstLineChars="0"/>
        <w:rPr>
          <w:rFonts w:ascii="仿宋" w:hAnsi="仿宋" w:eastAsia="仿宋" w:cs="仿宋"/>
          <w:b/>
          <w:bCs/>
          <w:sz w:val="28"/>
          <w:szCs w:val="28"/>
        </w:rPr>
      </w:pPr>
      <w:bookmarkStart w:id="5" w:name="_GoBack"/>
      <w:bookmarkEnd w:id="5"/>
    </w:p>
    <w:p w14:paraId="41B06025">
      <w:pPr>
        <w:pStyle w:val="20"/>
        <w:spacing w:line="360" w:lineRule="auto"/>
        <w:ind w:firstLine="562"/>
        <w:rPr>
          <w:rFonts w:ascii="仿宋" w:hAnsi="仿宋" w:eastAsia="仿宋" w:cs="仿宋"/>
          <w:b/>
          <w:bCs/>
          <w:sz w:val="28"/>
          <w:szCs w:val="28"/>
        </w:rPr>
      </w:pPr>
    </w:p>
    <w:p w14:paraId="3DE64D55">
      <w:pPr>
        <w:pStyle w:val="20"/>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4CB5F5F9">
      <w:pPr>
        <w:pStyle w:val="20"/>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DA3D8-AF04-4D31-BB84-6E0B1D382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0C570BC-744C-4A8B-B041-338D198A2D86}"/>
  </w:font>
  <w:font w:name="方正公文小标宋">
    <w:panose1 w:val="02000500000000000000"/>
    <w:charset w:val="86"/>
    <w:family w:val="auto"/>
    <w:pitch w:val="default"/>
    <w:sig w:usb0="A00002BF" w:usb1="38CF7CFA" w:usb2="00000016" w:usb3="00000000" w:csb0="00040001" w:csb1="00000000"/>
    <w:embedRegular r:id="rId3" w:fontKey="{D28EC744-4B71-4696-80D9-C8A4EEA6BC10}"/>
  </w:font>
  <w:font w:name="仿宋_GB2312">
    <w:panose1 w:val="02010609030101010101"/>
    <w:charset w:val="86"/>
    <w:family w:val="auto"/>
    <w:pitch w:val="default"/>
    <w:sig w:usb0="00000001" w:usb1="080E0000" w:usb2="00000000" w:usb3="00000000" w:csb0="00040000" w:csb1="00000000"/>
    <w:embedRegular r:id="rId4" w:fontKey="{5AB8E04D-163B-449B-AF2E-9CBFAE25D1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8F33D56"/>
    <w:rsid w:val="09A0066E"/>
    <w:rsid w:val="0ECD1690"/>
    <w:rsid w:val="144025BE"/>
    <w:rsid w:val="14CF3044"/>
    <w:rsid w:val="15220BC8"/>
    <w:rsid w:val="1560229E"/>
    <w:rsid w:val="17030584"/>
    <w:rsid w:val="176F0D30"/>
    <w:rsid w:val="179A293D"/>
    <w:rsid w:val="1C4B1F3E"/>
    <w:rsid w:val="1CD852E5"/>
    <w:rsid w:val="1F58038B"/>
    <w:rsid w:val="1F8D77DC"/>
    <w:rsid w:val="1FAA2393"/>
    <w:rsid w:val="1FDE2037"/>
    <w:rsid w:val="23A5639B"/>
    <w:rsid w:val="258C7F61"/>
    <w:rsid w:val="28786771"/>
    <w:rsid w:val="289417F0"/>
    <w:rsid w:val="297D27B5"/>
    <w:rsid w:val="32244145"/>
    <w:rsid w:val="366C2A9A"/>
    <w:rsid w:val="372B7A8B"/>
    <w:rsid w:val="38810B87"/>
    <w:rsid w:val="3F06507E"/>
    <w:rsid w:val="41151AA5"/>
    <w:rsid w:val="43704724"/>
    <w:rsid w:val="493B5F6F"/>
    <w:rsid w:val="4C003951"/>
    <w:rsid w:val="556A015F"/>
    <w:rsid w:val="583A23D4"/>
    <w:rsid w:val="5AF0321E"/>
    <w:rsid w:val="5C4473D9"/>
    <w:rsid w:val="5D0D746A"/>
    <w:rsid w:val="609D30B7"/>
    <w:rsid w:val="66682803"/>
    <w:rsid w:val="67544551"/>
    <w:rsid w:val="687326C6"/>
    <w:rsid w:val="6A402300"/>
    <w:rsid w:val="6A8C2ACD"/>
    <w:rsid w:val="6BFF6BC0"/>
    <w:rsid w:val="6D7440B4"/>
    <w:rsid w:val="77000E67"/>
    <w:rsid w:val="777B723A"/>
    <w:rsid w:val="7A74131E"/>
    <w:rsid w:val="7DBE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23">
    <w:name w:val="_Style 3"/>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5374</Words>
  <Characters>5746</Characters>
  <Lines>0</Lines>
  <Paragraphs>0</Paragraphs>
  <TotalTime>8</TotalTime>
  <ScaleCrop>false</ScaleCrop>
  <LinksUpToDate>false</LinksUpToDate>
  <CharactersWithSpaces>5842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2025-02-17T07:25:54Z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37EFF2F5685D48898B907A5919B4EDEF_12</vt:lpwstr>
  </property>
  <property fmtid="{D5CDD505-2E9C-101B-9397-08002B2CF9AE}" pid="4" name="KSOTemplateDocerSaveRecord">
    <vt:lpwstr>eyJoZGlkIjoiNzhmZGE0NDUzMWE0ODk1YWVjYWZlODk0OWQzNjBlOWYiLCJ1c2VySWQiOiI0NTY0NDMzOTMifQ==</vt:lpwstr>
  </property>
</Properties>
</file>