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default"/>
          <w:color w:val="auto"/>
          <w:lang w:val="en-US" w:eastAsia="zh-CN"/>
        </w:rPr>
      </w:pPr>
      <w:r>
        <w:rPr>
          <w:rFonts w:hint="eastAsia" w:ascii="方正公文小标宋" w:hAnsi="方正公文小标宋" w:eastAsia="方正公文小标宋" w:cs="方正公文小标宋"/>
          <w:color w:val="auto"/>
          <w:sz w:val="32"/>
          <w:szCs w:val="32"/>
          <w:lang w:eastAsia="zh-CN"/>
        </w:rPr>
        <w:t>大竹县人民医院低值信息设备采购项目</w:t>
      </w:r>
      <w:r>
        <w:rPr>
          <w:rFonts w:hint="eastAsia" w:ascii="方正公文小标宋" w:hAnsi="方正公文小标宋" w:eastAsia="方正公文小标宋" w:cs="方正公文小标宋"/>
          <w:color w:val="auto"/>
          <w:sz w:val="32"/>
          <w:szCs w:val="32"/>
          <w:lang w:val="en-US" w:eastAsia="zh-CN"/>
        </w:rPr>
        <w:t>现场报价文件</w:t>
      </w:r>
    </w:p>
    <w:p w14:paraId="709D9418">
      <w:pPr>
        <w:pStyle w:val="20"/>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35CA62AC">
      <w:pPr>
        <w:pStyle w:val="20"/>
        <w:spacing w:line="360" w:lineRule="auto"/>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大竹县人民医院低值信息设备采购项目</w:t>
      </w:r>
    </w:p>
    <w:p w14:paraId="41324867">
      <w:pPr>
        <w:pStyle w:val="20"/>
        <w:spacing w:line="360" w:lineRule="auto"/>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竹医总采（遴）【2024-12-23-2</w:t>
      </w:r>
      <w:bookmarkStart w:id="5" w:name="_GoBack"/>
      <w:bookmarkEnd w:id="5"/>
      <w:r>
        <w:rPr>
          <w:rFonts w:hint="eastAsia" w:ascii="仿宋" w:hAnsi="仿宋" w:eastAsia="仿宋" w:cs="仿宋"/>
          <w:b w:val="0"/>
          <w:bCs w:val="0"/>
          <w:color w:val="auto"/>
          <w:sz w:val="24"/>
          <w:szCs w:val="24"/>
          <w:lang w:val="en-US" w:eastAsia="zh-CN"/>
        </w:rPr>
        <w:t>】号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CDF6FE2">
      <w:pPr>
        <w:pStyle w:val="20"/>
        <w:spacing w:line="360" w:lineRule="auto"/>
        <w:ind w:left="0" w:leftChars="0" w:firstLine="0" w:firstLineChars="0"/>
        <w:jc w:val="both"/>
        <w:rPr>
          <w:rFonts w:hint="eastAsia" w:ascii="仿宋" w:hAnsi="仿宋" w:eastAsia="仿宋" w:cs="仿宋"/>
          <w:b/>
          <w:color w:val="auto"/>
          <w:sz w:val="28"/>
          <w:szCs w:val="28"/>
          <w:lang w:val="en-US" w:eastAsia="zh-CN"/>
        </w:rPr>
      </w:pPr>
    </w:p>
    <w:p w14:paraId="0AC6013F">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6BA84414">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48CD9BD">
      <w:pPr>
        <w:pStyle w:val="20"/>
        <w:spacing w:line="360" w:lineRule="auto"/>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成交规则：供应商报出一次不可更改的价格，满足本文件要求且报价折扣率最低者为成交供应商。</w:t>
      </w:r>
    </w:p>
    <w:p w14:paraId="0D924A12">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b/>
          <w:bCs/>
          <w:color w:val="auto"/>
          <w:sz w:val="28"/>
          <w:szCs w:val="28"/>
          <w:lang w:val="en-US" w:eastAsia="zh-CN"/>
        </w:rPr>
      </w:pPr>
    </w:p>
    <w:p w14:paraId="65253C71">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0A7E660E">
      <w:pPr>
        <w:pStyle w:val="2"/>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4DE86C65">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本项目履约期内采购人均不会一次性大批量购买</w:t>
      </w:r>
      <w:r>
        <w:rPr>
          <w:rFonts w:hint="eastAsia" w:ascii="仿宋_GB2312" w:hAnsi="仿宋_GB2312" w:eastAsia="仿宋_GB2312" w:cs="仿宋_GB2312"/>
          <w:color w:val="auto"/>
          <w:sz w:val="28"/>
          <w:szCs w:val="28"/>
          <w:highlight w:val="none"/>
          <w:lang w:eastAsia="zh-CN"/>
        </w:rPr>
        <w:t>货物</w:t>
      </w:r>
      <w:r>
        <w:rPr>
          <w:rFonts w:hint="eastAsia" w:ascii="仿宋_GB2312" w:hAnsi="仿宋_GB2312" w:eastAsia="仿宋_GB2312" w:cs="仿宋_GB2312"/>
          <w:color w:val="auto"/>
          <w:sz w:val="28"/>
          <w:szCs w:val="28"/>
          <w:highlight w:val="none"/>
        </w:rPr>
        <w:t>，本项目是院内日常办公需求产生的每月零星</w:t>
      </w:r>
      <w:r>
        <w:rPr>
          <w:rFonts w:hint="eastAsia" w:ascii="仿宋_GB2312" w:hAnsi="仿宋_GB2312" w:eastAsia="仿宋_GB2312" w:cs="仿宋_GB2312"/>
          <w:color w:val="auto"/>
          <w:sz w:val="28"/>
          <w:szCs w:val="28"/>
          <w:highlight w:val="none"/>
          <w:lang w:eastAsia="zh-CN"/>
        </w:rPr>
        <w:t>货物</w:t>
      </w:r>
      <w:r>
        <w:rPr>
          <w:rFonts w:hint="eastAsia" w:ascii="仿宋_GB2312" w:hAnsi="仿宋_GB2312" w:eastAsia="仿宋_GB2312" w:cs="仿宋_GB2312"/>
          <w:color w:val="auto"/>
          <w:sz w:val="28"/>
          <w:szCs w:val="28"/>
          <w:highlight w:val="none"/>
        </w:rPr>
        <w:t>购置。</w:t>
      </w:r>
      <w:r>
        <w:rPr>
          <w:rFonts w:hint="eastAsia" w:ascii="仿宋_GB2312" w:hAnsi="仿宋_GB2312" w:eastAsia="仿宋_GB2312" w:cs="仿宋_GB2312"/>
          <w:color w:val="auto"/>
          <w:sz w:val="28"/>
          <w:szCs w:val="28"/>
          <w:highlight w:val="none"/>
          <w:lang w:val="en-US" w:eastAsia="zh-CN"/>
        </w:rPr>
        <w:t>供应商自行考虑批发与零售价格的区别。</w:t>
      </w:r>
    </w:p>
    <w:p w14:paraId="4C6C2798">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供应商承担货物搬运上楼费用，供应商服务区域涉及总务库房（3楼、步梯）、门诊大楼（10层、可用1部电梯）、内科大楼（14层、可用1部电梯搬货）、外科大楼（19层、可用1部电梯搬货）、感染科楼、发热门诊等。</w:t>
      </w:r>
    </w:p>
    <w:p w14:paraId="09D11076">
      <w:pPr>
        <w:pStyle w:val="12"/>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3AD158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54800元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伍万肆仟捌佰元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1548288B">
      <w:pPr>
        <w:pStyle w:val="20"/>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要求供应商</w:t>
      </w:r>
      <w:r>
        <w:rPr>
          <w:rFonts w:hint="eastAsia" w:ascii="仿宋_GB2312" w:hAnsi="仿宋_GB2312" w:eastAsia="仿宋_GB2312" w:cs="仿宋_GB2312"/>
          <w:color w:val="auto"/>
          <w:sz w:val="28"/>
          <w:szCs w:val="28"/>
          <w:highlight w:val="none"/>
          <w:lang w:val="en-US" w:eastAsia="zh-CN"/>
        </w:rPr>
        <w:t>在合同履约期内</w:t>
      </w:r>
      <w:r>
        <w:rPr>
          <w:rFonts w:hint="eastAsia" w:ascii="仿宋_GB2312" w:hAnsi="仿宋_GB2312" w:eastAsia="仿宋_GB2312" w:cs="仿宋_GB2312"/>
          <w:color w:val="auto"/>
          <w:sz w:val="28"/>
          <w:szCs w:val="28"/>
          <w:highlight w:val="none"/>
          <w:lang w:val="en-US"/>
        </w:rPr>
        <w:t>按本文件要求</w:t>
      </w:r>
      <w:r>
        <w:rPr>
          <w:rFonts w:hint="eastAsia" w:ascii="仿宋_GB2312" w:hAnsi="仿宋_GB2312" w:eastAsia="仿宋_GB2312" w:cs="仿宋_GB2312"/>
          <w:color w:val="auto"/>
          <w:sz w:val="28"/>
          <w:szCs w:val="28"/>
          <w:highlight w:val="none"/>
          <w:lang w:val="en-US" w:eastAsia="zh-CN"/>
        </w:rPr>
        <w:t>提供货物及组装、按采购人需求进行货物配送</w:t>
      </w:r>
      <w:r>
        <w:rPr>
          <w:rFonts w:hint="eastAsia" w:ascii="仿宋_GB2312" w:hAnsi="仿宋_GB2312" w:eastAsia="仿宋_GB2312" w:cs="仿宋_GB2312"/>
          <w:color w:val="auto"/>
          <w:sz w:val="28"/>
          <w:szCs w:val="28"/>
          <w:highlight w:val="none"/>
          <w:lang w:val="en-US"/>
        </w:rPr>
        <w:t>到采购人院内指定地点，</w:t>
      </w:r>
      <w:r>
        <w:rPr>
          <w:rFonts w:hint="eastAsia" w:ascii="仿宋_GB2312" w:hAnsi="仿宋_GB2312" w:eastAsia="仿宋_GB2312" w:cs="仿宋_GB2312"/>
          <w:color w:val="auto"/>
          <w:sz w:val="28"/>
          <w:szCs w:val="28"/>
        </w:rPr>
        <w:t>同时根据采购人需要提供</w:t>
      </w:r>
      <w:r>
        <w:rPr>
          <w:rFonts w:hint="eastAsia" w:ascii="仿宋_GB2312" w:hAnsi="仿宋_GB2312" w:eastAsia="仿宋_GB2312" w:cs="仿宋_GB2312"/>
          <w:color w:val="auto"/>
          <w:sz w:val="28"/>
          <w:szCs w:val="28"/>
          <w:lang w:val="en-US" w:eastAsia="zh-CN"/>
        </w:rPr>
        <w:t>货物相应配套</w:t>
      </w:r>
      <w:r>
        <w:rPr>
          <w:rFonts w:hint="eastAsia" w:ascii="仿宋_GB2312" w:hAnsi="仿宋_GB2312" w:eastAsia="仿宋_GB2312" w:cs="仿宋_GB2312"/>
          <w:color w:val="auto"/>
          <w:sz w:val="28"/>
          <w:szCs w:val="28"/>
        </w:rPr>
        <w:t>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对破损的货物包退换，不再额外收取费用。</w:t>
      </w: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536"/>
        <w:gridCol w:w="4090"/>
        <w:gridCol w:w="1444"/>
        <w:gridCol w:w="1705"/>
      </w:tblGrid>
      <w:tr w14:paraId="77DA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1" w:type="pct"/>
            <w:tcBorders>
              <w:top w:val="single" w:color="auto" w:sz="4" w:space="0"/>
              <w:left w:val="single" w:color="auto" w:sz="4" w:space="0"/>
              <w:bottom w:val="nil"/>
              <w:right w:val="nil"/>
            </w:tcBorders>
            <w:shd w:val="clear" w:color="auto" w:fill="auto"/>
            <w:vAlign w:val="center"/>
          </w:tcPr>
          <w:p w14:paraId="3279E1A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771" w:type="pct"/>
            <w:tcBorders>
              <w:top w:val="single" w:color="auto" w:sz="4" w:space="0"/>
              <w:left w:val="single" w:color="000000" w:sz="4" w:space="0"/>
              <w:bottom w:val="nil"/>
              <w:right w:val="single" w:color="000000" w:sz="4" w:space="0"/>
            </w:tcBorders>
            <w:shd w:val="clear" w:color="auto" w:fill="auto"/>
            <w:vAlign w:val="center"/>
          </w:tcPr>
          <w:p w14:paraId="7B28B9A9">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品名</w:t>
            </w:r>
          </w:p>
        </w:tc>
        <w:tc>
          <w:tcPr>
            <w:tcW w:w="2054" w:type="pct"/>
            <w:tcBorders>
              <w:top w:val="single" w:color="000000" w:sz="4" w:space="0"/>
              <w:left w:val="single" w:color="000000" w:sz="4" w:space="0"/>
              <w:bottom w:val="nil"/>
              <w:right w:val="single" w:color="000000" w:sz="4" w:space="0"/>
            </w:tcBorders>
            <w:shd w:val="clear" w:color="auto" w:fill="auto"/>
            <w:noWrap/>
            <w:vAlign w:val="center"/>
          </w:tcPr>
          <w:p w14:paraId="6BA197C6">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主要技术要求</w:t>
            </w:r>
          </w:p>
        </w:tc>
        <w:tc>
          <w:tcPr>
            <w:tcW w:w="725" w:type="pct"/>
            <w:tcBorders>
              <w:top w:val="single" w:color="000000" w:sz="4" w:space="0"/>
              <w:left w:val="single" w:color="000000" w:sz="4" w:space="0"/>
              <w:bottom w:val="nil"/>
              <w:right w:val="single" w:color="000000" w:sz="4" w:space="0"/>
            </w:tcBorders>
            <w:shd w:val="clear" w:color="auto" w:fill="auto"/>
            <w:noWrap/>
            <w:vAlign w:val="center"/>
          </w:tcPr>
          <w:p w14:paraId="329B644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计价单位</w:t>
            </w:r>
          </w:p>
        </w:tc>
        <w:tc>
          <w:tcPr>
            <w:tcW w:w="856" w:type="pct"/>
            <w:tcBorders>
              <w:top w:val="single" w:color="000000" w:sz="4" w:space="0"/>
              <w:left w:val="single" w:color="000000" w:sz="4" w:space="0"/>
              <w:bottom w:val="nil"/>
              <w:right w:val="single" w:color="000000" w:sz="4" w:space="0"/>
            </w:tcBorders>
            <w:shd w:val="clear" w:color="auto" w:fill="auto"/>
            <w:noWrap/>
            <w:vAlign w:val="center"/>
          </w:tcPr>
          <w:p w14:paraId="4174373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单价最高限价</w:t>
            </w:r>
          </w:p>
          <w:p w14:paraId="5C85371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（元）</w:t>
            </w:r>
          </w:p>
        </w:tc>
      </w:tr>
      <w:tr w14:paraId="48BE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F2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B2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六类网线水晶头</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649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支持语音、数据、视频信号高速传输</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符合ANSI/TIA-568.2-D和ISO/IEC11801-2017 标准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采用三叉簧片设计、磷青铜镀金材料，插拔次数不小于1000次</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34D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100颗/包</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E6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w:t>
            </w:r>
          </w:p>
        </w:tc>
      </w:tr>
      <w:tr w14:paraId="6591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B30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EDE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六类千兆网线</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693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支持语音、数据、视频信号高速传输</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 PoE/PoE+/PoE++</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导体直径：0.57±0.02mm(23AWG)</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绝缘材料：实心PE</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护套材料：PVC/LSZH</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提供电缆长度标记，可提供多种阻燃等级（成束燃烧、单根垂直燃烧、B1/B2级阻燃、CM/CMR等）</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线对间用十字骨架隔离，有效地降低了串扰，增加了结构稳定性</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符合ANSI/TIA-568.2-D 250MHz测试并可扩展至350MHz</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B7F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100米</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0A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270</w:t>
            </w:r>
          </w:p>
        </w:tc>
      </w:tr>
      <w:tr w14:paraId="2741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C3D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226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壁挂</w:t>
            </w:r>
          </w:p>
          <w:p w14:paraId="5187BC1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电话机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8532">
            <w:pPr>
              <w:keepNext w:val="0"/>
              <w:keepLines w:val="0"/>
              <w:widowControl/>
              <w:suppressLineNumbers w:val="0"/>
              <w:spacing w:line="240" w:lineRule="auto"/>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中诺A061</w:t>
            </w:r>
          </w:p>
          <w:p w14:paraId="4A429F63">
            <w:pPr>
              <w:keepNext w:val="0"/>
              <w:keepLines w:val="0"/>
              <w:widowControl/>
              <w:suppressLineNumbers w:val="0"/>
              <w:spacing w:line="24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壁挂固定有绳电话座机</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手柄按键一体化设计，支持一键静音、一键重拨</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D54">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E17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35</w:t>
            </w:r>
          </w:p>
        </w:tc>
      </w:tr>
      <w:tr w14:paraId="4A59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F9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EE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电脑KVM切换器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1DB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毕亚兹</w:t>
            </w:r>
          </w:p>
          <w:p w14:paraId="2983CF3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KVM USB二进一出切换器，输入端PC*2、USB*2，输出端PC、USB母*2，免驱动即插即用</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支持1920*1440、1920*1080分辨率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A9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237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90</w:t>
            </w:r>
          </w:p>
        </w:tc>
      </w:tr>
      <w:tr w14:paraId="3C62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9DE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F1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TPlink 5口交换机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EC5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金属外壳</w:t>
            </w:r>
          </w:p>
          <w:p w14:paraId="798872A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端口数量：5个10/100/1000Mbps RJ45端口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每端口具有1个Link/Ack指示灯</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每设备具有1个Power指示灯</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存储转发：支持2K的MAC地址表深度</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网络标准：IEEE 802.3 、IEEE 802.3u、IEEE 802.3ab、IEEE 802.3x</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6C2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235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65</w:t>
            </w:r>
          </w:p>
        </w:tc>
      </w:tr>
      <w:tr w14:paraId="41AE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345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CA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TPlink 8口交换机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7F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金属外壳</w:t>
            </w:r>
          </w:p>
          <w:p w14:paraId="2652CEE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端口数量：8个10/100M/1000M自适应RJ45端口（Auto MDI/MDIX）</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LED ：10/100（LINK/ACT），Power（电源）</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网络介质：（10Base-T）3类或3类以上UTP,(100Base-TX)5类UTP</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MAC地址表：2K</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协议标准：IEEE 802.3、IEEE 802.3u、IEEE 802.3x</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323">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C0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115</w:t>
            </w:r>
          </w:p>
        </w:tc>
      </w:tr>
      <w:tr w14:paraId="0686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05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130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1200无线路由器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90F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睿易RG-EW</w:t>
            </w:r>
          </w:p>
          <w:p w14:paraId="7E95C60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端口数量：1个WAN口，3个LAN口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带宽：10/100/1000 Mbps自适应以太网接口，不支持带宽叠加</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整机支持24个终端线</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Mesh：支持</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 xml:space="preserve">无线协议：Wi-Fi4:IEEE 802.11a/b/g/n，Wi-Fi5:IEEE 802.11ac,11ac Wave2 </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无线速率：≤1167 Mbps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工作频段：2.4GHz和5GHz</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IPX0平均无故障时间（MTBF）：≥25000H</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20D7">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E60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160</w:t>
            </w:r>
          </w:p>
        </w:tc>
      </w:tr>
      <w:tr w14:paraId="7FDA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4A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364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3000GX无线路由器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BF5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睿易RG-EW</w:t>
            </w:r>
          </w:p>
          <w:p w14:paraId="31F462B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推荐带宽：1000Mbps，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内存：256MB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支持带宽叠加、支持应用识别</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接口：5个10/100/1000 Mbps自适应以太网接口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WAN/LAN切换：支持1个WAN口，4个LAN口，最大支持2个WAN口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无线协议：支持802.11a/n/ac/ax和802.11b/g/n/ax</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工作频段：2.4GHz和5GHz</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IPX0平均无故障时间（MTBF）：≥25000H</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67B7">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71B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4ABA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19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8E4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有线光电鼠标</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A2A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双飞燕</w:t>
            </w:r>
          </w:p>
          <w:p w14:paraId="7CFB63D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鼠标类型：有线光电</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接口类型：USB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工作方式：光电（针光）</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人体工学：对称设计</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按键数：3个</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滚轮方向：四向滚轮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线长：1.5m</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3D5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DFB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50</w:t>
            </w:r>
          </w:p>
        </w:tc>
      </w:tr>
      <w:tr w14:paraId="0EA4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FE7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C57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有线键盘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3CA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双飞燕</w:t>
            </w:r>
          </w:p>
          <w:p w14:paraId="26C60E4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键盘类别：有线</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接口类型：USB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键盘按键数：104键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按键技术：火山口架构</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按键行程：中</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人体工学：支持</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防水功能：支持</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42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9B8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60</w:t>
            </w:r>
          </w:p>
        </w:tc>
      </w:tr>
      <w:tr w14:paraId="392C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0B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527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16G优盘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69B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存储容量：16GB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E3B">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8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20</w:t>
            </w:r>
          </w:p>
        </w:tc>
      </w:tr>
      <w:tr w14:paraId="1388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89A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4B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32G优盘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7FB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存储容量：32GB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03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7D8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45</w:t>
            </w:r>
          </w:p>
        </w:tc>
      </w:tr>
      <w:tr w14:paraId="07A8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8A1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3EF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64G优盘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105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存储容量：64GB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E6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942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65</w:t>
            </w:r>
          </w:p>
        </w:tc>
      </w:tr>
      <w:tr w14:paraId="1777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CC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0FC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128G优盘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4F0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存储容量：128GB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366">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8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90</w:t>
            </w:r>
          </w:p>
        </w:tc>
      </w:tr>
      <w:tr w14:paraId="5D9D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F63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C074">
            <w:pPr>
              <w:keepNext w:val="0"/>
              <w:keepLines w:val="0"/>
              <w:widowControl/>
              <w:suppressLineNumbers w:val="0"/>
              <w:tabs>
                <w:tab w:val="left" w:pos="479"/>
              </w:tabs>
              <w:spacing w:line="240" w:lineRule="auto"/>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U盘扩展口</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F4D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输入端：USB3.0A</w:t>
            </w:r>
          </w:p>
          <w:p w14:paraId="239BE4D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输出端：4xUSB 3.0A</w:t>
            </w:r>
          </w:p>
          <w:p w14:paraId="459F573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USB 规格：USB 3.0标准，传输速率 5Gbps</w:t>
            </w:r>
          </w:p>
          <w:p w14:paraId="76BEC4E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USB-C供电接口：5V/2A</w:t>
            </w:r>
          </w:p>
          <w:p w14:paraId="5C8FB63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支持系统：window7，window8，window10，MAC，支持麒麟、统信等主流国产操作系统</w:t>
            </w:r>
          </w:p>
          <w:p w14:paraId="575A265E">
            <w:pPr>
              <w:pStyle w:val="2"/>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线长不低于1米</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1B4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251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40</w:t>
            </w:r>
          </w:p>
        </w:tc>
      </w:tr>
      <w:tr w14:paraId="0B54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21E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71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1TB移动</w:t>
            </w:r>
          </w:p>
          <w:p w14:paraId="40C9843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硬盘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07B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产品类型：移动硬盘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存储容量：1TB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硬盘尺寸：2.5英寸</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外部输出接口：USB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E54">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A47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420</w:t>
            </w:r>
          </w:p>
        </w:tc>
      </w:tr>
      <w:tr w14:paraId="2C8F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A6A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F1C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2TB移动</w:t>
            </w:r>
          </w:p>
          <w:p w14:paraId="651ADC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硬盘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8BD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产品类型：移动硬盘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存储容量：2TB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硬盘尺寸：2.5英寸</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外部输出接口：USB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1B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87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540</w:t>
            </w:r>
          </w:p>
        </w:tc>
      </w:tr>
      <w:tr w14:paraId="59F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584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7E8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网络跳线2M</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743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线缆长度：≥2m</w:t>
            </w:r>
          </w:p>
          <w:p w14:paraId="04DC410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电缆护套材料：聚氯乙烯</w:t>
            </w:r>
          </w:p>
          <w:p w14:paraId="24D2D11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绝缘材料：高密度聚乙烯</w:t>
            </w:r>
          </w:p>
          <w:p w14:paraId="149F351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导体材料：无氧圆铜，多股绞合线</w:t>
            </w:r>
          </w:p>
          <w:p w14:paraId="4CA6C4F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插头材料：阻燃透明聚碳酸酯</w:t>
            </w:r>
          </w:p>
          <w:p w14:paraId="084E37D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插头护套：聚氯乙烯</w:t>
            </w:r>
          </w:p>
          <w:p w14:paraId="269F3260">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簧片材料：铜表面镀金</w:t>
            </w:r>
          </w:p>
          <w:p w14:paraId="120CDF2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插拔次数：≥1000次</w:t>
            </w:r>
          </w:p>
          <w:p w14:paraId="6AB0692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使用温度：-20℃~﹢60℃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84A">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699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10</w:t>
            </w:r>
          </w:p>
        </w:tc>
      </w:tr>
      <w:tr w14:paraId="22B8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E83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2BE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网络跳线3M</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295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线缆长度：≥3m</w:t>
            </w:r>
          </w:p>
          <w:p w14:paraId="70AD022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电缆护套材料：聚氯乙烯</w:t>
            </w:r>
          </w:p>
          <w:p w14:paraId="5205229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绝缘材料：高密度聚乙烯</w:t>
            </w:r>
          </w:p>
          <w:p w14:paraId="7B9D1C4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导体材料：无氧圆铜，多股绞合线</w:t>
            </w:r>
          </w:p>
          <w:p w14:paraId="40162A1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插头材料：阻燃透明聚碳酸酯</w:t>
            </w:r>
          </w:p>
          <w:p w14:paraId="65A8E9B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插头护套：聚氯乙烯</w:t>
            </w:r>
          </w:p>
          <w:p w14:paraId="37146A7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簧片材料：铜表面镀金</w:t>
            </w:r>
          </w:p>
          <w:p w14:paraId="1EE8BF5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插拔次数：≥1000次</w:t>
            </w:r>
          </w:p>
          <w:p w14:paraId="79E7FAE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使用温度：-20℃~﹢60℃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2F5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BE9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15</w:t>
            </w:r>
          </w:p>
        </w:tc>
      </w:tr>
      <w:tr w14:paraId="748F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F07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F75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得力手持式扫码枪</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837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设备类型：条码扫描器</w:t>
            </w:r>
          </w:p>
          <w:p w14:paraId="4B163E4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扫描方式：影像式</w:t>
            </w:r>
          </w:p>
          <w:p w14:paraId="7CCD82A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光源：红光LED，白光LED</w:t>
            </w:r>
          </w:p>
          <w:p w14:paraId="764B208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接口：USB</w:t>
            </w:r>
          </w:p>
          <w:p w14:paraId="59EA7F0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识读码制：一维码，二维码</w:t>
            </w:r>
          </w:p>
          <w:p w14:paraId="4F8D194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识读性能：自动/手动</w:t>
            </w:r>
          </w:p>
          <w:p w14:paraId="3496627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扫描精度：一维码≥4.7mil，二维码≥10mil</w:t>
            </w:r>
          </w:p>
          <w:p w14:paraId="758296E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提示方式：蜂鸣器、指示灯</w:t>
            </w:r>
          </w:p>
          <w:p w14:paraId="682AA28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工作电流：200mA</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15F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BC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1D40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126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460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固定式</w:t>
            </w:r>
          </w:p>
          <w:p w14:paraId="09159F9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扫码墩</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9B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：数</w:t>
            </w:r>
            <w:r>
              <w:rPr>
                <w:rFonts w:hint="eastAsia" w:ascii="仿宋_GB2312" w:hAnsi="仿宋_GB2312" w:eastAsia="仿宋_GB2312" w:cs="仿宋_GB2312"/>
                <w:color w:val="auto"/>
                <w:sz w:val="24"/>
                <w:szCs w:val="24"/>
              </w:rPr>
              <w:t>码扫描器</w:t>
            </w:r>
          </w:p>
          <w:p w14:paraId="6D40E67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CMOS</w:t>
            </w:r>
          </w:p>
          <w:p w14:paraId="22A43AF9">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分辨率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≥640×480</w:t>
            </w:r>
          </w:p>
          <w:p w14:paraId="369491DD">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白光LED</w:t>
            </w:r>
          </w:p>
          <w:p w14:paraId="2DB13D2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扫描角度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水平≥69.5°，垂直≥54.8°</w:t>
            </w:r>
          </w:p>
          <w:p w14:paraId="2E55D67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w:t>
            </w:r>
          </w:p>
          <w:p w14:paraId="2BBDAA4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识读码制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PDF417，QR Code，Data Matrix，Micro QR</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Code 128，Code 11，GSI-128（UCC/EAN-128），EAN-8，EAN-13，UPC-A，UPC-E，AM128，Codabar，ISSN，ISBN，Interleaved 2 of 5，Matrix 2 of 5，MSI-Plessey，GSI Databar</w:t>
            </w:r>
          </w:p>
          <w:p w14:paraId="035BECD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≥4mil</w:t>
            </w:r>
          </w:p>
          <w:p w14:paraId="7D848F34">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机械/电气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静电释放±8kV（空气放电）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±4kV（直接放电）</w:t>
            </w:r>
          </w:p>
          <w:p w14:paraId="46D4A7C5">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提示方式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提示音，LED</w:t>
            </w:r>
          </w:p>
          <w:p w14:paraId="2A356785">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工作温度：-20-60℃，储存温度：-40-70℃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483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9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390</w:t>
            </w:r>
          </w:p>
        </w:tc>
      </w:tr>
      <w:tr w14:paraId="0330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6A4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4D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二维码</w:t>
            </w:r>
          </w:p>
          <w:p w14:paraId="4286B5A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扫码墩</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7A4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：数</w:t>
            </w:r>
            <w:r>
              <w:rPr>
                <w:rFonts w:hint="eastAsia" w:ascii="仿宋_GB2312" w:hAnsi="仿宋_GB2312" w:eastAsia="仿宋_GB2312" w:cs="仿宋_GB2312"/>
                <w:color w:val="auto"/>
                <w:sz w:val="24"/>
                <w:szCs w:val="24"/>
              </w:rPr>
              <w:t>码扫描器</w:t>
            </w:r>
          </w:p>
          <w:p w14:paraId="5207CE3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CMOS</w:t>
            </w:r>
          </w:p>
          <w:p w14:paraId="7C0F124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分辨率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≥640×480</w:t>
            </w:r>
          </w:p>
          <w:p w14:paraId="426F7731">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白光LED</w:t>
            </w:r>
          </w:p>
          <w:p w14:paraId="33858EB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扫描角度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水平≥69.5°，垂直≥54.8°</w:t>
            </w:r>
          </w:p>
          <w:p w14:paraId="6C57AE9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w:t>
            </w:r>
          </w:p>
          <w:p w14:paraId="5CF0B9F6">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识读码制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PDF417，QR Code，Data Matrix，Micro QR</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Code 128，Code 11，GSI-128（UCC/EAN-128），EAN-8，EAN-13，UPC-A，UPC-E，AM128，Codabar，ISSN，ISBN，Interleaved 2 of 5，Matrix 2 of 5，MSI-Plessey，GSI Databar</w:t>
            </w:r>
          </w:p>
          <w:p w14:paraId="59D6B23F">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≥4mil</w:t>
            </w:r>
          </w:p>
          <w:p w14:paraId="24429801">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机械/电气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静电释放±8kV（空气放电）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±4kV（直接放电）</w:t>
            </w:r>
          </w:p>
          <w:p w14:paraId="2019220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提示方式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提示音，LED</w:t>
            </w:r>
          </w:p>
          <w:p w14:paraId="2C00E151">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工作温度：-20-60℃，储存温度：-40-70℃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48B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B6D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21C7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34F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7E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身份证</w:t>
            </w:r>
          </w:p>
          <w:p w14:paraId="5756673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识别器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B73D">
            <w:pPr>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新中新</w:t>
            </w:r>
          </w:p>
          <w:p w14:paraId="7EDF1BCA">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指纹身份证阅读器</w:t>
            </w:r>
          </w:p>
          <w:p w14:paraId="48DC15DD">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射频技术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符合公安部GA450《台式居民身份证阅读器通用技术条件》和GA/T1011《居民身份证指纹采集器通用技术条件》标准以及ISO14443（Type B）国际标准</w:t>
            </w:r>
          </w:p>
          <w:p w14:paraId="31C7888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工作频率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13.56MHz±7KHz</w:t>
            </w:r>
          </w:p>
          <w:p w14:paraId="444125E7">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读卡距离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≥30mm</w:t>
            </w:r>
          </w:p>
          <w:p w14:paraId="3A92FC4F">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阅读时间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≤1s</w:t>
            </w:r>
          </w:p>
          <w:p w14:paraId="3F557306">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产品接口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USB2.0</w:t>
            </w:r>
          </w:p>
          <w:p w14:paraId="67CA8F65">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操作系统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Windows 2000/XP/7</w:t>
            </w:r>
            <w:r>
              <w:rPr>
                <w:rFonts w:hint="eastAsia" w:ascii="仿宋_GB2312" w:hAnsi="仿宋_GB2312" w:eastAsia="仿宋_GB2312" w:cs="仿宋_GB2312"/>
                <w:color w:val="auto"/>
                <w:sz w:val="24"/>
                <w:szCs w:val="24"/>
                <w:lang w:val="en-US" w:eastAsia="zh-CN"/>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2A7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8D1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930</w:t>
            </w:r>
          </w:p>
        </w:tc>
      </w:tr>
    </w:tbl>
    <w:p w14:paraId="6584322C">
      <w:pPr>
        <w:keepNext w:val="0"/>
        <w:keepLines w:val="0"/>
        <w:pageBreakBefore w:val="0"/>
        <w:tabs>
          <w:tab w:val="left" w:pos="3120"/>
        </w:tabs>
        <w:kinsoku/>
        <w:wordWrap/>
        <w:overflowPunct/>
        <w:topLinePunct w:val="0"/>
        <w:bidi w:val="0"/>
        <w:adjustRightInd/>
        <w:snapToGrid/>
        <w:spacing w:line="360" w:lineRule="auto"/>
        <w:textAlignment w:val="auto"/>
        <w:rPr>
          <w:rFonts w:hint="eastAsia" w:ascii="仿宋_GB2312" w:hAnsi="仿宋_GB2312" w:eastAsia="仿宋_GB2312" w:cs="仿宋_GB2312"/>
          <w:b/>
          <w:bCs/>
          <w:color w:val="auto"/>
          <w:kern w:val="0"/>
          <w:sz w:val="28"/>
          <w:szCs w:val="28"/>
          <w:lang w:val="en-US" w:eastAsia="zh-CN"/>
        </w:rPr>
      </w:pP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6A3F2B0">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49371E2E">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2、本项目为院内自主采购，非政府采购行为，本</w:t>
      </w:r>
      <w:r>
        <w:rPr>
          <w:rFonts w:hint="eastAsia" w:ascii="仿宋_GB2312" w:hAnsi="仿宋_GB2312" w:eastAsia="仿宋_GB2312" w:cs="仿宋_GB2312"/>
          <w:color w:val="auto"/>
          <w:sz w:val="28"/>
          <w:szCs w:val="28"/>
          <w:u w:val="single"/>
          <w:lang w:val="en-US" w:eastAsia="zh-CN"/>
        </w:rPr>
        <w:t>项目</w:t>
      </w:r>
      <w:r>
        <w:rPr>
          <w:rFonts w:hint="eastAsia" w:ascii="仿宋_GB2312" w:hAnsi="仿宋_GB2312" w:eastAsia="仿宋_GB2312" w:cs="仿宋_GB2312"/>
          <w:color w:val="auto"/>
          <w:sz w:val="28"/>
          <w:szCs w:val="28"/>
          <w:u w:val="single"/>
        </w:rPr>
        <w:t>所列品牌，潜在供应商应提供该品牌货物的报价，或等于或优于采购人所列品牌货物的同类产品报价进行响应。</w:t>
      </w:r>
    </w:p>
    <w:p w14:paraId="74317ED7">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外观必须整洁，符合该</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固有性状，不得有异常气味与异物，及其他缺陷，不得对</w:t>
      </w:r>
      <w:r>
        <w:rPr>
          <w:rFonts w:hint="eastAsia" w:ascii="仿宋_GB2312" w:hAnsi="仿宋_GB2312" w:eastAsia="仿宋_GB2312" w:cs="仿宋_GB2312"/>
          <w:color w:val="auto"/>
          <w:sz w:val="28"/>
          <w:szCs w:val="28"/>
          <w:lang w:val="en-US" w:eastAsia="zh-CN"/>
        </w:rPr>
        <w:t>人体</w:t>
      </w:r>
      <w:r>
        <w:rPr>
          <w:rFonts w:hint="eastAsia" w:ascii="仿宋_GB2312" w:hAnsi="仿宋_GB2312" w:eastAsia="仿宋_GB2312" w:cs="仿宋_GB2312"/>
          <w:color w:val="auto"/>
          <w:sz w:val="28"/>
          <w:szCs w:val="28"/>
        </w:rPr>
        <w:t>产生不良刺激与过敏反应及其他损害作用。</w:t>
      </w:r>
    </w:p>
    <w:p w14:paraId="3AA43740">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4、供应商提供的货物应为原厂原装、未拆封全新货物，不得提供翻新、组装货物，供应商提供的货物要能在采购人处信息设备上正常使用，不能正常使用的供应商应进行更换。</w:t>
      </w:r>
    </w:p>
    <w:p w14:paraId="5A5BD017">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w:t>
      </w:r>
    </w:p>
    <w:p w14:paraId="1D8806B9">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02898C12">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、其他要求</w:t>
      </w:r>
    </w:p>
    <w:p w14:paraId="0425285E">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_GB2312" w:hAnsi="仿宋_GB2312" w:eastAsia="仿宋_GB2312" w:cs="仿宋_GB2312"/>
          <w:color w:val="auto"/>
          <w:kern w:val="0"/>
          <w:sz w:val="28"/>
          <w:szCs w:val="28"/>
          <w:highlight w:val="none"/>
          <w:lang w:val="en-US" w:eastAsia="zh-CN"/>
        </w:rPr>
        <w:t>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p>
    <w:p w14:paraId="34493EE0">
      <w:pPr>
        <w:pStyle w:val="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2、交货时间</w:t>
      </w:r>
      <w:r>
        <w:rPr>
          <w:rFonts w:hint="eastAsia" w:ascii="仿宋_GB2312" w:hAnsi="仿宋_GB2312" w:eastAsia="仿宋_GB2312" w:cs="仿宋_GB2312"/>
          <w:color w:val="auto"/>
          <w:sz w:val="28"/>
          <w:szCs w:val="28"/>
        </w:rPr>
        <w:t>：接采购人通知后，</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小时内将该批次货物送</w:t>
      </w:r>
      <w:r>
        <w:rPr>
          <w:rFonts w:hint="eastAsia" w:ascii="仿宋_GB2312" w:hAnsi="仿宋_GB2312" w:eastAsia="仿宋_GB2312" w:cs="仿宋_GB2312"/>
          <w:color w:val="auto"/>
          <w:sz w:val="28"/>
          <w:szCs w:val="28"/>
          <w:lang w:eastAsia="zh-CN"/>
        </w:rPr>
        <w:t>达</w:t>
      </w:r>
      <w:r>
        <w:rPr>
          <w:rFonts w:hint="eastAsia" w:ascii="仿宋_GB2312" w:hAnsi="仿宋_GB2312" w:eastAsia="仿宋_GB2312" w:cs="仿宋_GB2312"/>
          <w:color w:val="auto"/>
          <w:sz w:val="28"/>
          <w:szCs w:val="28"/>
        </w:rPr>
        <w:t>采购人院内指定地点。</w:t>
      </w:r>
    </w:p>
    <w:p w14:paraId="66D7A29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36E4891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3、供应商应将货物配送到采购人指定的院内任意地点接受采购人验货，并将该批货物的产品检验报告资料和合格证等资料，移交至采购人职能科室工作人员。</w:t>
      </w:r>
    </w:p>
    <w:p w14:paraId="3B9E7E5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6A3243DE">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未提供全流程服务视为供应商违约。供应商不得随意变更接洽人员。</w:t>
      </w:r>
    </w:p>
    <w:p w14:paraId="39645EF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5、提供合同履约期间货物会计数据统计工作，每月以电子文档形式将当月所有配送货物的时间、品名、规格、数量、单价、金额、所属科室等数据发送至采购人相关工作人员存档。</w:t>
      </w:r>
    </w:p>
    <w:p w14:paraId="2C962C4C">
      <w:pPr>
        <w:pStyle w:val="12"/>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6、提供因货物不符合</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5F897925">
      <w:pPr>
        <w:pStyle w:val="17"/>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7、供应商需要根据采购人的日常工作使用情况做好货物的备品工作，确保货源稳定，节假日不能断供。</w:t>
      </w:r>
    </w:p>
    <w:p w14:paraId="6166A788">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14:paraId="3D0625B0">
      <w:pPr>
        <w:pStyle w:val="16"/>
        <w:keepNext w:val="0"/>
        <w:keepLines w:val="0"/>
        <w:pageBreakBefore w:val="0"/>
        <w:kinsoku/>
        <w:wordWrap/>
        <w:overflowPunct/>
        <w:topLinePunct w:val="0"/>
        <w:bidi w:val="0"/>
        <w:adjustRightInd/>
        <w:snapToGrid/>
        <w:spacing w:line="360" w:lineRule="auto"/>
        <w:ind w:left="420" w:leftChars="200" w:firstLine="281"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4E875E02">
      <w:pPr>
        <w:pStyle w:val="20"/>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4EE5200">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1、双方签订采购合同生效之日起，合同履行期限不超过18个月。</w:t>
      </w:r>
    </w:p>
    <w:p w14:paraId="6F81A84F">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3BFC9CA6">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477DB9E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503EF338">
      <w:pPr>
        <w:pStyle w:val="12"/>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2D078561">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2A30AB1C">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368A8E1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w:t>
      </w:r>
      <w:r>
        <w:rPr>
          <w:rFonts w:hint="eastAsia" w:ascii="仿宋_GB2312" w:hAnsi="仿宋_GB2312" w:eastAsia="仿宋_GB2312" w:cs="仿宋_GB2312"/>
          <w:color w:val="auto"/>
          <w:sz w:val="28"/>
          <w:szCs w:val="28"/>
          <w:lang w:val="en-US" w:eastAsia="zh-CN"/>
        </w:rPr>
        <w:t>结算</w:t>
      </w:r>
      <w:r>
        <w:rPr>
          <w:rFonts w:hint="eastAsia" w:ascii="仿宋_GB2312" w:hAnsi="仿宋_GB2312" w:eastAsia="仿宋_GB2312" w:cs="仿宋_GB2312"/>
          <w:color w:val="auto"/>
          <w:sz w:val="28"/>
          <w:szCs w:val="28"/>
        </w:rPr>
        <w:t>清单</w:t>
      </w:r>
      <w:r>
        <w:rPr>
          <w:rFonts w:hint="eastAsia" w:ascii="仿宋_GB2312" w:hAnsi="仿宋_GB2312" w:eastAsia="仿宋_GB2312" w:cs="仿宋_GB2312"/>
          <w:color w:val="auto"/>
          <w:sz w:val="28"/>
          <w:szCs w:val="28"/>
          <w:lang w:val="en-US" w:eastAsia="zh-CN"/>
        </w:rPr>
        <w:t>给采购人核对</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成交供应商的结算清单应清楚、准确、明晰，</w:t>
      </w:r>
      <w:r>
        <w:rPr>
          <w:rFonts w:hint="eastAsia" w:ascii="仿宋_GB2312" w:hAnsi="仿宋_GB2312" w:eastAsia="仿宋_GB2312" w:cs="仿宋_GB2312"/>
          <w:color w:val="auto"/>
          <w:sz w:val="28"/>
          <w:szCs w:val="28"/>
        </w:rPr>
        <w:t>成交供应商必须出具国家认可的足额有效发票，否则采购人有权拒绝付款。</w:t>
      </w:r>
    </w:p>
    <w:p w14:paraId="12B73052">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双方核对一致后，成交供应商才可开具发票。</w:t>
      </w:r>
      <w:r>
        <w:rPr>
          <w:rFonts w:hint="eastAsia" w:ascii="仿宋_GB2312" w:hAnsi="仿宋_GB2312" w:eastAsia="仿宋_GB2312" w:cs="仿宋_GB2312"/>
          <w:color w:val="auto"/>
          <w:sz w:val="28"/>
          <w:szCs w:val="28"/>
        </w:rPr>
        <w:t>每月采购人在收到成交供应商前款所述有效票据后，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日内转账支付成交供应商该批次货款。</w:t>
      </w:r>
    </w:p>
    <w:p w14:paraId="0BA9369E">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2257D94D">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表面无划伤、无碰撞痕迹，无损坏。</w:t>
      </w:r>
      <w:r>
        <w:rPr>
          <w:rFonts w:hint="eastAsia"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rPr>
        <w:t>包装应干净、结实、无破损、封口严密、方便储存、运输和使用。包装上必须标明品名、规格、生产厂家、出厂日期或质保期。</w:t>
      </w:r>
    </w:p>
    <w:p w14:paraId="2ED48FFC">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721905">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770224">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1、货物在质保期内出现质量问题，供应商应在采购人通知后</w:t>
      </w:r>
      <w:r>
        <w:rPr>
          <w:rFonts w:hint="eastAsia" w:ascii="仿宋_GB2312" w:hAnsi="仿宋_GB2312" w:eastAsia="仿宋_GB2312" w:cs="仿宋_GB2312"/>
          <w:color w:val="auto"/>
          <w:sz w:val="28"/>
          <w:szCs w:val="28"/>
          <w:lang w:eastAsia="zh-CN"/>
        </w:rPr>
        <w:t>24</w:t>
      </w:r>
      <w:r>
        <w:rPr>
          <w:rFonts w:hint="eastAsia" w:ascii="仿宋_GB2312" w:hAnsi="仿宋_GB2312" w:eastAsia="仿宋_GB2312" w:cs="仿宋_GB2312"/>
          <w:color w:val="auto"/>
          <w:sz w:val="28"/>
          <w:szCs w:val="28"/>
        </w:rPr>
        <w:t>小时内将货物更换，货物更换必须是等于或优于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要求的。</w:t>
      </w:r>
      <w:r>
        <w:rPr>
          <w:rFonts w:hint="eastAsia" w:ascii="仿宋_GB2312" w:hAnsi="仿宋_GB2312" w:eastAsia="仿宋_GB2312" w:cs="仿宋_GB2312"/>
          <w:color w:val="auto"/>
          <w:sz w:val="28"/>
          <w:szCs w:val="28"/>
          <w:lang w:eastAsia="zh-CN"/>
        </w:rPr>
        <w:t>24</w:t>
      </w:r>
      <w:r>
        <w:rPr>
          <w:rFonts w:hint="eastAsia" w:ascii="仿宋_GB2312" w:hAnsi="仿宋_GB2312" w:eastAsia="仿宋_GB2312" w:cs="仿宋_GB2312"/>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6217581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1E5C3B95">
      <w:pPr>
        <w:pStyle w:val="20"/>
        <w:keepNext w:val="0"/>
        <w:keepLines w:val="0"/>
        <w:pageBreakBefore w:val="0"/>
        <w:kinsoku/>
        <w:wordWrap/>
        <w:overflowPunct/>
        <w:topLinePunct w:val="0"/>
        <w:bidi w:val="0"/>
        <w:adjustRightInd/>
        <w:snapToGrid/>
        <w:spacing w:line="360" w:lineRule="auto"/>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7762E4E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57F5424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2192F12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w:t>
      </w:r>
      <w:r>
        <w:rPr>
          <w:rFonts w:hint="eastAsia" w:ascii="仿宋_GB2312" w:hAnsi="仿宋_GB2312" w:eastAsia="仿宋_GB2312" w:cs="仿宋_GB2312"/>
          <w:color w:val="auto"/>
          <w:sz w:val="28"/>
          <w:szCs w:val="28"/>
          <w:lang w:eastAsia="zh-CN"/>
        </w:rPr>
        <w:t>一的</w:t>
      </w:r>
      <w:r>
        <w:rPr>
          <w:rFonts w:hint="eastAsia" w:ascii="仿宋_GB2312" w:hAnsi="仿宋_GB2312" w:eastAsia="仿宋_GB2312" w:cs="仿宋_GB2312"/>
          <w:color w:val="auto"/>
          <w:sz w:val="28"/>
          <w:szCs w:val="28"/>
        </w:rPr>
        <w:t>行为视为供应商违约，采购人有权按照以下条款要求成交供应商承担违约金及违约责任：</w:t>
      </w:r>
    </w:p>
    <w:p w14:paraId="7D247563">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4FC8065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29477510">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w:t>
      </w:r>
      <w:r>
        <w:rPr>
          <w:rFonts w:hint="eastAsia" w:ascii="仿宋_GB2312" w:hAnsi="仿宋_GB2312" w:eastAsia="仿宋_GB2312" w:cs="仿宋_GB2312"/>
          <w:color w:val="auto"/>
          <w:sz w:val="28"/>
          <w:szCs w:val="28"/>
          <w:lang w:val="en-US" w:eastAsia="zh-CN"/>
        </w:rPr>
        <w:t>一年内3次延迟履约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290B8FBB">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w:t>
      </w:r>
      <w:r>
        <w:rPr>
          <w:rFonts w:hint="eastAsia" w:ascii="仿宋_GB2312" w:hAnsi="仿宋_GB2312" w:eastAsia="仿宋_GB2312" w:cs="仿宋_GB2312"/>
          <w:color w:val="auto"/>
          <w:sz w:val="28"/>
          <w:szCs w:val="28"/>
          <w:lang w:eastAsia="zh-CN"/>
        </w:rPr>
        <w:t>所提</w:t>
      </w:r>
      <w:r>
        <w:rPr>
          <w:rFonts w:hint="eastAsia" w:ascii="仿宋_GB2312" w:hAnsi="仿宋_GB2312" w:eastAsia="仿宋_GB2312" w:cs="仿宋_GB2312"/>
          <w:color w:val="auto"/>
          <w:sz w:val="28"/>
          <w:szCs w:val="28"/>
        </w:rPr>
        <w:t>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w:t>
      </w:r>
      <w:r>
        <w:rPr>
          <w:rFonts w:hint="eastAsia" w:ascii="仿宋_GB2312" w:hAnsi="仿宋_GB2312" w:eastAsia="仿宋_GB2312" w:cs="仿宋_GB2312"/>
          <w:color w:val="auto"/>
          <w:sz w:val="28"/>
          <w:szCs w:val="28"/>
          <w:lang w:eastAsia="zh-CN"/>
        </w:rPr>
        <w:t>做</w:t>
      </w:r>
      <w:r>
        <w:rPr>
          <w:rFonts w:hint="eastAsia" w:ascii="仿宋_GB2312" w:hAnsi="仿宋_GB2312" w:eastAsia="仿宋_GB2312" w:cs="仿宋_GB2312"/>
          <w:color w:val="auto"/>
          <w:sz w:val="28"/>
          <w:szCs w:val="28"/>
        </w:rPr>
        <w:t>、更换、退货、减少价款或者报酬等违约责任。同时成交供应商每有一次违约行为，采购人将扣除成交供应商当月结算货款</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171C7422">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0F718D13">
      <w:pPr>
        <w:keepNext w:val="0"/>
        <w:keepLines w:val="0"/>
        <w:pageBreakBefore w:val="0"/>
        <w:numPr>
          <w:ilvl w:val="0"/>
          <w:numId w:val="0"/>
        </w:numPr>
        <w:kinsoku/>
        <w:wordWrap/>
        <w:overflowPunct/>
        <w:topLinePunct w:val="0"/>
        <w:bidi w:val="0"/>
        <w:adjustRightInd/>
        <w:snapToGrid/>
        <w:spacing w:beforeLines="50" w:afterLines="50" w:line="360" w:lineRule="auto"/>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折扣率报价方式</w:t>
      </w:r>
    </w:p>
    <w:p w14:paraId="138B7F40">
      <w:pPr>
        <w:keepNext w:val="0"/>
        <w:keepLines w:val="0"/>
        <w:pageBreakBefore w:val="0"/>
        <w:numPr>
          <w:ilvl w:val="255"/>
          <w:numId w:val="0"/>
        </w:numPr>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val="en-US" w:eastAsia="zh-CN"/>
        </w:rPr>
        <w:t>54800元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伍万肆仟捌佰元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p>
    <w:p w14:paraId="593FF3A1">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188AD7BA">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0AD4C988">
      <w:pPr>
        <w:pStyle w:val="12"/>
        <w:keepNext w:val="0"/>
        <w:keepLines w:val="0"/>
        <w:pageBreakBefore w:val="0"/>
        <w:kinsoku/>
        <w:wordWrap/>
        <w:overflowPunct/>
        <w:topLinePunct w:val="0"/>
        <w:bidi w:val="0"/>
        <w:adjustRightInd/>
        <w:snapToGrid/>
        <w:spacing w:line="360" w:lineRule="auto"/>
        <w:ind w:firstLine="691" w:firstLineChars="24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0E4127FB">
      <w:pPr>
        <w:pStyle w:val="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位的价格为各项货物实际供货价。</w:t>
      </w:r>
    </w:p>
    <w:p w14:paraId="39199B52">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544F6FC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520DF93">
      <w:pPr>
        <w:keepNext w:val="0"/>
        <w:keepLines w:val="0"/>
        <w:pageBreakBefore w:val="0"/>
        <w:kinsoku/>
        <w:wordWrap/>
        <w:overflowPunct/>
        <w:topLinePunct w:val="0"/>
        <w:bidi w:val="0"/>
        <w:spacing w:line="560" w:lineRule="exact"/>
        <w:jc w:val="center"/>
        <w:rPr>
          <w:rFonts w:hint="eastAsia"/>
          <w:b/>
          <w:color w:val="auto"/>
          <w:sz w:val="32"/>
          <w:szCs w:val="32"/>
          <w:lang w:val="en-US" w:eastAsia="zh-CN"/>
        </w:rPr>
      </w:pPr>
      <w:r>
        <w:rPr>
          <w:rFonts w:hint="eastAsia"/>
          <w:b/>
          <w:color w:val="auto"/>
          <w:sz w:val="32"/>
          <w:szCs w:val="32"/>
          <w:lang w:val="en-US" w:eastAsia="zh-CN"/>
        </w:rPr>
        <w:t>供应商报价</w:t>
      </w:r>
    </w:p>
    <w:tbl>
      <w:tblPr>
        <w:tblStyle w:val="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3352"/>
        <w:gridCol w:w="3173"/>
      </w:tblGrid>
      <w:tr w14:paraId="253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exac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CDC5E47">
            <w:pPr>
              <w:keepNext w:val="0"/>
              <w:keepLines w:val="0"/>
              <w:pageBreakBefore w:val="0"/>
              <w:kinsoku/>
              <w:wordWrap/>
              <w:overflowPunct/>
              <w:topLinePunct w:val="0"/>
              <w:bidi w:val="0"/>
              <w:snapToGrid w:val="0"/>
              <w:spacing w:line="560" w:lineRule="exact"/>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项目名称</w:t>
            </w:r>
          </w:p>
        </w:tc>
        <w:tc>
          <w:tcPr>
            <w:tcW w:w="3352" w:type="dxa"/>
            <w:tcBorders>
              <w:top w:val="single" w:color="auto" w:sz="4" w:space="0"/>
              <w:left w:val="single" w:color="auto" w:sz="4" w:space="0"/>
              <w:bottom w:val="single" w:color="auto" w:sz="4" w:space="0"/>
              <w:right w:val="single" w:color="auto" w:sz="4" w:space="0"/>
            </w:tcBorders>
            <w:noWrap/>
            <w:vAlign w:val="center"/>
          </w:tcPr>
          <w:p w14:paraId="6EBF4650">
            <w:pPr>
              <w:keepNext w:val="0"/>
              <w:keepLines w:val="0"/>
              <w:pageBreakBefore w:val="0"/>
              <w:widowControl/>
              <w:kinsoku/>
              <w:wordWrap/>
              <w:overflowPunct/>
              <w:topLinePunct w:val="0"/>
              <w:bidi w:val="0"/>
              <w:spacing w:line="560" w:lineRule="exact"/>
              <w:jc w:val="center"/>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white"/>
                <w:lang w:val="en-US" w:eastAsia="zh-CN"/>
              </w:rPr>
              <w:t>供应商名称</w:t>
            </w:r>
          </w:p>
        </w:tc>
        <w:tc>
          <w:tcPr>
            <w:tcW w:w="3173" w:type="dxa"/>
            <w:tcBorders>
              <w:top w:val="single" w:color="auto" w:sz="4" w:space="0"/>
              <w:left w:val="single" w:color="auto" w:sz="4" w:space="0"/>
              <w:bottom w:val="single" w:color="auto" w:sz="4" w:space="0"/>
              <w:right w:val="single" w:color="auto" w:sz="4" w:space="0"/>
            </w:tcBorders>
            <w:noWrap/>
            <w:vAlign w:val="center"/>
          </w:tcPr>
          <w:p w14:paraId="27076887">
            <w:pPr>
              <w:keepNext w:val="0"/>
              <w:keepLines w:val="0"/>
              <w:pageBreakBefore w:val="0"/>
              <w:kinsoku/>
              <w:wordWrap/>
              <w:overflowPunct/>
              <w:topLinePunct w:val="0"/>
              <w:bidi w:val="0"/>
              <w:snapToGrid w:val="0"/>
              <w:spacing w:line="560" w:lineRule="exact"/>
              <w:jc w:val="center"/>
              <w:rPr>
                <w:rFonts w:hint="eastAsia" w:ascii="仿宋" w:hAnsi="仿宋" w:eastAsia="仿宋" w:cs="仿宋"/>
                <w:b/>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供应商承诺的</w:t>
            </w:r>
            <w:r>
              <w:rPr>
                <w:rFonts w:hint="eastAsia" w:ascii="仿宋" w:hAnsi="仿宋" w:eastAsia="仿宋" w:cs="仿宋"/>
                <w:color w:val="auto"/>
                <w:sz w:val="24"/>
                <w:szCs w:val="24"/>
              </w:rPr>
              <w:t>货物单价最高限价的折扣率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本项目所有货物采购价格均按此报价折扣率执行，本次报价折扣率必须</w:t>
            </w:r>
            <w:r>
              <w:rPr>
                <w:rFonts w:hint="eastAsia" w:ascii="仿宋" w:hAnsi="仿宋" w:eastAsia="仿宋" w:cs="仿宋"/>
                <w:color w:val="auto"/>
                <w:sz w:val="24"/>
                <w:szCs w:val="24"/>
                <w:u w:val="single"/>
                <w:lang w:val="en-US" w:eastAsia="zh-CN"/>
              </w:rPr>
              <w:t>低于或等于100%</w:t>
            </w:r>
            <w:r>
              <w:rPr>
                <w:rFonts w:hint="eastAsia" w:ascii="仿宋" w:hAnsi="仿宋" w:eastAsia="仿宋" w:cs="仿宋"/>
                <w:color w:val="auto"/>
                <w:sz w:val="24"/>
                <w:szCs w:val="24"/>
                <w:lang w:eastAsia="zh-CN"/>
              </w:rPr>
              <w:t>）</w:t>
            </w:r>
          </w:p>
        </w:tc>
      </w:tr>
      <w:tr w14:paraId="470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54C50EA5">
            <w:pPr>
              <w:pStyle w:val="20"/>
              <w:keepNext w:val="0"/>
              <w:keepLines w:val="0"/>
              <w:pageBreakBefore w:val="0"/>
              <w:kinsoku/>
              <w:wordWrap/>
              <w:overflowPunct/>
              <w:topLinePunct w:val="0"/>
              <w:bidi w:val="0"/>
              <w:spacing w:line="560" w:lineRule="exact"/>
              <w:ind w:firstLine="560"/>
              <w:jc w:val="both"/>
              <w:rPr>
                <w:rFonts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大竹县人民医院低值信息设备采购项目。</w:t>
            </w:r>
            <w:r>
              <w:rPr>
                <w:rFonts w:hint="eastAsia" w:ascii="仿宋" w:hAnsi="仿宋" w:eastAsia="仿宋" w:cs="仿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竹医总采（遴）【2024-12-23】号</w:t>
            </w:r>
          </w:p>
        </w:tc>
        <w:tc>
          <w:tcPr>
            <w:tcW w:w="3352" w:type="dxa"/>
            <w:tcBorders>
              <w:top w:val="single" w:color="auto" w:sz="4" w:space="0"/>
              <w:left w:val="single" w:color="auto" w:sz="4" w:space="0"/>
              <w:bottom w:val="single" w:color="auto" w:sz="4" w:space="0"/>
              <w:right w:val="single" w:color="auto" w:sz="4" w:space="0"/>
            </w:tcBorders>
            <w:noWrap/>
            <w:vAlign w:val="center"/>
          </w:tcPr>
          <w:p w14:paraId="7FC3452F">
            <w:pPr>
              <w:keepNext w:val="0"/>
              <w:keepLines w:val="0"/>
              <w:pageBreakBefore w:val="0"/>
              <w:kinsoku/>
              <w:wordWrap/>
              <w:overflowPunct/>
              <w:topLinePunct w:val="0"/>
              <w:bidi w:val="0"/>
              <w:snapToGrid w:val="0"/>
              <w:spacing w:line="560" w:lineRule="exact"/>
              <w:jc w:val="left"/>
              <w:rPr>
                <w:rFonts w:ascii="仿宋" w:hAnsi="仿宋" w:eastAsia="仿宋" w:cs="仿宋"/>
                <w:color w:val="auto"/>
                <w:sz w:val="24"/>
                <w:szCs w:val="24"/>
              </w:rPr>
            </w:pPr>
          </w:p>
        </w:tc>
        <w:tc>
          <w:tcPr>
            <w:tcW w:w="3173" w:type="dxa"/>
            <w:tcBorders>
              <w:top w:val="single" w:color="auto" w:sz="4" w:space="0"/>
              <w:left w:val="single" w:color="auto" w:sz="4" w:space="0"/>
              <w:bottom w:val="single" w:color="auto" w:sz="4" w:space="0"/>
              <w:right w:val="single" w:color="auto" w:sz="4" w:space="0"/>
            </w:tcBorders>
            <w:noWrap/>
            <w:vAlign w:val="center"/>
          </w:tcPr>
          <w:p w14:paraId="52FC3FEC">
            <w:pPr>
              <w:keepNext w:val="0"/>
              <w:keepLines w:val="0"/>
              <w:pageBreakBefore w:val="0"/>
              <w:kinsoku/>
              <w:wordWrap/>
              <w:overflowPunct/>
              <w:topLinePunct w:val="0"/>
              <w:bidi w:val="0"/>
              <w:snapToGrid w:val="0"/>
              <w:spacing w:line="5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小写：</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14:paraId="62BB99D2">
            <w:pPr>
              <w:pStyle w:val="2"/>
              <w:keepNext w:val="0"/>
              <w:keepLines w:val="0"/>
              <w:pageBreakBefore w:val="0"/>
              <w:kinsoku/>
              <w:wordWrap/>
              <w:overflowPunct/>
              <w:topLinePunct w:val="0"/>
              <w:bidi w:val="0"/>
              <w:spacing w:line="560" w:lineRule="exact"/>
              <w:rPr>
                <w:rFonts w:hint="default"/>
                <w:color w:val="auto"/>
                <w:lang w:val="en-US" w:eastAsia="zh-CN"/>
              </w:rPr>
            </w:pPr>
            <w:r>
              <w:rPr>
                <w:rFonts w:hint="eastAsia" w:ascii="仿宋" w:hAnsi="仿宋" w:eastAsia="仿宋" w:cs="仿宋"/>
                <w:color w:val="auto"/>
                <w:sz w:val="28"/>
                <w:szCs w:val="28"/>
                <w:u w:val="none"/>
                <w:lang w:val="en-US" w:eastAsia="zh-CN"/>
              </w:rPr>
              <w:t>大写：    折</w:t>
            </w:r>
          </w:p>
        </w:tc>
      </w:tr>
    </w:tbl>
    <w:p w14:paraId="01D732D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本文件共15页，供应商已阅读全部内容，并清楚知晓其含义且无异议，供应商同意遵守本文件所有内容，并签字盖章进行报价。</w:t>
      </w:r>
    </w:p>
    <w:p w14:paraId="3FBA6C13">
      <w:pPr>
        <w:pStyle w:val="2"/>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本文件请供应商逐页盖章 。</w:t>
      </w:r>
    </w:p>
    <w:p w14:paraId="26FAD04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1CD7E7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法定代表人或授权代表（签字或盖章）</w:t>
      </w:r>
      <w:r>
        <w:rPr>
          <w:rFonts w:hint="eastAsia" w:ascii="仿宋_GB2312" w:hAnsi="仿宋_GB2312" w:eastAsia="仿宋_GB2312" w:cs="仿宋_GB2312"/>
          <w:bCs/>
          <w:color w:val="auto"/>
          <w:sz w:val="28"/>
          <w:szCs w:val="28"/>
        </w:rPr>
        <w:t>：</w:t>
      </w:r>
    </w:p>
    <w:p w14:paraId="658D9D3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bCs/>
          <w:color w:val="auto"/>
          <w:sz w:val="28"/>
          <w:szCs w:val="28"/>
        </w:rPr>
        <w:t>日期</w:t>
      </w:r>
      <w:r>
        <w:rPr>
          <w:rFonts w:hint="eastAsia" w:ascii="仿宋_GB2312" w:hAnsi="仿宋_GB2312" w:eastAsia="仿宋_GB2312" w:cs="仿宋_GB2312"/>
          <w:bCs/>
          <w:color w:val="auto"/>
          <w:sz w:val="28"/>
          <w:szCs w:val="28"/>
          <w:lang w:eastAsia="zh-CN"/>
        </w:rPr>
        <w:t>：</w:t>
      </w:r>
    </w:p>
    <w:p w14:paraId="19CA9DBC">
      <w:pPr>
        <w:spacing w:line="360" w:lineRule="auto"/>
        <w:jc w:val="left"/>
        <w:rPr>
          <w:rFonts w:hint="eastAsia" w:ascii="仿宋" w:hAnsi="仿宋" w:eastAsia="仿宋" w:cs="仿宋"/>
          <w:color w:val="auto"/>
          <w:sz w:val="28"/>
          <w:szCs w:val="28"/>
          <w:lang w:val="en-US" w:eastAsia="zh-CN"/>
        </w:rPr>
      </w:pPr>
    </w:p>
    <w:p w14:paraId="2FC13BDD">
      <w:pPr>
        <w:spacing w:line="360" w:lineRule="auto"/>
        <w:jc w:val="left"/>
        <w:rPr>
          <w:rFonts w:hint="eastAsia" w:ascii="仿宋" w:hAnsi="仿宋" w:eastAsia="仿宋" w:cs="仿宋"/>
          <w:color w:val="auto"/>
          <w:sz w:val="28"/>
          <w:szCs w:val="28"/>
          <w:lang w:val="en-US" w:eastAsia="zh-CN"/>
        </w:rPr>
      </w:pPr>
    </w:p>
    <w:p w14:paraId="1AC9AF44">
      <w:pPr>
        <w:spacing w:line="360" w:lineRule="auto"/>
        <w:jc w:val="left"/>
        <w:rPr>
          <w:rFonts w:hint="eastAsia" w:ascii="仿宋" w:hAnsi="仿宋" w:eastAsia="仿宋" w:cs="仿宋"/>
          <w:color w:val="auto"/>
          <w:sz w:val="28"/>
          <w:szCs w:val="28"/>
          <w:lang w:val="en-US" w:eastAsia="zh-CN"/>
        </w:rPr>
      </w:pPr>
    </w:p>
    <w:p w14:paraId="54EBF637">
      <w:pPr>
        <w:spacing w:line="360" w:lineRule="auto"/>
        <w:jc w:val="left"/>
        <w:rPr>
          <w:rFonts w:hint="eastAsia" w:ascii="仿宋" w:hAnsi="仿宋" w:eastAsia="仿宋" w:cs="仿宋"/>
          <w:color w:val="auto"/>
          <w:sz w:val="28"/>
          <w:szCs w:val="28"/>
          <w:lang w:val="en-US" w:eastAsia="zh-CN"/>
        </w:rPr>
      </w:pPr>
    </w:p>
    <w:p w14:paraId="6769CE5C">
      <w:pPr>
        <w:spacing w:line="360" w:lineRule="auto"/>
        <w:jc w:val="left"/>
        <w:rPr>
          <w:rFonts w:hint="eastAsia" w:ascii="仿宋" w:hAnsi="仿宋" w:eastAsia="仿宋" w:cs="仿宋"/>
          <w:color w:val="auto"/>
          <w:sz w:val="28"/>
          <w:szCs w:val="28"/>
          <w:lang w:val="en-US" w:eastAsia="zh-CN"/>
        </w:rPr>
      </w:pPr>
    </w:p>
    <w:p w14:paraId="091B6738">
      <w:pPr>
        <w:spacing w:line="360" w:lineRule="auto"/>
        <w:jc w:val="left"/>
        <w:rPr>
          <w:rFonts w:hint="eastAsia" w:ascii="仿宋" w:hAnsi="仿宋" w:eastAsia="仿宋" w:cs="仿宋"/>
          <w:color w:val="auto"/>
          <w:sz w:val="28"/>
          <w:szCs w:val="28"/>
          <w:lang w:val="en-US" w:eastAsia="zh-CN"/>
        </w:rPr>
      </w:pPr>
    </w:p>
    <w:p w14:paraId="1F990E42">
      <w:pPr>
        <w:spacing w:line="360" w:lineRule="auto"/>
        <w:jc w:val="left"/>
        <w:rPr>
          <w:rFonts w:hint="eastAsia" w:ascii="仿宋" w:hAnsi="仿宋" w:eastAsia="仿宋" w:cs="仿宋"/>
          <w:color w:val="auto"/>
          <w:sz w:val="28"/>
          <w:szCs w:val="28"/>
          <w:lang w:val="en-US" w:eastAsia="zh-CN"/>
        </w:rPr>
      </w:pPr>
    </w:p>
    <w:p w14:paraId="53FB4E56">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w:t>
      </w:r>
    </w:p>
    <w:p w14:paraId="3BBD72B4">
      <w:pPr>
        <w:spacing w:line="360" w:lineRule="auto"/>
        <w:rPr>
          <w:rFonts w:hint="eastAsia" w:ascii="仿宋" w:hAnsi="仿宋" w:eastAsia="仿宋" w:cs="仿宋"/>
          <w:color w:val="auto"/>
          <w:sz w:val="28"/>
          <w:szCs w:val="28"/>
        </w:rPr>
      </w:pPr>
    </w:p>
    <w:p w14:paraId="7407543F">
      <w:pPr>
        <w:spacing w:line="360" w:lineRule="auto"/>
        <w:rPr>
          <w:rFonts w:hint="eastAsia" w:ascii="仿宋" w:hAnsi="仿宋" w:eastAsia="仿宋" w:cs="仿宋"/>
          <w:color w:val="auto"/>
          <w:sz w:val="28"/>
          <w:szCs w:val="28"/>
          <w:lang w:val="en-US" w:eastAsia="zh-CN"/>
        </w:rPr>
      </w:pPr>
    </w:p>
    <w:p w14:paraId="62FDD587">
      <w:pPr>
        <w:pStyle w:val="20"/>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127216F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2B31D755">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（法定代表人姓名、职务）授权</w:t>
      </w:r>
      <w:r>
        <w:rPr>
          <w:rFonts w:hint="eastAsia" w:ascii="仿宋" w:hAnsi="仿宋" w:eastAsia="仿宋" w:cs="仿宋"/>
          <w:color w:val="auto"/>
          <w:sz w:val="28"/>
          <w:szCs w:val="28"/>
          <w:u w:val="single"/>
          <w:lang w:val="en-US" w:eastAsia="zh-CN"/>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竹医总采（遴）</w:t>
      </w:r>
      <w:r>
        <w:rPr>
          <w:rFonts w:hint="eastAsia" w:ascii="仿宋" w:hAnsi="仿宋" w:eastAsia="仿宋" w:cs="仿宋"/>
          <w:color w:val="auto"/>
          <w:sz w:val="28"/>
          <w:szCs w:val="28"/>
        </w:rPr>
        <w:t>【】号“</w:t>
      </w:r>
      <w:r>
        <w:rPr>
          <w:rFonts w:hint="eastAsia" w:ascii="仿宋" w:hAnsi="仿宋" w:eastAsia="仿宋" w:cs="仿宋"/>
          <w:color w:val="auto"/>
          <w:sz w:val="28"/>
          <w:szCs w:val="28"/>
          <w:u w:val="single"/>
          <w:lang w:val="en-US" w:eastAsia="zh-CN"/>
        </w:rPr>
        <w:t xml:space="preserve"> 大竹县人民医院低值信息设备采购项目 </w:t>
      </w:r>
      <w:r>
        <w:rPr>
          <w:rFonts w:hint="eastAsia" w:ascii="仿宋" w:hAnsi="仿宋" w:eastAsia="仿宋" w:cs="仿宋"/>
          <w:color w:val="auto"/>
          <w:sz w:val="28"/>
          <w:szCs w:val="28"/>
        </w:rPr>
        <w:t>”项目遴选活动的合法代表，以我方名义全权处理该项目有关报价、签订合同以及执行合同等一切事宜。</w:t>
      </w:r>
    </w:p>
    <w:p w14:paraId="5E3EAEEA">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219D67D">
      <w:pPr>
        <w:pStyle w:val="20"/>
        <w:spacing w:line="360" w:lineRule="auto"/>
        <w:ind w:firstLine="560"/>
        <w:rPr>
          <w:rFonts w:ascii="仿宋" w:hAnsi="仿宋" w:eastAsia="仿宋" w:cs="仿宋"/>
          <w:color w:val="auto"/>
          <w:sz w:val="28"/>
          <w:szCs w:val="28"/>
        </w:rPr>
      </w:pPr>
    </w:p>
    <w:p w14:paraId="4DAE8BF7">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5AD44764">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2F87938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05E07FFD">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5A70E64B">
      <w:pPr>
        <w:pStyle w:val="20"/>
        <w:spacing w:line="360" w:lineRule="auto"/>
        <w:ind w:firstLine="562"/>
        <w:rPr>
          <w:rFonts w:ascii="仿宋" w:hAnsi="仿宋" w:eastAsia="仿宋" w:cs="仿宋"/>
          <w:b/>
          <w:bCs/>
          <w:color w:val="auto"/>
          <w:sz w:val="28"/>
          <w:szCs w:val="28"/>
        </w:rPr>
      </w:pPr>
    </w:p>
    <w:p w14:paraId="46477441">
      <w:pPr>
        <w:pStyle w:val="20"/>
        <w:spacing w:line="360" w:lineRule="auto"/>
        <w:ind w:firstLine="562"/>
        <w:rPr>
          <w:rFonts w:ascii="仿宋" w:hAnsi="仿宋" w:eastAsia="仿宋" w:cs="仿宋"/>
          <w:b/>
          <w:bCs/>
          <w:color w:val="auto"/>
          <w:sz w:val="28"/>
          <w:szCs w:val="28"/>
        </w:rPr>
      </w:pPr>
    </w:p>
    <w:p w14:paraId="6FCC1665">
      <w:pPr>
        <w:pStyle w:val="20"/>
        <w:spacing w:line="360" w:lineRule="auto"/>
        <w:ind w:firstLine="562"/>
        <w:rPr>
          <w:rFonts w:ascii="仿宋" w:hAnsi="仿宋" w:eastAsia="仿宋" w:cs="仿宋"/>
          <w:b/>
          <w:bCs/>
          <w:color w:val="auto"/>
          <w:sz w:val="28"/>
          <w:szCs w:val="28"/>
        </w:rPr>
      </w:pPr>
    </w:p>
    <w:p w14:paraId="1DC7C200">
      <w:pPr>
        <w:pStyle w:val="20"/>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ACD1B3C">
      <w:pPr>
        <w:pStyle w:val="20"/>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p w14:paraId="0534BD8B">
      <w:pPr>
        <w:pStyle w:val="15"/>
        <w:rPr>
          <w:rFonts w:hint="eastAsia"/>
          <w:color w:val="auto"/>
        </w:rPr>
      </w:pPr>
    </w:p>
    <w:p w14:paraId="565436C5">
      <w:pPr>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96B150-9EC8-4B24-83BF-3E1920703C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D548905-8D6B-4779-9541-91DD76972A7E}"/>
  </w:font>
  <w:font w:name="方正公文小标宋">
    <w:panose1 w:val="02000500000000000000"/>
    <w:charset w:val="86"/>
    <w:family w:val="auto"/>
    <w:pitch w:val="default"/>
    <w:sig w:usb0="A00002BF" w:usb1="38CF7CFA" w:usb2="00000016" w:usb3="00000000" w:csb0="00040001" w:csb1="00000000"/>
    <w:embedRegular r:id="rId3" w:fontKey="{FD60FF7B-9C6C-4C01-9CF8-971DB3FBA8D7}"/>
  </w:font>
  <w:font w:name="仿宋_GB2312">
    <w:panose1 w:val="02010609030101010101"/>
    <w:charset w:val="86"/>
    <w:family w:val="auto"/>
    <w:pitch w:val="default"/>
    <w:sig w:usb0="00000001" w:usb1="080E0000" w:usb2="00000000" w:usb3="00000000" w:csb0="00040000" w:csb1="00000000"/>
    <w:embedRegular r:id="rId4" w:fontKey="{8A6B62F4-D942-4A7E-BE33-6AD7B78A87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6A4277C"/>
    <w:rsid w:val="08F33D56"/>
    <w:rsid w:val="09A0066E"/>
    <w:rsid w:val="0ECD1690"/>
    <w:rsid w:val="144025BE"/>
    <w:rsid w:val="14CF3044"/>
    <w:rsid w:val="15220BC8"/>
    <w:rsid w:val="1560229E"/>
    <w:rsid w:val="15661088"/>
    <w:rsid w:val="17030584"/>
    <w:rsid w:val="176F0D30"/>
    <w:rsid w:val="179A293D"/>
    <w:rsid w:val="1C4B1F3E"/>
    <w:rsid w:val="1CD852E5"/>
    <w:rsid w:val="1F58038B"/>
    <w:rsid w:val="1F8D77DC"/>
    <w:rsid w:val="1FAA2393"/>
    <w:rsid w:val="1FDE2037"/>
    <w:rsid w:val="23A5639B"/>
    <w:rsid w:val="258C7F61"/>
    <w:rsid w:val="28786771"/>
    <w:rsid w:val="289417F0"/>
    <w:rsid w:val="32244145"/>
    <w:rsid w:val="366C2A9A"/>
    <w:rsid w:val="372B7A8B"/>
    <w:rsid w:val="38810B87"/>
    <w:rsid w:val="41151AA5"/>
    <w:rsid w:val="43704724"/>
    <w:rsid w:val="493B5F6F"/>
    <w:rsid w:val="4C003951"/>
    <w:rsid w:val="556A015F"/>
    <w:rsid w:val="583A23D4"/>
    <w:rsid w:val="5AF0321E"/>
    <w:rsid w:val="5C4473D9"/>
    <w:rsid w:val="5D0D746A"/>
    <w:rsid w:val="609D30B7"/>
    <w:rsid w:val="66682803"/>
    <w:rsid w:val="67544551"/>
    <w:rsid w:val="6A402300"/>
    <w:rsid w:val="6A8C2ACD"/>
    <w:rsid w:val="6BFF6BC0"/>
    <w:rsid w:val="77000E67"/>
    <w:rsid w:val="777B723A"/>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7759</Words>
  <Characters>9054</Characters>
  <Lines>0</Lines>
  <Paragraphs>0</Paragraphs>
  <TotalTime>3</TotalTime>
  <ScaleCrop>false</ScaleCrop>
  <LinksUpToDate>false</LinksUpToDate>
  <CharactersWithSpaces>9166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2025-01-06T06:49:53Z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37EFF2F5685D48898B907A5919B4EDEF_12</vt:lpwstr>
  </property>
  <property fmtid="{D5CDD505-2E9C-101B-9397-08002B2CF9AE}" pid="4" name="KSOTemplateDocerSaveRecord">
    <vt:lpwstr>eyJoZGlkIjoiNzhmZGE0NDUzMWE0ODk1YWVjYWZlODk0OWQzNjBlOWYiLCJ1c2VySWQiOiI0NTY0NDMzOTMifQ==</vt:lpwstr>
  </property>
</Properties>
</file>