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D4AE0">
      <w:pPr>
        <w:jc w:val="center"/>
        <w:rPr>
          <w:rFonts w:hint="default"/>
          <w:color w:val="auto"/>
          <w:lang w:val="en-US" w:eastAsia="zh-CN"/>
        </w:rPr>
      </w:pPr>
      <w:r>
        <w:rPr>
          <w:rFonts w:hint="eastAsia" w:ascii="方正公文小标宋" w:hAnsi="方正公文小标宋" w:eastAsia="方正公文小标宋" w:cs="方正公文小标宋"/>
          <w:color w:val="auto"/>
          <w:sz w:val="32"/>
          <w:szCs w:val="32"/>
          <w:lang w:eastAsia="zh-CN"/>
        </w:rPr>
        <w:t>大竹县人民医院低值信息设备采购项目</w:t>
      </w:r>
      <w:r>
        <w:rPr>
          <w:rFonts w:hint="eastAsia" w:ascii="方正公文小标宋" w:hAnsi="方正公文小标宋" w:eastAsia="方正公文小标宋" w:cs="方正公文小标宋"/>
          <w:color w:val="auto"/>
          <w:sz w:val="32"/>
          <w:szCs w:val="32"/>
          <w:lang w:val="en-US" w:eastAsia="zh-CN"/>
        </w:rPr>
        <w:t>现场报价文件</w:t>
      </w:r>
    </w:p>
    <w:p w14:paraId="709D9418">
      <w:pPr>
        <w:pStyle w:val="20"/>
        <w:spacing w:line="560" w:lineRule="exact"/>
        <w:ind w:firstLine="560"/>
        <w:jc w:val="both"/>
        <w:rPr>
          <w:rFonts w:hint="eastAsia" w:ascii="方正公文小标宋" w:hAnsi="方正公文小标宋" w:eastAsia="方正公文小标宋" w:cs="方正公文小标宋"/>
          <w:color w:val="auto"/>
          <w:sz w:val="24"/>
          <w:szCs w:val="24"/>
          <w:lang w:val="en-US" w:eastAsia="zh-CN"/>
        </w:rPr>
      </w:pPr>
    </w:p>
    <w:p w14:paraId="35CA62AC">
      <w:pPr>
        <w:pStyle w:val="20"/>
        <w:spacing w:line="360" w:lineRule="auto"/>
        <w:ind w:firstLine="560"/>
        <w:jc w:val="both"/>
        <w:rPr>
          <w:rFonts w:hint="eastAsia" w:ascii="仿宋" w:hAnsi="仿宋" w:eastAsia="仿宋" w:cs="仿宋"/>
          <w:b w:val="0"/>
          <w:bCs w:val="0"/>
          <w:color w:val="auto"/>
          <w:sz w:val="24"/>
          <w:szCs w:val="24"/>
          <w:lang w:val="en-US" w:eastAsia="zh-CN"/>
        </w:rPr>
      </w:pPr>
      <w:r>
        <w:rPr>
          <w:rFonts w:hint="eastAsia" w:ascii="方正公文小标宋" w:hAnsi="方正公文小标宋" w:eastAsia="方正公文小标宋" w:cs="方正公文小标宋"/>
          <w:color w:val="auto"/>
          <w:sz w:val="24"/>
          <w:szCs w:val="24"/>
          <w:lang w:val="en-US" w:eastAsia="zh-CN"/>
        </w:rPr>
        <w:t>采购项目名称：</w:t>
      </w:r>
      <w:r>
        <w:rPr>
          <w:rFonts w:hint="eastAsia" w:ascii="仿宋" w:hAnsi="仿宋" w:eastAsia="仿宋" w:cs="仿宋"/>
          <w:b w:val="0"/>
          <w:bCs w:val="0"/>
          <w:color w:val="auto"/>
          <w:sz w:val="24"/>
          <w:szCs w:val="24"/>
          <w:lang w:val="en-US" w:eastAsia="zh-CN"/>
        </w:rPr>
        <w:t>大竹县人民医院低值信息设备采购项目</w:t>
      </w:r>
    </w:p>
    <w:p w14:paraId="41324867">
      <w:pPr>
        <w:pStyle w:val="20"/>
        <w:spacing w:line="360" w:lineRule="auto"/>
        <w:ind w:firstLine="560"/>
        <w:jc w:val="both"/>
        <w:rPr>
          <w:rFonts w:hint="eastAsia" w:ascii="方正公文小标宋" w:hAnsi="方正公文小标宋" w:eastAsia="方正公文小标宋" w:cs="方正公文小标宋"/>
          <w:color w:val="auto"/>
          <w:sz w:val="28"/>
          <w:szCs w:val="28"/>
          <w:lang w:val="en-US" w:eastAsia="zh-CN"/>
        </w:rPr>
      </w:pPr>
      <w:r>
        <w:rPr>
          <w:rFonts w:hint="eastAsia" w:ascii="方正公文小标宋" w:hAnsi="方正公文小标宋" w:eastAsia="方正公文小标宋" w:cs="方正公文小标宋"/>
          <w:color w:val="auto"/>
          <w:sz w:val="24"/>
          <w:szCs w:val="24"/>
          <w:lang w:val="en-US" w:eastAsia="zh-CN"/>
        </w:rPr>
        <w:t>采购项目编号：</w:t>
      </w:r>
      <w:r>
        <w:rPr>
          <w:rFonts w:hint="eastAsia" w:ascii="仿宋" w:hAnsi="仿宋" w:eastAsia="仿宋" w:cs="仿宋"/>
          <w:b w:val="0"/>
          <w:bCs w:val="0"/>
          <w:color w:val="auto"/>
          <w:sz w:val="24"/>
          <w:szCs w:val="24"/>
          <w:lang w:val="en-US" w:eastAsia="zh-CN"/>
        </w:rPr>
        <w:t>竹医总采（遴）【2024-12-23】号</w:t>
      </w:r>
      <w:r>
        <w:rPr>
          <w:rFonts w:hint="eastAsia" w:ascii="仿宋" w:hAnsi="仿宋" w:eastAsia="仿宋" w:cs="仿宋"/>
          <w:b w:val="0"/>
          <w:bCs w:val="0"/>
          <w:color w:val="auto"/>
          <w:sz w:val="28"/>
          <w:szCs w:val="28"/>
          <w:lang w:val="en-US" w:eastAsia="zh-CN"/>
        </w:rPr>
        <w:t xml:space="preserve"> </w:t>
      </w:r>
      <w:r>
        <w:rPr>
          <w:rFonts w:hint="eastAsia" w:ascii="方正公文小标宋" w:hAnsi="方正公文小标宋" w:eastAsia="方正公文小标宋" w:cs="方正公文小标宋"/>
          <w:color w:val="auto"/>
          <w:sz w:val="28"/>
          <w:szCs w:val="28"/>
          <w:lang w:val="en-US" w:eastAsia="zh-CN"/>
        </w:rPr>
        <w:t xml:space="preserve"> </w:t>
      </w:r>
    </w:p>
    <w:p w14:paraId="5CDF6FE2">
      <w:pPr>
        <w:pStyle w:val="20"/>
        <w:spacing w:line="360" w:lineRule="auto"/>
        <w:ind w:left="0" w:leftChars="0" w:firstLine="0" w:firstLineChars="0"/>
        <w:jc w:val="both"/>
        <w:rPr>
          <w:rFonts w:hint="eastAsia" w:ascii="仿宋" w:hAnsi="仿宋" w:eastAsia="仿宋" w:cs="仿宋"/>
          <w:b/>
          <w:color w:val="auto"/>
          <w:sz w:val="28"/>
          <w:szCs w:val="28"/>
          <w:lang w:val="en-US" w:eastAsia="zh-CN"/>
        </w:rPr>
      </w:pPr>
    </w:p>
    <w:p w14:paraId="0AC6013F">
      <w:pPr>
        <w:pStyle w:val="20"/>
        <w:spacing w:line="360" w:lineRule="auto"/>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采购人：大竹县人民医院</w:t>
      </w:r>
    </w:p>
    <w:p w14:paraId="6BA84414">
      <w:pPr>
        <w:pStyle w:val="20"/>
        <w:spacing w:line="360" w:lineRule="auto"/>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供应商</w:t>
      </w:r>
      <w:r>
        <w:rPr>
          <w:rFonts w:hint="eastAsia" w:ascii="仿宋" w:hAnsi="仿宋" w:eastAsia="仿宋" w:cs="仿宋"/>
          <w:b/>
          <w:color w:val="auto"/>
          <w:sz w:val="28"/>
          <w:szCs w:val="28"/>
          <w:lang w:val="en-US" w:eastAsia="zh-CN"/>
        </w:rPr>
        <w:t>名称（盖章）：</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lang w:val="en-US" w:eastAsia="zh-CN"/>
        </w:rPr>
        <w:t xml:space="preserve">             </w:t>
      </w:r>
    </w:p>
    <w:p w14:paraId="748CD9BD">
      <w:pPr>
        <w:pStyle w:val="20"/>
        <w:spacing w:line="360" w:lineRule="auto"/>
        <w:ind w:left="0" w:leftChars="0" w:firstLine="0" w:firstLineChars="0"/>
        <w:jc w:val="lef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成交规则：供应商报出一次不可更改的价格，满足本文件要求且报价折扣率最低者为成交供应商。</w:t>
      </w:r>
    </w:p>
    <w:p w14:paraId="0D924A12">
      <w:pPr>
        <w:pStyle w:val="20"/>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_GB2312" w:hAnsi="仿宋_GB2312" w:eastAsia="仿宋_GB2312" w:cs="仿宋_GB2312"/>
          <w:b/>
          <w:bCs/>
          <w:color w:val="auto"/>
          <w:sz w:val="28"/>
          <w:szCs w:val="28"/>
          <w:lang w:val="en-US" w:eastAsia="zh-CN"/>
        </w:rPr>
      </w:pPr>
    </w:p>
    <w:p w14:paraId="65253C71">
      <w:pPr>
        <w:pStyle w:val="20"/>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一、</w:t>
      </w:r>
      <w:r>
        <w:rPr>
          <w:rFonts w:hint="eastAsia" w:ascii="仿宋_GB2312" w:hAnsi="仿宋_GB2312" w:eastAsia="仿宋_GB2312" w:cs="仿宋_GB2312"/>
          <w:b/>
          <w:bCs/>
          <w:color w:val="auto"/>
          <w:sz w:val="28"/>
          <w:szCs w:val="28"/>
        </w:rPr>
        <w:t>参加</w:t>
      </w:r>
      <w:r>
        <w:rPr>
          <w:rFonts w:hint="eastAsia" w:ascii="仿宋_GB2312" w:hAnsi="仿宋_GB2312" w:eastAsia="仿宋_GB2312" w:cs="仿宋_GB2312"/>
          <w:b/>
          <w:bCs/>
          <w:color w:val="auto"/>
          <w:sz w:val="28"/>
          <w:szCs w:val="28"/>
          <w:lang w:val="en-US" w:eastAsia="zh-CN"/>
        </w:rPr>
        <w:t>现场报价</w:t>
      </w:r>
      <w:r>
        <w:rPr>
          <w:rFonts w:hint="eastAsia" w:ascii="仿宋_GB2312" w:hAnsi="仿宋_GB2312" w:eastAsia="仿宋_GB2312" w:cs="仿宋_GB2312"/>
          <w:b/>
          <w:bCs/>
          <w:color w:val="auto"/>
          <w:sz w:val="28"/>
          <w:szCs w:val="28"/>
        </w:rPr>
        <w:t>的供应商应</w:t>
      </w:r>
      <w:r>
        <w:rPr>
          <w:rFonts w:hint="eastAsia" w:ascii="仿宋_GB2312" w:hAnsi="仿宋_GB2312" w:eastAsia="仿宋_GB2312" w:cs="仿宋_GB2312"/>
          <w:b/>
          <w:bCs/>
          <w:color w:val="auto"/>
          <w:sz w:val="28"/>
          <w:szCs w:val="28"/>
          <w:lang w:val="en-US" w:eastAsia="zh-CN"/>
        </w:rPr>
        <w:t>提供的资料</w:t>
      </w:r>
      <w:r>
        <w:rPr>
          <w:rFonts w:hint="eastAsia" w:ascii="仿宋_GB2312" w:hAnsi="仿宋_GB2312" w:eastAsia="仿宋_GB2312" w:cs="仿宋_GB2312"/>
          <w:b/>
          <w:bCs/>
          <w:color w:val="auto"/>
          <w:sz w:val="28"/>
          <w:szCs w:val="28"/>
        </w:rPr>
        <w:t>：</w:t>
      </w:r>
    </w:p>
    <w:p w14:paraId="4AA4E353">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8"/>
          <w:szCs w:val="28"/>
        </w:rPr>
      </w:pPr>
      <w:bookmarkStart w:id="0" w:name="_Toc30838_WPSOffice_Level2"/>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有效的营业执照副本复印件加盖鲜章</w:t>
      </w:r>
      <w:r>
        <w:rPr>
          <w:rFonts w:hint="eastAsia" w:ascii="仿宋_GB2312" w:hAnsi="仿宋_GB2312" w:eastAsia="仿宋_GB2312" w:cs="仿宋_GB2312"/>
          <w:color w:val="auto"/>
          <w:sz w:val="28"/>
          <w:szCs w:val="28"/>
        </w:rPr>
        <w:t>；</w:t>
      </w:r>
      <w:bookmarkEnd w:id="0"/>
    </w:p>
    <w:p w14:paraId="0593DB4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8"/>
          <w:szCs w:val="28"/>
        </w:rPr>
      </w:pPr>
      <w:bookmarkStart w:id="1" w:name="_Toc28428_WPSOffice_Level2"/>
      <w:r>
        <w:rPr>
          <w:rFonts w:hint="eastAsia" w:ascii="仿宋_GB2312" w:hAnsi="仿宋_GB2312" w:eastAsia="仿宋_GB2312" w:cs="仿宋_GB2312"/>
          <w:color w:val="auto"/>
          <w:sz w:val="28"/>
          <w:szCs w:val="28"/>
        </w:rPr>
        <w:t>2、</w:t>
      </w:r>
      <w:bookmarkEnd w:id="1"/>
      <w:r>
        <w:rPr>
          <w:rFonts w:hint="eastAsia" w:ascii="仿宋_GB2312" w:hAnsi="仿宋_GB2312" w:eastAsia="仿宋_GB2312" w:cs="仿宋_GB2312"/>
          <w:color w:val="auto"/>
          <w:sz w:val="28"/>
          <w:szCs w:val="28"/>
          <w:lang w:val="en-US" w:eastAsia="zh-CN"/>
        </w:rPr>
        <w:t>营业执照法定代表人的身份证复印件加盖鲜章</w:t>
      </w:r>
      <w:r>
        <w:rPr>
          <w:rFonts w:hint="eastAsia" w:ascii="仿宋_GB2312" w:hAnsi="仿宋_GB2312" w:eastAsia="仿宋_GB2312" w:cs="仿宋_GB2312"/>
          <w:color w:val="auto"/>
          <w:sz w:val="28"/>
          <w:szCs w:val="28"/>
        </w:rPr>
        <w:t>；</w:t>
      </w:r>
    </w:p>
    <w:p w14:paraId="504156C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b/>
          <w:bCs/>
          <w:color w:val="auto"/>
          <w:sz w:val="28"/>
          <w:szCs w:val="28"/>
          <w:highlight w:val="none"/>
          <w:lang w:val="en-US" w:eastAsia="zh-CN"/>
        </w:rPr>
      </w:pPr>
      <w:bookmarkStart w:id="2" w:name="_Toc26110_WPSOffice_Level2"/>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非营业执照法定代表人参加地提供：①授权委托书加盖鲜章；②法定代表人身份证复印件加盖鲜章；③授权代表身份证复印件加盖鲜章</w:t>
      </w:r>
      <w:r>
        <w:rPr>
          <w:rFonts w:hint="eastAsia" w:ascii="仿宋_GB2312" w:hAnsi="仿宋_GB2312" w:eastAsia="仿宋_GB2312" w:cs="仿宋_GB2312"/>
          <w:color w:val="auto"/>
          <w:sz w:val="28"/>
          <w:szCs w:val="28"/>
        </w:rPr>
        <w:t>；</w:t>
      </w:r>
      <w:bookmarkEnd w:id="2"/>
    </w:p>
    <w:p w14:paraId="0A7E660E">
      <w:pPr>
        <w:pStyle w:val="2"/>
        <w:keepNext w:val="0"/>
        <w:keepLines w:val="0"/>
        <w:pageBreakBefore w:val="0"/>
        <w:kinsoku/>
        <w:wordWrap/>
        <w:overflowPunct/>
        <w:topLinePunct w:val="0"/>
        <w:autoSpaceDE/>
        <w:autoSpaceDN/>
        <w:bidi w:val="0"/>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二、项目概况</w:t>
      </w:r>
    </w:p>
    <w:p w14:paraId="4DE86C65">
      <w:pPr>
        <w:keepNext w:val="0"/>
        <w:keepLines w:val="0"/>
        <w:pageBreakBefore w:val="0"/>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本项目履约期内采购人均不会一次性大批量购买</w:t>
      </w:r>
      <w:r>
        <w:rPr>
          <w:rFonts w:hint="eastAsia" w:ascii="仿宋_GB2312" w:hAnsi="仿宋_GB2312" w:eastAsia="仿宋_GB2312" w:cs="仿宋_GB2312"/>
          <w:color w:val="auto"/>
          <w:sz w:val="28"/>
          <w:szCs w:val="28"/>
          <w:highlight w:val="none"/>
          <w:lang w:eastAsia="zh-CN"/>
        </w:rPr>
        <w:t>货物</w:t>
      </w:r>
      <w:r>
        <w:rPr>
          <w:rFonts w:hint="eastAsia" w:ascii="仿宋_GB2312" w:hAnsi="仿宋_GB2312" w:eastAsia="仿宋_GB2312" w:cs="仿宋_GB2312"/>
          <w:color w:val="auto"/>
          <w:sz w:val="28"/>
          <w:szCs w:val="28"/>
          <w:highlight w:val="none"/>
        </w:rPr>
        <w:t>，本项目是院内日常办公需求产生的每月零星</w:t>
      </w:r>
      <w:r>
        <w:rPr>
          <w:rFonts w:hint="eastAsia" w:ascii="仿宋_GB2312" w:hAnsi="仿宋_GB2312" w:eastAsia="仿宋_GB2312" w:cs="仿宋_GB2312"/>
          <w:color w:val="auto"/>
          <w:sz w:val="28"/>
          <w:szCs w:val="28"/>
          <w:highlight w:val="none"/>
          <w:lang w:eastAsia="zh-CN"/>
        </w:rPr>
        <w:t>货物</w:t>
      </w:r>
      <w:r>
        <w:rPr>
          <w:rFonts w:hint="eastAsia" w:ascii="仿宋_GB2312" w:hAnsi="仿宋_GB2312" w:eastAsia="仿宋_GB2312" w:cs="仿宋_GB2312"/>
          <w:color w:val="auto"/>
          <w:sz w:val="28"/>
          <w:szCs w:val="28"/>
          <w:highlight w:val="none"/>
        </w:rPr>
        <w:t>购置。</w:t>
      </w:r>
      <w:r>
        <w:rPr>
          <w:rFonts w:hint="eastAsia" w:ascii="仿宋_GB2312" w:hAnsi="仿宋_GB2312" w:eastAsia="仿宋_GB2312" w:cs="仿宋_GB2312"/>
          <w:color w:val="auto"/>
          <w:sz w:val="28"/>
          <w:szCs w:val="28"/>
          <w:highlight w:val="none"/>
          <w:lang w:val="en-US" w:eastAsia="zh-CN"/>
        </w:rPr>
        <w:t>供应商自行考虑批发与零售价格的区别。</w:t>
      </w:r>
    </w:p>
    <w:p w14:paraId="4C6C2798">
      <w:pPr>
        <w:keepNext w:val="0"/>
        <w:keepLines w:val="0"/>
        <w:pageBreakBefore w:val="0"/>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lang w:val="en-US" w:eastAsia="zh-CN"/>
        </w:rPr>
        <w:t>供应商承担货物搬运上楼费用，供应商服务区域涉及总务库房（3楼、步梯）、门诊大楼（10层、可用1部电梯）、内科大楼（14层、可用1部电梯搬货）、外科大楼（19层、可用1部电梯搬货）、感染科楼、发热门诊等。</w:t>
      </w:r>
    </w:p>
    <w:p w14:paraId="09D11076">
      <w:pPr>
        <w:pStyle w:val="12"/>
        <w:keepNext w:val="0"/>
        <w:keepLines w:val="0"/>
        <w:pageBreakBefore w:val="0"/>
        <w:kinsoku/>
        <w:wordWrap/>
        <w:overflowPunct/>
        <w:topLinePunct w:val="0"/>
        <w:autoSpaceDE/>
        <w:autoSpaceDN/>
        <w:bidi w:val="0"/>
        <w:spacing w:line="360" w:lineRule="auto"/>
        <w:ind w:firstLine="562" w:firstLineChars="200"/>
        <w:jc w:val="left"/>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、项目预算</w:t>
      </w:r>
    </w:p>
    <w:p w14:paraId="3AD158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本项目采购总预算为：</w:t>
      </w:r>
      <w:r>
        <w:rPr>
          <w:rFonts w:hint="eastAsia" w:ascii="仿宋_GB2312" w:hAnsi="仿宋_GB2312" w:eastAsia="仿宋_GB2312" w:cs="仿宋_GB2312"/>
          <w:color w:val="auto"/>
          <w:sz w:val="28"/>
          <w:szCs w:val="28"/>
          <w:lang w:val="en-US" w:eastAsia="zh-CN"/>
        </w:rPr>
        <w:t>54800元</w:t>
      </w:r>
      <w:r>
        <w:rPr>
          <w:rFonts w:hint="eastAsia" w:ascii="仿宋_GB2312" w:hAnsi="仿宋_GB2312" w:eastAsia="仿宋_GB2312" w:cs="仿宋_GB2312"/>
          <w:color w:val="auto"/>
          <w:sz w:val="28"/>
          <w:szCs w:val="28"/>
        </w:rPr>
        <w:t>（大写：人民币</w:t>
      </w:r>
      <w:r>
        <w:rPr>
          <w:rFonts w:hint="eastAsia" w:ascii="仿宋_GB2312" w:hAnsi="仿宋_GB2312" w:eastAsia="仿宋_GB2312" w:cs="仿宋_GB2312"/>
          <w:color w:val="auto"/>
          <w:sz w:val="28"/>
          <w:szCs w:val="28"/>
          <w:lang w:val="en-US" w:eastAsia="zh-CN"/>
        </w:rPr>
        <w:t>伍万肆仟捌佰元</w:t>
      </w:r>
      <w:r>
        <w:rPr>
          <w:rFonts w:hint="eastAsia" w:ascii="仿宋_GB2312" w:hAnsi="仿宋_GB2312" w:eastAsia="仿宋_GB2312" w:cs="仿宋_GB2312"/>
          <w:color w:val="auto"/>
          <w:sz w:val="28"/>
          <w:szCs w:val="28"/>
        </w:rPr>
        <w:t>整）</w:t>
      </w:r>
      <w:r>
        <w:rPr>
          <w:rFonts w:hint="eastAsia" w:ascii="仿宋_GB2312" w:hAnsi="仿宋_GB2312" w:eastAsia="仿宋_GB2312" w:cs="仿宋_GB2312"/>
          <w:color w:val="auto"/>
          <w:sz w:val="28"/>
          <w:szCs w:val="28"/>
          <w:lang w:eastAsia="zh-CN"/>
        </w:rPr>
        <w:t>。</w:t>
      </w:r>
    </w:p>
    <w:p w14:paraId="4B0A7993">
      <w:pPr>
        <w:keepNext w:val="0"/>
        <w:keepLines w:val="0"/>
        <w:pageBreakBefore w:val="0"/>
        <w:kinsoku/>
        <w:wordWrap/>
        <w:overflowPunct/>
        <w:topLinePunct w:val="0"/>
        <w:autoSpaceDE/>
        <w:autoSpaceDN/>
        <w:bidi w:val="0"/>
        <w:spacing w:line="360" w:lineRule="auto"/>
        <w:ind w:firstLine="562"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四、采购标的</w:t>
      </w:r>
    </w:p>
    <w:p w14:paraId="1548288B">
      <w:pPr>
        <w:pStyle w:val="20"/>
        <w:keepNext w:val="0"/>
        <w:keepLines w:val="0"/>
        <w:pageBreakBefore w:val="0"/>
        <w:numPr>
          <w:ilvl w:val="0"/>
          <w:numId w:val="0"/>
        </w:numPr>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rPr>
        <w:t>要求供应商</w:t>
      </w:r>
      <w:r>
        <w:rPr>
          <w:rFonts w:hint="eastAsia" w:ascii="仿宋_GB2312" w:hAnsi="仿宋_GB2312" w:eastAsia="仿宋_GB2312" w:cs="仿宋_GB2312"/>
          <w:color w:val="auto"/>
          <w:sz w:val="28"/>
          <w:szCs w:val="28"/>
          <w:highlight w:val="none"/>
          <w:lang w:val="en-US" w:eastAsia="zh-CN"/>
        </w:rPr>
        <w:t>在合同履约期内</w:t>
      </w:r>
      <w:r>
        <w:rPr>
          <w:rFonts w:hint="eastAsia" w:ascii="仿宋_GB2312" w:hAnsi="仿宋_GB2312" w:eastAsia="仿宋_GB2312" w:cs="仿宋_GB2312"/>
          <w:color w:val="auto"/>
          <w:sz w:val="28"/>
          <w:szCs w:val="28"/>
          <w:highlight w:val="none"/>
          <w:lang w:val="en-US"/>
        </w:rPr>
        <w:t>按本文件要求</w:t>
      </w:r>
      <w:r>
        <w:rPr>
          <w:rFonts w:hint="eastAsia" w:ascii="仿宋_GB2312" w:hAnsi="仿宋_GB2312" w:eastAsia="仿宋_GB2312" w:cs="仿宋_GB2312"/>
          <w:color w:val="auto"/>
          <w:sz w:val="28"/>
          <w:szCs w:val="28"/>
          <w:highlight w:val="none"/>
          <w:lang w:val="en-US" w:eastAsia="zh-CN"/>
        </w:rPr>
        <w:t>提供货物及组装、按采购人需求进行货物配送</w:t>
      </w:r>
      <w:r>
        <w:rPr>
          <w:rFonts w:hint="eastAsia" w:ascii="仿宋_GB2312" w:hAnsi="仿宋_GB2312" w:eastAsia="仿宋_GB2312" w:cs="仿宋_GB2312"/>
          <w:color w:val="auto"/>
          <w:sz w:val="28"/>
          <w:szCs w:val="28"/>
          <w:highlight w:val="none"/>
          <w:lang w:val="en-US"/>
        </w:rPr>
        <w:t>到采购人院内指定地点，</w:t>
      </w:r>
      <w:r>
        <w:rPr>
          <w:rFonts w:hint="eastAsia" w:ascii="仿宋_GB2312" w:hAnsi="仿宋_GB2312" w:eastAsia="仿宋_GB2312" w:cs="仿宋_GB2312"/>
          <w:color w:val="auto"/>
          <w:sz w:val="28"/>
          <w:szCs w:val="28"/>
        </w:rPr>
        <w:t>同时根据采购人需要提供</w:t>
      </w:r>
      <w:r>
        <w:rPr>
          <w:rFonts w:hint="eastAsia" w:ascii="仿宋_GB2312" w:hAnsi="仿宋_GB2312" w:eastAsia="仿宋_GB2312" w:cs="仿宋_GB2312"/>
          <w:color w:val="auto"/>
          <w:sz w:val="28"/>
          <w:szCs w:val="28"/>
          <w:lang w:val="en-US" w:eastAsia="zh-CN"/>
        </w:rPr>
        <w:t>货物相应配套</w:t>
      </w:r>
      <w:r>
        <w:rPr>
          <w:rFonts w:hint="eastAsia" w:ascii="仿宋_GB2312" w:hAnsi="仿宋_GB2312" w:eastAsia="仿宋_GB2312" w:cs="仿宋_GB2312"/>
          <w:color w:val="auto"/>
          <w:sz w:val="28"/>
          <w:szCs w:val="28"/>
        </w:rPr>
        <w:t>服务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对破损的货物包退换，不再额外收取费用。</w:t>
      </w:r>
    </w:p>
    <w:tbl>
      <w:tblPr>
        <w:tblStyle w:val="9"/>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8"/>
        <w:gridCol w:w="1536"/>
        <w:gridCol w:w="4090"/>
        <w:gridCol w:w="1444"/>
        <w:gridCol w:w="1705"/>
      </w:tblGrid>
      <w:tr w14:paraId="77DA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91" w:type="pct"/>
            <w:tcBorders>
              <w:top w:val="single" w:color="auto" w:sz="4" w:space="0"/>
              <w:left w:val="single" w:color="auto" w:sz="4" w:space="0"/>
              <w:bottom w:val="nil"/>
              <w:right w:val="nil"/>
            </w:tcBorders>
            <w:shd w:val="clear" w:color="auto" w:fill="auto"/>
            <w:vAlign w:val="center"/>
          </w:tcPr>
          <w:p w14:paraId="3279E1A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771" w:type="pct"/>
            <w:tcBorders>
              <w:top w:val="single" w:color="auto" w:sz="4" w:space="0"/>
              <w:left w:val="single" w:color="000000" w:sz="4" w:space="0"/>
              <w:bottom w:val="nil"/>
              <w:right w:val="single" w:color="000000" w:sz="4" w:space="0"/>
            </w:tcBorders>
            <w:shd w:val="clear" w:color="auto" w:fill="auto"/>
            <w:vAlign w:val="center"/>
          </w:tcPr>
          <w:p w14:paraId="7B28B9A9">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品名</w:t>
            </w:r>
          </w:p>
        </w:tc>
        <w:tc>
          <w:tcPr>
            <w:tcW w:w="2054" w:type="pct"/>
            <w:tcBorders>
              <w:top w:val="single" w:color="000000" w:sz="4" w:space="0"/>
              <w:left w:val="single" w:color="000000" w:sz="4" w:space="0"/>
              <w:bottom w:val="nil"/>
              <w:right w:val="single" w:color="000000" w:sz="4" w:space="0"/>
            </w:tcBorders>
            <w:shd w:val="clear" w:color="auto" w:fill="auto"/>
            <w:noWrap/>
            <w:vAlign w:val="center"/>
          </w:tcPr>
          <w:p w14:paraId="6BA197C6">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主要技术要求</w:t>
            </w:r>
          </w:p>
        </w:tc>
        <w:tc>
          <w:tcPr>
            <w:tcW w:w="725" w:type="pct"/>
            <w:tcBorders>
              <w:top w:val="single" w:color="000000" w:sz="4" w:space="0"/>
              <w:left w:val="single" w:color="000000" w:sz="4" w:space="0"/>
              <w:bottom w:val="nil"/>
              <w:right w:val="single" w:color="000000" w:sz="4" w:space="0"/>
            </w:tcBorders>
            <w:shd w:val="clear" w:color="auto" w:fill="auto"/>
            <w:noWrap/>
            <w:vAlign w:val="center"/>
          </w:tcPr>
          <w:p w14:paraId="329B644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计价单位</w:t>
            </w:r>
          </w:p>
        </w:tc>
        <w:tc>
          <w:tcPr>
            <w:tcW w:w="856" w:type="pct"/>
            <w:tcBorders>
              <w:top w:val="single" w:color="000000" w:sz="4" w:space="0"/>
              <w:left w:val="single" w:color="000000" w:sz="4" w:space="0"/>
              <w:bottom w:val="nil"/>
              <w:right w:val="single" w:color="000000" w:sz="4" w:space="0"/>
            </w:tcBorders>
            <w:shd w:val="clear" w:color="auto" w:fill="auto"/>
            <w:noWrap/>
            <w:vAlign w:val="center"/>
          </w:tcPr>
          <w:p w14:paraId="4174373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单价最高限价</w:t>
            </w:r>
          </w:p>
          <w:p w14:paraId="5C85371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（元）</w:t>
            </w:r>
          </w:p>
        </w:tc>
      </w:tr>
      <w:tr w14:paraId="48BE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F26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B2C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六类网线水晶头</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649F">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支持语音、数据、视频信号高速传输</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符合ANSI/TIA-568.2-D和ISO/IEC11801-2017 标准</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采用三叉簧片设计、磷青铜镀金材料，插拔次数不小于1000次</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工作温度-20～60℃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34D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100颗/包</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4E6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100</w:t>
            </w:r>
          </w:p>
        </w:tc>
      </w:tr>
      <w:tr w14:paraId="65915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B30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EDE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六类千兆网线</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693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支持语音、数据、视频信号高速传输</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支持 PoE/PoE+/PoE++</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导体直径：0.57±0.02mm(23AWG)</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绝缘材料：实心PE</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护套材料：PVC/LSZH</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提供电缆长度标记，可提供多种阻燃等级（成束燃烧、单根垂直燃烧、B1/B2级阻燃、CM/CMR等）</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线对间用十字骨架隔离，有效地降低了串扰，增加了结构稳定性</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符合ANSI/TIA-568.2-D 250MHz测试并可扩展至350MHz</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B7F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100米</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0AF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270</w:t>
            </w:r>
          </w:p>
        </w:tc>
      </w:tr>
      <w:tr w14:paraId="2741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C3D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3</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226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壁挂</w:t>
            </w:r>
          </w:p>
          <w:p w14:paraId="5187BC1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电话机</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D8532">
            <w:pPr>
              <w:keepNext w:val="0"/>
              <w:keepLines w:val="0"/>
              <w:widowControl/>
              <w:suppressLineNumbers w:val="0"/>
              <w:spacing w:line="240" w:lineRule="auto"/>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中诺A061</w:t>
            </w:r>
          </w:p>
          <w:p w14:paraId="4A429F63">
            <w:pPr>
              <w:keepNext w:val="0"/>
              <w:keepLines w:val="0"/>
              <w:widowControl/>
              <w:suppressLineNumbers w:val="0"/>
              <w:spacing w:line="240" w:lineRule="auto"/>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壁挂固定有绳电话座机</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手柄按键一体化设计，支持一键静音、一键重拨</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FD54">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E17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35</w:t>
            </w:r>
          </w:p>
        </w:tc>
      </w:tr>
      <w:tr w14:paraId="4A59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F9F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4</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EED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color w:val="auto"/>
                <w:kern w:val="0"/>
                <w:sz w:val="28"/>
                <w:szCs w:val="28"/>
                <w:u w:val="none"/>
                <w:lang w:val="en-US" w:eastAsia="zh-CN" w:bidi="ar"/>
              </w:rPr>
              <w:t>电脑KVM切换器</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1DB2">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毕亚兹</w:t>
            </w:r>
          </w:p>
          <w:p w14:paraId="2983CF3C">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KVM USB二进一出切换器，输入端PC*2、USB*2，输出端PC、USB母*2，免驱动即插即用</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支持1920*1440、1920*1080分辨率</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3A9E">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237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90</w:t>
            </w:r>
          </w:p>
        </w:tc>
      </w:tr>
      <w:tr w14:paraId="3C629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9DE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5</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F17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TPlink 5口交换机</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CEC52">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金属外壳</w:t>
            </w:r>
          </w:p>
          <w:p w14:paraId="798872A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端口数量：5个10/100/1000Mbps RJ45端口</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每端口具有1个Link/Ack指示灯</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每设备具有1个Power指示灯</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存储转发：支持2K的MAC地址表深度</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网络标准：IEEE 802.3 、IEEE 802.3u、IEEE 802.3ab、IEEE 802.3x</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6C29">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235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65</w:t>
            </w:r>
          </w:p>
        </w:tc>
      </w:tr>
      <w:tr w14:paraId="41AE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345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6</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2CA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TPlink 8口交换机</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67FE">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金属外壳</w:t>
            </w:r>
          </w:p>
          <w:p w14:paraId="2652CEE8">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端口数量：8个10/100M/1000M自适应RJ45端口（Auto MDI/MDIX）</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LED ：10/100（LINK/ACT），Power（电源）</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网络介质：（10Base-T）3类或3类以上UTP,(100Base-TX)5类UTP</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MAC地址表：2K</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协议标准：IEEE 802.3、IEEE 802.3u、IEEE 802.3x</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7323">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C08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115</w:t>
            </w:r>
          </w:p>
        </w:tc>
      </w:tr>
      <w:tr w14:paraId="0686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05C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7</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130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1200无线路由器</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90F4">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睿易RG-EW</w:t>
            </w:r>
          </w:p>
          <w:p w14:paraId="7E95C601">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端口数量：1个WAN口，3个LAN口</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带宽：10/100/1000 Mbps自适应以太网接口，不支持带宽叠加</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整机支持24个终端线</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Mesh：支持</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 xml:space="preserve">无线协议：Wi-Fi4:IEEE 802.11a/b/g/n，Wi-Fi5:IEEE 802.11ac,11ac Wave2 </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无线速率：≤1167 Mbps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工作频段：2.4GHz和5GHz</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IPX0平均无故障时间（MTBF）：≥25000H</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20D7">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E60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160</w:t>
            </w:r>
          </w:p>
        </w:tc>
      </w:tr>
      <w:tr w14:paraId="7FDA8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B4A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8</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364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3000GX无线路由器</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BF51">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睿易RG-EW</w:t>
            </w:r>
          </w:p>
          <w:p w14:paraId="31F462B3">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推荐带宽：1000Mbps，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内存：256MB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支持带宽叠加、支持应用识别</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接口：5个10/100/1000 Mbps自适应以太网接口</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WAN/LAN切换：支持1个WAN口，4个LAN口，最大支持2个WAN口</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无线协议：支持802.11a/n/ac/ax和802.11b/g/n/ax</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工作频段：2.4GHz和5GHz</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IPX0平均无故障时间（MTBF）：≥25000H</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67B7">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71B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200</w:t>
            </w:r>
          </w:p>
        </w:tc>
      </w:tr>
      <w:tr w14:paraId="4ABAF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196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9</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8E4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有线光电鼠标</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A2AF">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双飞燕</w:t>
            </w:r>
          </w:p>
          <w:p w14:paraId="7CFB63D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鼠标类型：有线光电</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接口类型：USB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工作方式：光电（针光）</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人体工学：对称设计</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按键数：3个</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滚轮方向：四向滚轮</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线长：1.5m</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3D5F">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DFB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50</w:t>
            </w:r>
          </w:p>
        </w:tc>
      </w:tr>
      <w:tr w14:paraId="0EA4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FE7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10</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5C57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有线键盘</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3CAB">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双飞燕</w:t>
            </w:r>
          </w:p>
          <w:p w14:paraId="26C60E41">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键盘类别：有线</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接口类型：USB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键盘按键数：104键</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按键技术：火山口架构</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按键行程：中</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人体工学：支持</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防水功能：支持</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6425">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9B8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60</w:t>
            </w:r>
          </w:p>
        </w:tc>
      </w:tr>
      <w:tr w14:paraId="392C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0B6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11</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527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16G优盘</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69BA">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存储容量：16GB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读取数据传输率：≥100MB/s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写入数据传输速度：≥10MB/s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兼容操作系统：window7，window8，window10，MAC，支持麒麟、统信等主流国产操作系统</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FE3B">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08D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20</w:t>
            </w:r>
          </w:p>
        </w:tc>
      </w:tr>
      <w:tr w14:paraId="1388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89A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12</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604B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32G优盘</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7FB2">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存储容量：32GB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读取数据传输率：≥100MB/s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写入数据传输速度：≥10MB/s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兼容操作系统：window7，window8，window10，MAC，支持麒麟、统信等主流国产操作系统</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B035">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7D8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45</w:t>
            </w:r>
          </w:p>
        </w:tc>
      </w:tr>
      <w:tr w14:paraId="07A84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8A1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13</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3EF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64G优盘</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1057">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存储容量：64GB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读取数据传输率：≥100MB/s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写入数据传输速度：≥10MB/s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兼容操作系统：window7，window8，window10，MAC，支持麒麟、统信等主流国产操作系统</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6E69">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942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65</w:t>
            </w:r>
          </w:p>
        </w:tc>
      </w:tr>
      <w:tr w14:paraId="17776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9CC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14</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0FC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128G优盘</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4F08">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存储容量：128GB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读取数据传输率：≥100MB/s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写入数据传输速度：≥10MB/s</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兼容操作系统：window7，window8，window10，MAC，支持麒麟、统信等主流国产操作系统</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366">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487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90</w:t>
            </w:r>
          </w:p>
        </w:tc>
      </w:tr>
      <w:tr w14:paraId="5D9D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1"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F63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15</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9C074">
            <w:pPr>
              <w:keepNext w:val="0"/>
              <w:keepLines w:val="0"/>
              <w:widowControl/>
              <w:suppressLineNumbers w:val="0"/>
              <w:tabs>
                <w:tab w:val="left" w:pos="479"/>
              </w:tabs>
              <w:spacing w:line="240" w:lineRule="auto"/>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U盘扩展口</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F4D4">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输入端：USB3.0A</w:t>
            </w:r>
          </w:p>
          <w:p w14:paraId="239BE4DC">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输出端：4xUSB 3.0A</w:t>
            </w:r>
          </w:p>
          <w:p w14:paraId="459F5732">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USB 规格：USB 3.0标准，传输速率 5Gbps</w:t>
            </w:r>
          </w:p>
          <w:p w14:paraId="76BEC4EB">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USB-C供电接口：5V/2A</w:t>
            </w:r>
          </w:p>
          <w:p w14:paraId="5C8FB63B">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支持系统：window7，window8，window10，MAC，支持麒麟、统信等主流国产操作系统</w:t>
            </w:r>
          </w:p>
          <w:p w14:paraId="575A265E">
            <w:pPr>
              <w:pStyle w:val="2"/>
              <w:spacing w:line="240" w:lineRule="auto"/>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线长不低于1米</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1B49">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251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40</w:t>
            </w:r>
          </w:p>
        </w:tc>
      </w:tr>
      <w:tr w14:paraId="0B543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A21E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16</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F71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1TB移动</w:t>
            </w:r>
          </w:p>
          <w:p w14:paraId="40C9843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硬盘</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07B1">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产品类型：移动硬盘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存储容量：1TB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硬盘尺寸：2.5英寸</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外部输出接口：USB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兼容操作系统：window7，window8，window10，MAC，支持麒麟、统信等主流国产操作系统</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1E54">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A47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420</w:t>
            </w:r>
          </w:p>
        </w:tc>
      </w:tr>
      <w:tr w14:paraId="2C8F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A6A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17</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F1C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2TB移动</w:t>
            </w:r>
          </w:p>
          <w:p w14:paraId="651ADC8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硬盘</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8BD1">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产品类型：移动硬盘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存储容量：2TB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硬盘尺寸：2.5英寸</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外部输出接口：USB</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兼容操作系统：window7，window8，window10，MAC，支持麒麟、统信等主流国产操作系统</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F1BE">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A87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540</w:t>
            </w:r>
          </w:p>
        </w:tc>
      </w:tr>
      <w:tr w14:paraId="59FB5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584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18</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7E8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网络跳线2M</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7433">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线缆长度：≥2m</w:t>
            </w:r>
          </w:p>
          <w:p w14:paraId="04DC410A">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电缆护套材料：聚氯乙烯</w:t>
            </w:r>
          </w:p>
          <w:p w14:paraId="24D2D11B">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绝缘材料：高密度聚乙烯</w:t>
            </w:r>
          </w:p>
          <w:p w14:paraId="149F3514">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导体材料：无氧圆铜，多股绞合线</w:t>
            </w:r>
          </w:p>
          <w:p w14:paraId="4CA6C4F6">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插头材料：阻燃透明聚碳酸酯</w:t>
            </w:r>
          </w:p>
          <w:p w14:paraId="084E37D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插头护套：聚氯乙烯</w:t>
            </w:r>
          </w:p>
          <w:p w14:paraId="269F3260">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簧片材料：铜表面镀金</w:t>
            </w:r>
          </w:p>
          <w:p w14:paraId="120CDF26">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插拔次数：≥1000次</w:t>
            </w:r>
          </w:p>
          <w:p w14:paraId="6AB06928">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使用温度：-20℃~﹢60℃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A84A">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根</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699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10</w:t>
            </w:r>
          </w:p>
        </w:tc>
      </w:tr>
      <w:tr w14:paraId="22B8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E83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19</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2BE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网络跳线3M</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2953">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线缆长度：≥3m</w:t>
            </w:r>
          </w:p>
          <w:p w14:paraId="70AD0227">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电缆护套材料：聚氯乙烯</w:t>
            </w:r>
          </w:p>
          <w:p w14:paraId="52052292">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绝缘材料：高密度聚乙烯</w:t>
            </w:r>
          </w:p>
          <w:p w14:paraId="7B9D1C4E">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导体材料：无氧圆铜，多股绞合线</w:t>
            </w:r>
          </w:p>
          <w:p w14:paraId="40162A16">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插头材料：阻燃透明聚碳酸酯</w:t>
            </w:r>
          </w:p>
          <w:p w14:paraId="65A8E9BF">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插头护套：聚氯乙烯</w:t>
            </w:r>
          </w:p>
          <w:p w14:paraId="37146A7C">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簧片材料：铜表面镀金</w:t>
            </w:r>
          </w:p>
          <w:p w14:paraId="1EE8BF5A">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插拔次数：≥1000次</w:t>
            </w:r>
          </w:p>
          <w:p w14:paraId="79E7FAEC">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使用温度：-20℃~﹢60℃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2F5E">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根</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BE9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15</w:t>
            </w:r>
          </w:p>
        </w:tc>
      </w:tr>
      <w:tr w14:paraId="748F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F07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20</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F75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得力手持式扫码枪</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8379">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设备类型：条码扫描器</w:t>
            </w:r>
          </w:p>
          <w:p w14:paraId="4B163E4F">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扫描方式：影像式</w:t>
            </w:r>
          </w:p>
          <w:p w14:paraId="7CCD82A8">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光源：红光LED，白光LED</w:t>
            </w:r>
          </w:p>
          <w:p w14:paraId="764B208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接口：USB</w:t>
            </w:r>
          </w:p>
          <w:p w14:paraId="59EA7F0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识读码制：一维码，二维码</w:t>
            </w:r>
          </w:p>
          <w:p w14:paraId="4F8D1943">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识读性能：自动/手动</w:t>
            </w:r>
          </w:p>
          <w:p w14:paraId="3496627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扫描精度：一维码≥4.7mil，二维码≥10mil</w:t>
            </w:r>
          </w:p>
          <w:p w14:paraId="758296E1">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提示方式：蜂鸣器、指示灯</w:t>
            </w:r>
          </w:p>
          <w:p w14:paraId="682AA282">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工作电流：200mA</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15FF">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BC3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200</w:t>
            </w:r>
          </w:p>
        </w:tc>
      </w:tr>
      <w:tr w14:paraId="1D40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126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21</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460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固定式</w:t>
            </w:r>
          </w:p>
          <w:p w14:paraId="09159F9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扫码墩</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E9B0">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设备类型</w:t>
            </w:r>
            <w:r>
              <w:rPr>
                <w:rFonts w:hint="eastAsia" w:ascii="仿宋_GB2312" w:hAnsi="仿宋_GB2312" w:eastAsia="仿宋_GB2312" w:cs="仿宋_GB2312"/>
                <w:color w:val="auto"/>
                <w:sz w:val="24"/>
                <w:szCs w:val="24"/>
                <w:lang w:eastAsia="zh-CN"/>
              </w:rPr>
              <w:t>：数</w:t>
            </w:r>
            <w:r>
              <w:rPr>
                <w:rFonts w:hint="eastAsia" w:ascii="仿宋_GB2312" w:hAnsi="仿宋_GB2312" w:eastAsia="仿宋_GB2312" w:cs="仿宋_GB2312"/>
                <w:color w:val="auto"/>
                <w:sz w:val="24"/>
                <w:szCs w:val="24"/>
              </w:rPr>
              <w:t>码扫描器</w:t>
            </w:r>
          </w:p>
          <w:p w14:paraId="6D40E670">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扫描方式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CMOS</w:t>
            </w:r>
          </w:p>
          <w:p w14:paraId="22A43AF9">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分辨率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≥640×480</w:t>
            </w:r>
          </w:p>
          <w:p w14:paraId="369491DD">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光源</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白光LED</w:t>
            </w:r>
          </w:p>
          <w:p w14:paraId="2DB13D2C">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扫描角度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水平≥69.5°，垂直≥54.8°</w:t>
            </w:r>
          </w:p>
          <w:p w14:paraId="2E55D678">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接口</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USB</w:t>
            </w:r>
          </w:p>
          <w:p w14:paraId="2BBDAA48">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识读码制</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2D</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PDF417，QR Code，Data Matrix，Micro QR</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1D</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Code 128，Code 11，GSI-128（UCC/EAN-128），EAN-8，EAN-13，UPC-A，UPC-E，AM128，Codabar，ISSN，ISBN，Interleaved 2 of 5，Matrix 2 of 5，MSI-Plessey，GSI Databar</w:t>
            </w:r>
          </w:p>
          <w:p w14:paraId="035BECDC">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精度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≥4mil</w:t>
            </w:r>
          </w:p>
          <w:p w14:paraId="7D848F34">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机械/电气</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静电释放±8kV（空气放电）</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±4kV（直接放电）</w:t>
            </w:r>
          </w:p>
          <w:p w14:paraId="46D4A7C5">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提示方式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提示音，LED</w:t>
            </w:r>
          </w:p>
          <w:p w14:paraId="2A356785">
            <w:pPr>
              <w:spacing w:line="240" w:lineRule="auto"/>
              <w:jc w:val="left"/>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sz w:val="24"/>
                <w:szCs w:val="24"/>
              </w:rPr>
              <w:t>工作温度：-20-60℃，储存温度：-40-70℃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483F">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A96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390</w:t>
            </w:r>
          </w:p>
        </w:tc>
      </w:tr>
      <w:tr w14:paraId="0330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6A4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22</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B4D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二维码</w:t>
            </w:r>
          </w:p>
          <w:p w14:paraId="4286B5A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扫码墩</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7A4C">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设备类型</w:t>
            </w:r>
            <w:r>
              <w:rPr>
                <w:rFonts w:hint="eastAsia" w:ascii="仿宋_GB2312" w:hAnsi="仿宋_GB2312" w:eastAsia="仿宋_GB2312" w:cs="仿宋_GB2312"/>
                <w:color w:val="auto"/>
                <w:sz w:val="24"/>
                <w:szCs w:val="24"/>
                <w:lang w:eastAsia="zh-CN"/>
              </w:rPr>
              <w:t>：数</w:t>
            </w:r>
            <w:r>
              <w:rPr>
                <w:rFonts w:hint="eastAsia" w:ascii="仿宋_GB2312" w:hAnsi="仿宋_GB2312" w:eastAsia="仿宋_GB2312" w:cs="仿宋_GB2312"/>
                <w:color w:val="auto"/>
                <w:sz w:val="24"/>
                <w:szCs w:val="24"/>
              </w:rPr>
              <w:t>码扫描器</w:t>
            </w:r>
          </w:p>
          <w:p w14:paraId="5207CE38">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扫描方式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CMOS</w:t>
            </w:r>
          </w:p>
          <w:p w14:paraId="7C0F124E">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分辨率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≥640×480</w:t>
            </w:r>
          </w:p>
          <w:p w14:paraId="426F7731">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光源</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白光LED</w:t>
            </w:r>
          </w:p>
          <w:p w14:paraId="33858EBE">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扫描角度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水平≥69.5°，垂直≥54.8°</w:t>
            </w:r>
          </w:p>
          <w:p w14:paraId="6C57AE90">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接口</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USB</w:t>
            </w:r>
          </w:p>
          <w:p w14:paraId="5CF0B9F6">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识读码制</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2D</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PDF417，QR Code，Data Matrix，Micro QR</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1D</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Code 128，Code 11，GSI-128（UCC/EAN-128），EAN-8，EAN-13，UPC-A，UPC-E，AM128，Codabar，ISSN，ISBN，Interleaved 2 of 5，Matrix 2 of 5，MSI-Plessey，GSI Databar</w:t>
            </w:r>
          </w:p>
          <w:p w14:paraId="59D6B23F">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精度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≥4mil</w:t>
            </w:r>
          </w:p>
          <w:p w14:paraId="24429801">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机械/电气</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静电释放±8kV（空气放电）</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±4kV（直接放电）</w:t>
            </w:r>
          </w:p>
          <w:p w14:paraId="20192208">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提示方式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提示音，LED</w:t>
            </w:r>
          </w:p>
          <w:p w14:paraId="2C00E151">
            <w:pPr>
              <w:spacing w:line="240" w:lineRule="auto"/>
              <w:jc w:val="left"/>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sz w:val="24"/>
                <w:szCs w:val="24"/>
              </w:rPr>
              <w:t>工作温度：-20-60℃，储存温度：-40-70℃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48B5">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B6D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200</w:t>
            </w:r>
          </w:p>
        </w:tc>
      </w:tr>
      <w:tr w14:paraId="21C7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34F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23</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7EC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身份证</w:t>
            </w:r>
          </w:p>
          <w:p w14:paraId="5756673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识别器</w:t>
            </w:r>
          </w:p>
        </w:tc>
        <w:tc>
          <w:tcPr>
            <w:tcW w:w="2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BB73D">
            <w:pPr>
              <w:spacing w:line="240" w:lineRule="auto"/>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新中新</w:t>
            </w:r>
          </w:p>
          <w:p w14:paraId="7EDF1BCA">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设备类型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指纹身份证阅读器</w:t>
            </w:r>
          </w:p>
          <w:p w14:paraId="48DC15DD">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射频技术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符合公安部GA450《台式居民身份证阅读器通用技术条件》和GA/T1011《居民身份证指纹采集器通用技术条件》标准以及ISO14443（Type B）国际标准</w:t>
            </w:r>
          </w:p>
          <w:p w14:paraId="31C7888E">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工作频率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13.56MHz±7KHz</w:t>
            </w:r>
          </w:p>
          <w:p w14:paraId="444125E7">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读卡距离</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≥30mm</w:t>
            </w:r>
          </w:p>
          <w:p w14:paraId="3A92FC4F">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阅读时间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≤1s</w:t>
            </w:r>
          </w:p>
          <w:p w14:paraId="3F557306">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产品接口</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USB2.0</w:t>
            </w:r>
          </w:p>
          <w:p w14:paraId="67CA8F65">
            <w:pPr>
              <w:spacing w:line="240" w:lineRule="auto"/>
              <w:jc w:val="left"/>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sz w:val="24"/>
                <w:szCs w:val="24"/>
              </w:rPr>
              <w:t>操作系统</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Windows 2000/XP/7</w:t>
            </w:r>
            <w:r>
              <w:rPr>
                <w:rFonts w:hint="eastAsia" w:ascii="仿宋_GB2312" w:hAnsi="仿宋_GB2312" w:eastAsia="仿宋_GB2312" w:cs="仿宋_GB2312"/>
                <w:color w:val="auto"/>
                <w:sz w:val="24"/>
                <w:szCs w:val="24"/>
                <w:lang w:val="en-US" w:eastAsia="zh-CN"/>
              </w:rPr>
              <w:t>/10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2A75">
            <w:pPr>
              <w:spacing w:line="240" w:lineRule="auto"/>
              <w:jc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个</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8D1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930</w:t>
            </w:r>
          </w:p>
        </w:tc>
      </w:tr>
    </w:tbl>
    <w:p w14:paraId="6584322C">
      <w:pPr>
        <w:keepNext w:val="0"/>
        <w:keepLines w:val="0"/>
        <w:pageBreakBefore w:val="0"/>
        <w:tabs>
          <w:tab w:val="left" w:pos="3120"/>
        </w:tabs>
        <w:kinsoku/>
        <w:wordWrap/>
        <w:overflowPunct/>
        <w:topLinePunct w:val="0"/>
        <w:bidi w:val="0"/>
        <w:adjustRightInd/>
        <w:snapToGrid/>
        <w:spacing w:line="360" w:lineRule="auto"/>
        <w:textAlignment w:val="auto"/>
        <w:rPr>
          <w:rFonts w:hint="eastAsia" w:ascii="仿宋_GB2312" w:hAnsi="仿宋_GB2312" w:eastAsia="仿宋_GB2312" w:cs="仿宋_GB2312"/>
          <w:b/>
          <w:bCs/>
          <w:color w:val="auto"/>
          <w:kern w:val="0"/>
          <w:sz w:val="28"/>
          <w:szCs w:val="28"/>
          <w:lang w:val="en-US" w:eastAsia="zh-CN"/>
        </w:rPr>
      </w:pPr>
    </w:p>
    <w:p w14:paraId="645FA11A">
      <w:pPr>
        <w:keepNext w:val="0"/>
        <w:keepLines w:val="0"/>
        <w:pageBreakBefore w:val="0"/>
        <w:tabs>
          <w:tab w:val="left" w:pos="3120"/>
        </w:tabs>
        <w:kinsoku/>
        <w:wordWrap/>
        <w:overflowPunct/>
        <w:topLinePunct w:val="0"/>
        <w:bidi w:val="0"/>
        <w:adjustRightInd/>
        <w:snapToGrid/>
        <w:spacing w:line="360" w:lineRule="auto"/>
        <w:ind w:firstLine="562" w:firstLineChars="200"/>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五、技术要求</w:t>
      </w:r>
    </w:p>
    <w:p w14:paraId="36A3F2B0">
      <w:pPr>
        <w:keepNext w:val="0"/>
        <w:keepLines w:val="0"/>
        <w:pageBreakBefore w:val="0"/>
        <w:tabs>
          <w:tab w:val="left" w:pos="3120"/>
        </w:tabs>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1、供应商所提供的货物</w:t>
      </w:r>
      <w:r>
        <w:rPr>
          <w:rFonts w:hint="eastAsia" w:ascii="仿宋_GB2312" w:hAnsi="仿宋_GB2312" w:eastAsia="仿宋_GB2312" w:cs="仿宋_GB2312"/>
          <w:color w:val="auto"/>
          <w:kern w:val="0"/>
          <w:sz w:val="28"/>
          <w:szCs w:val="28"/>
          <w:lang w:val="en-US" w:eastAsia="zh-CN"/>
        </w:rPr>
        <w:t>质量技术参数</w:t>
      </w:r>
      <w:r>
        <w:rPr>
          <w:rFonts w:hint="eastAsia" w:ascii="仿宋_GB2312" w:hAnsi="仿宋_GB2312" w:eastAsia="仿宋_GB2312" w:cs="仿宋_GB2312"/>
          <w:color w:val="auto"/>
          <w:kern w:val="0"/>
          <w:sz w:val="28"/>
          <w:szCs w:val="28"/>
        </w:rPr>
        <w:t>应等于或优于</w:t>
      </w:r>
      <w:r>
        <w:rPr>
          <w:rFonts w:hint="eastAsia" w:ascii="仿宋_GB2312" w:hAnsi="仿宋_GB2312" w:eastAsia="仿宋_GB2312" w:cs="仿宋_GB2312"/>
          <w:color w:val="auto"/>
          <w:kern w:val="0"/>
          <w:sz w:val="28"/>
          <w:szCs w:val="28"/>
          <w:lang w:eastAsia="zh-CN"/>
        </w:rPr>
        <w:t>本文件</w:t>
      </w:r>
      <w:r>
        <w:rPr>
          <w:rFonts w:hint="eastAsia" w:ascii="仿宋_GB2312" w:hAnsi="仿宋_GB2312" w:eastAsia="仿宋_GB2312" w:cs="仿宋_GB2312"/>
          <w:color w:val="auto"/>
          <w:kern w:val="0"/>
          <w:sz w:val="28"/>
          <w:szCs w:val="28"/>
        </w:rPr>
        <w:t>对货物技术参数要求，不得出现负偏离。若</w:t>
      </w:r>
      <w:r>
        <w:rPr>
          <w:rFonts w:hint="eastAsia" w:ascii="仿宋_GB2312" w:hAnsi="仿宋_GB2312" w:eastAsia="仿宋_GB2312" w:cs="仿宋_GB2312"/>
          <w:color w:val="auto"/>
          <w:kern w:val="0"/>
          <w:sz w:val="28"/>
          <w:szCs w:val="28"/>
          <w:lang w:eastAsia="zh-CN"/>
        </w:rPr>
        <w:t>本文件</w:t>
      </w:r>
      <w:r>
        <w:rPr>
          <w:rFonts w:hint="eastAsia" w:ascii="仿宋_GB2312" w:hAnsi="仿宋_GB2312" w:eastAsia="仿宋_GB2312" w:cs="仿宋_GB2312"/>
          <w:color w:val="auto"/>
          <w:kern w:val="0"/>
          <w:sz w:val="28"/>
          <w:szCs w:val="28"/>
        </w:rPr>
        <w:t>中的技术要求无明确说明，则按国家有关部门及行业最新颁布的要求为准，包括货物售后质保期时间。货物必须符合或优于国家</w:t>
      </w:r>
      <w:r>
        <w:rPr>
          <w:rFonts w:hint="eastAsia" w:ascii="仿宋_GB2312" w:hAnsi="仿宋_GB2312" w:eastAsia="仿宋_GB2312" w:cs="仿宋_GB2312"/>
          <w:color w:val="auto"/>
          <w:kern w:val="0"/>
          <w:sz w:val="28"/>
          <w:szCs w:val="28"/>
          <w:lang w:val="en-US" w:eastAsia="zh-CN"/>
        </w:rPr>
        <w:t>对该项货物的国家标准和</w:t>
      </w:r>
      <w:r>
        <w:rPr>
          <w:rFonts w:hint="eastAsia" w:ascii="仿宋_GB2312" w:hAnsi="仿宋_GB2312" w:eastAsia="仿宋_GB2312" w:cs="仿宋_GB2312"/>
          <w:color w:val="auto"/>
          <w:kern w:val="0"/>
          <w:sz w:val="28"/>
          <w:szCs w:val="28"/>
        </w:rPr>
        <w:t>环保要求。</w:t>
      </w:r>
    </w:p>
    <w:p w14:paraId="49371E2E">
      <w:pPr>
        <w:pStyle w:val="15"/>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2、本项目为院内自主采购，非政府采购行为，本</w:t>
      </w:r>
      <w:r>
        <w:rPr>
          <w:rFonts w:hint="eastAsia" w:ascii="仿宋_GB2312" w:hAnsi="仿宋_GB2312" w:eastAsia="仿宋_GB2312" w:cs="仿宋_GB2312"/>
          <w:color w:val="auto"/>
          <w:sz w:val="28"/>
          <w:szCs w:val="28"/>
          <w:u w:val="single"/>
          <w:lang w:val="en-US" w:eastAsia="zh-CN"/>
        </w:rPr>
        <w:t>项目</w:t>
      </w:r>
      <w:r>
        <w:rPr>
          <w:rFonts w:hint="eastAsia" w:ascii="仿宋_GB2312" w:hAnsi="仿宋_GB2312" w:eastAsia="仿宋_GB2312" w:cs="仿宋_GB2312"/>
          <w:color w:val="auto"/>
          <w:sz w:val="28"/>
          <w:szCs w:val="28"/>
          <w:u w:val="single"/>
        </w:rPr>
        <w:t>所列品牌，潜在供应商应提供该品牌货物的报价，或等于或优于采购人所列品牌货物的同类产品报价进行响应。</w:t>
      </w:r>
    </w:p>
    <w:p w14:paraId="74317ED7">
      <w:pPr>
        <w:pStyle w:val="15"/>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外观必须整洁，符合该</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固有性状，不得有异常气味与异物，及其他缺陷，不得对</w:t>
      </w:r>
      <w:r>
        <w:rPr>
          <w:rFonts w:hint="eastAsia" w:ascii="仿宋_GB2312" w:hAnsi="仿宋_GB2312" w:eastAsia="仿宋_GB2312" w:cs="仿宋_GB2312"/>
          <w:color w:val="auto"/>
          <w:sz w:val="28"/>
          <w:szCs w:val="28"/>
          <w:lang w:val="en-US" w:eastAsia="zh-CN"/>
        </w:rPr>
        <w:t>人体</w:t>
      </w:r>
      <w:r>
        <w:rPr>
          <w:rFonts w:hint="eastAsia" w:ascii="仿宋_GB2312" w:hAnsi="仿宋_GB2312" w:eastAsia="仿宋_GB2312" w:cs="仿宋_GB2312"/>
          <w:color w:val="auto"/>
          <w:sz w:val="28"/>
          <w:szCs w:val="28"/>
        </w:rPr>
        <w:t>产生不良刺激与过敏反应及其他损害作用。</w:t>
      </w:r>
    </w:p>
    <w:p w14:paraId="3AA43740">
      <w:pPr>
        <w:pStyle w:val="15"/>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4、供应商提供的货物应为原厂原装、未拆封全新货物，不得提供翻新、组装货物，供应商提供的货物要能在采购人处信息设备上正常使用，不能正常使用的供应商应进行更换。</w:t>
      </w:r>
    </w:p>
    <w:p w14:paraId="5A5BD017">
      <w:pPr>
        <w:pStyle w:val="20"/>
        <w:keepNext w:val="0"/>
        <w:keepLines w:val="0"/>
        <w:pageBreakBefore w:val="0"/>
        <w:kinsoku/>
        <w:wordWrap/>
        <w:overflowPunct/>
        <w:topLinePunct w:val="0"/>
        <w:bidi w:val="0"/>
        <w:adjustRightInd/>
        <w:snapToGrid/>
        <w:spacing w:line="360" w:lineRule="auto"/>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六</w:t>
      </w:r>
      <w:r>
        <w:rPr>
          <w:rFonts w:hint="eastAsia" w:ascii="仿宋_GB2312" w:hAnsi="仿宋_GB2312" w:eastAsia="仿宋_GB2312" w:cs="仿宋_GB2312"/>
          <w:b/>
          <w:bCs/>
          <w:color w:val="auto"/>
          <w:sz w:val="28"/>
          <w:szCs w:val="28"/>
        </w:rPr>
        <w:t>、处罚承担约定</w:t>
      </w:r>
    </w:p>
    <w:p w14:paraId="1D8806B9">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02898C12">
      <w:pPr>
        <w:pStyle w:val="20"/>
        <w:keepNext w:val="0"/>
        <w:keepLines w:val="0"/>
        <w:pageBreakBefore w:val="0"/>
        <w:kinsoku/>
        <w:wordWrap/>
        <w:overflowPunct/>
        <w:topLinePunct w:val="0"/>
        <w:bidi w:val="0"/>
        <w:adjustRightInd/>
        <w:snapToGrid/>
        <w:spacing w:line="360" w:lineRule="auto"/>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、其他要求</w:t>
      </w:r>
    </w:p>
    <w:p w14:paraId="0425285E">
      <w:pPr>
        <w:pStyle w:val="12"/>
        <w:keepNext w:val="0"/>
        <w:keepLines w:val="0"/>
        <w:pageBreakBefore w:val="0"/>
        <w:numPr>
          <w:ilvl w:val="0"/>
          <w:numId w:val="0"/>
        </w:numPr>
        <w:tabs>
          <w:tab w:val="left" w:pos="0"/>
        </w:tabs>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本项目采用分批供货方式供货，本合同履行期内采购人电话通知供应商送货时间、货物品名、货物数量、型号规格、配送地点等。供应商接采购人通知送货，不论采购人货物需求规模大小，供应商均应保证按时按质供货。</w:t>
      </w:r>
      <w:r>
        <w:rPr>
          <w:rFonts w:hint="eastAsia" w:ascii="仿宋_GB2312" w:hAnsi="仿宋_GB2312" w:eastAsia="仿宋_GB2312" w:cs="仿宋_GB2312"/>
          <w:color w:val="auto"/>
          <w:kern w:val="0"/>
          <w:sz w:val="28"/>
          <w:szCs w:val="28"/>
          <w:highlight w:val="none"/>
          <w:lang w:val="en-US" w:eastAsia="zh-CN"/>
        </w:rPr>
        <w:t>供应商须严格按照采购人通知，将指定货物在规定时限内配送至指定地点，并完成安装调试、交接等工作，</w:t>
      </w:r>
      <w:r>
        <w:rPr>
          <w:rFonts w:hint="eastAsia" w:ascii="仿宋_GB2312" w:hAnsi="仿宋_GB2312" w:eastAsia="仿宋_GB2312" w:cs="仿宋_GB2312"/>
          <w:color w:val="auto"/>
          <w:sz w:val="28"/>
          <w:szCs w:val="28"/>
          <w:highlight w:val="none"/>
        </w:rPr>
        <w:t>完成</w:t>
      </w:r>
      <w:r>
        <w:rPr>
          <w:rFonts w:hint="eastAsia" w:ascii="仿宋_GB2312" w:hAnsi="仿宋_GB2312" w:eastAsia="仿宋_GB2312" w:cs="仿宋_GB2312"/>
          <w:color w:val="auto"/>
          <w:sz w:val="28"/>
          <w:szCs w:val="28"/>
          <w:highlight w:val="none"/>
          <w:lang w:val="en-US" w:eastAsia="zh-CN"/>
        </w:rPr>
        <w:t>后将货物配件妥善交接给使用人。</w:t>
      </w:r>
    </w:p>
    <w:p w14:paraId="34493EE0">
      <w:pPr>
        <w:pStyle w:val="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2、交货时间</w:t>
      </w:r>
      <w:r>
        <w:rPr>
          <w:rFonts w:hint="eastAsia" w:ascii="仿宋_GB2312" w:hAnsi="仿宋_GB2312" w:eastAsia="仿宋_GB2312" w:cs="仿宋_GB2312"/>
          <w:color w:val="auto"/>
          <w:sz w:val="28"/>
          <w:szCs w:val="28"/>
        </w:rPr>
        <w:t>：接采购人通知后，</w:t>
      </w: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小时内将该批次货物送</w:t>
      </w:r>
      <w:r>
        <w:rPr>
          <w:rFonts w:hint="eastAsia" w:ascii="仿宋_GB2312" w:hAnsi="仿宋_GB2312" w:eastAsia="仿宋_GB2312" w:cs="仿宋_GB2312"/>
          <w:color w:val="auto"/>
          <w:sz w:val="28"/>
          <w:szCs w:val="28"/>
          <w:lang w:eastAsia="zh-CN"/>
        </w:rPr>
        <w:t>达</w:t>
      </w:r>
      <w:r>
        <w:rPr>
          <w:rFonts w:hint="eastAsia" w:ascii="仿宋_GB2312" w:hAnsi="仿宋_GB2312" w:eastAsia="仿宋_GB2312" w:cs="仿宋_GB2312"/>
          <w:color w:val="auto"/>
          <w:sz w:val="28"/>
          <w:szCs w:val="28"/>
        </w:rPr>
        <w:t>采购人院内指定地点。</w:t>
      </w:r>
    </w:p>
    <w:p w14:paraId="66D7A290">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货物送达指定地点由供应商承担货物装卸、搬运上楼、堆叠码放费用。供应商提供的给采购人的货物配送到采购人指定位置时，其货物距离失效期必须剩余该商品整个保质期限三分之二以上的时间且不低于半年。</w:t>
      </w:r>
    </w:p>
    <w:p w14:paraId="36E4891A">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3、供应商应将货物配送到采购人指定的院内任意地点接受采购人验货，并将该批货物的产品检验报告资料和合格证等资料，移交至采购人职能科室工作人员。</w:t>
      </w:r>
    </w:p>
    <w:p w14:paraId="3B9E7E5A">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供应商应每次随货附销售单据。销售单据所记录的数据应与实际供货的品名、规格型号、数量、单价、金额等一致。货物验收时验收记录单据应当由采购人签字认可。</w:t>
      </w:r>
    </w:p>
    <w:p w14:paraId="6A3243DE">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未提供全流程服务视为供应商违约。供应商不得随意变更接洽人员。</w:t>
      </w:r>
    </w:p>
    <w:p w14:paraId="39645EF4">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5、提供合同履约期间货物会计数据统计工作，每月以电子文档形式将当月所有配送货物的时间、品名、规格、数量、单价、金额、所属科室等数据发送至采购人相关工作人员存档。</w:t>
      </w:r>
    </w:p>
    <w:p w14:paraId="2C962C4C">
      <w:pPr>
        <w:pStyle w:val="12"/>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6、提供因货物不符合</w:t>
      </w:r>
      <w:r>
        <w:rPr>
          <w:rFonts w:hint="eastAsia" w:ascii="仿宋_GB2312" w:hAnsi="仿宋_GB2312" w:eastAsia="仿宋_GB2312" w:cs="仿宋_GB2312"/>
          <w:color w:val="auto"/>
          <w:sz w:val="28"/>
          <w:szCs w:val="28"/>
          <w:lang w:eastAsia="zh-CN"/>
        </w:rPr>
        <w:t>本文件</w:t>
      </w:r>
      <w:r>
        <w:rPr>
          <w:rFonts w:hint="eastAsia" w:ascii="仿宋_GB2312" w:hAnsi="仿宋_GB2312" w:eastAsia="仿宋_GB2312" w:cs="仿宋_GB2312"/>
          <w:color w:val="auto"/>
          <w:sz w:val="28"/>
          <w:szCs w:val="28"/>
        </w:rPr>
        <w:t>要求产生的上门货物退换服务。由供应商派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w:t>
      </w:r>
    </w:p>
    <w:p w14:paraId="5F897925">
      <w:pPr>
        <w:pStyle w:val="17"/>
        <w:keepNext w:val="0"/>
        <w:keepLines w:val="0"/>
        <w:pageBreakBefore w:val="0"/>
        <w:widowControl/>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7、供应商需要根据采购人的日常工作使用情况做好货物的备品工作，确保货源稳定，节假日不能断供。</w:t>
      </w:r>
    </w:p>
    <w:p w14:paraId="6166A788">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rPr>
        <w:t>8、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w:t>
      </w:r>
      <w:r>
        <w:rPr>
          <w:rFonts w:hint="eastAsia" w:ascii="仿宋_GB2312" w:hAnsi="仿宋_GB2312" w:eastAsia="仿宋_GB2312" w:cs="仿宋_GB2312"/>
          <w:color w:val="auto"/>
          <w:sz w:val="28"/>
          <w:szCs w:val="28"/>
          <w:lang w:eastAsia="zh-CN"/>
        </w:rPr>
        <w:t>或</w:t>
      </w:r>
      <w:r>
        <w:rPr>
          <w:rFonts w:hint="eastAsia" w:ascii="仿宋_GB2312" w:hAnsi="仿宋_GB2312" w:eastAsia="仿宋_GB2312" w:cs="仿宋_GB2312"/>
          <w:color w:val="auto"/>
          <w:sz w:val="28"/>
          <w:szCs w:val="28"/>
        </w:rPr>
        <w:t>由此而导致的采购人对任何第三方的法律责任等，供应商对此均应承担全部的赔偿责任和法律责任。</w:t>
      </w:r>
    </w:p>
    <w:p w14:paraId="3D0625B0">
      <w:pPr>
        <w:pStyle w:val="16"/>
        <w:keepNext w:val="0"/>
        <w:keepLines w:val="0"/>
        <w:pageBreakBefore w:val="0"/>
        <w:kinsoku/>
        <w:wordWrap/>
        <w:overflowPunct/>
        <w:topLinePunct w:val="0"/>
        <w:bidi w:val="0"/>
        <w:adjustRightInd/>
        <w:snapToGrid/>
        <w:spacing w:line="360" w:lineRule="auto"/>
        <w:ind w:left="420" w:leftChars="200" w:firstLine="281" w:firstLineChars="1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lang w:val="en-US" w:eastAsia="zh-CN"/>
        </w:rPr>
        <w:t>八</w:t>
      </w:r>
      <w:r>
        <w:rPr>
          <w:rFonts w:hint="eastAsia" w:ascii="仿宋_GB2312" w:hAnsi="仿宋_GB2312" w:eastAsia="仿宋_GB2312" w:cs="仿宋_GB2312"/>
          <w:b/>
          <w:color w:val="auto"/>
          <w:sz w:val="28"/>
          <w:szCs w:val="28"/>
        </w:rPr>
        <w:t>、商务要求</w:t>
      </w:r>
    </w:p>
    <w:p w14:paraId="4E875E02">
      <w:pPr>
        <w:pStyle w:val="20"/>
        <w:keepNext w:val="0"/>
        <w:keepLines w:val="0"/>
        <w:pageBreakBefore w:val="0"/>
        <w:widowControl w:val="0"/>
        <w:kinsoku/>
        <w:wordWrap/>
        <w:overflowPunct/>
        <w:topLinePunct w:val="0"/>
        <w:bidi w:val="0"/>
        <w:adjustRightInd/>
        <w:snapToGrid/>
        <w:spacing w:line="360" w:lineRule="auto"/>
        <w:ind w:firstLine="56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（一）合同的履行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以下任一条件先达到即合同履行完毕</w:t>
      </w:r>
      <w:r>
        <w:rPr>
          <w:rFonts w:hint="eastAsia" w:ascii="仿宋_GB2312" w:hAnsi="仿宋_GB2312" w:eastAsia="仿宋_GB2312" w:cs="仿宋_GB2312"/>
          <w:color w:val="auto"/>
          <w:sz w:val="28"/>
          <w:szCs w:val="28"/>
          <w:lang w:eastAsia="zh-CN"/>
        </w:rPr>
        <w:t>）</w:t>
      </w:r>
    </w:p>
    <w:p w14:paraId="74EE5200">
      <w:pPr>
        <w:pStyle w:val="20"/>
        <w:keepNext w:val="0"/>
        <w:keepLines w:val="0"/>
        <w:pageBreakBefore w:val="0"/>
        <w:widowControl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1、双方签订采购合同生效之日起，合同履行期限不超过18个月。</w:t>
      </w:r>
    </w:p>
    <w:p w14:paraId="6F81A84F">
      <w:pPr>
        <w:pStyle w:val="20"/>
        <w:keepNext w:val="0"/>
        <w:keepLines w:val="0"/>
        <w:pageBreakBefore w:val="0"/>
        <w:widowControl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2、双方签订采购合同生效之日起，至</w:t>
      </w:r>
      <w:r>
        <w:rPr>
          <w:rFonts w:hint="eastAsia" w:ascii="仿宋_GB2312" w:hAnsi="仿宋_GB2312" w:eastAsia="仿宋_GB2312" w:cs="仿宋_GB2312"/>
          <w:color w:val="auto"/>
          <w:sz w:val="28"/>
          <w:szCs w:val="28"/>
        </w:rPr>
        <w:t>本项目采购总金额达到</w:t>
      </w:r>
      <w:r>
        <w:rPr>
          <w:rFonts w:hint="eastAsia" w:ascii="仿宋_GB2312" w:hAnsi="仿宋_GB2312" w:eastAsia="仿宋_GB2312" w:cs="仿宋_GB2312"/>
          <w:color w:val="auto"/>
          <w:sz w:val="28"/>
          <w:szCs w:val="28"/>
          <w:lang w:val="en-US" w:eastAsia="zh-CN"/>
        </w:rPr>
        <w:t>合同总价截止。</w:t>
      </w:r>
    </w:p>
    <w:p w14:paraId="3BFC9CA6">
      <w:pPr>
        <w:pStyle w:val="20"/>
        <w:keepNext w:val="0"/>
        <w:keepLines w:val="0"/>
        <w:pageBreakBefore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7773BAE1">
      <w:pPr>
        <w:pStyle w:val="20"/>
        <w:keepNext w:val="0"/>
        <w:keepLines w:val="0"/>
        <w:pageBreakBefore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4、合同中止的约定：若国家行政管理部门根据相应法律法规，要求采购人解除本合同，即使本项目采购总金额未达到本项目总预算，本合同仍然立即终止。</w:t>
      </w:r>
    </w:p>
    <w:p w14:paraId="477DB9E4">
      <w:pPr>
        <w:pStyle w:val="17"/>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（二）项目履行地点：大竹县人民医院院内指定地点。</w:t>
      </w:r>
      <w:r>
        <w:rPr>
          <w:rFonts w:hint="eastAsia" w:ascii="仿宋_GB2312" w:hAnsi="仿宋_GB2312" w:eastAsia="仿宋_GB2312" w:cs="仿宋_GB2312"/>
          <w:b w:val="0"/>
          <w:bCs/>
          <w:color w:val="auto"/>
          <w:sz w:val="28"/>
          <w:szCs w:val="28"/>
          <w:u w:val="single"/>
          <w:lang w:val="en-US" w:eastAsia="zh-CN"/>
        </w:rPr>
        <w:t>货物交付采购人之前，货物的损毁、灭失风险由供应商承担。</w:t>
      </w:r>
    </w:p>
    <w:p w14:paraId="503EF338">
      <w:pPr>
        <w:pStyle w:val="12"/>
        <w:keepNext w:val="0"/>
        <w:keepLines w:val="0"/>
        <w:pageBreakBefore w:val="0"/>
        <w:kinsoku/>
        <w:wordWrap/>
        <w:overflowPunct/>
        <w:topLinePunct w:val="0"/>
        <w:bidi w:val="0"/>
        <w:adjustRightInd/>
        <w:snapToGrid/>
        <w:spacing w:line="360" w:lineRule="auto"/>
        <w:ind w:left="630" w:leftChars="3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（三）项目付款方式</w:t>
      </w:r>
      <w:r>
        <w:rPr>
          <w:rFonts w:hint="eastAsia" w:ascii="仿宋_GB2312" w:hAnsi="仿宋_GB2312" w:eastAsia="仿宋_GB2312" w:cs="仿宋_GB2312"/>
          <w:color w:val="auto"/>
          <w:sz w:val="28"/>
          <w:szCs w:val="28"/>
          <w:lang w:val="en-US" w:eastAsia="zh-CN"/>
        </w:rPr>
        <w:t>及验收方式</w:t>
      </w:r>
    </w:p>
    <w:p w14:paraId="2D078561">
      <w:pPr>
        <w:pStyle w:val="12"/>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1、合同履行期间，本项目采购总金额在达到项目成交总金额前，采购人和成交供应商每月核算一次成交供应商所供货物采购数量和金额。</w:t>
      </w:r>
    </w:p>
    <w:p w14:paraId="2A30AB1C">
      <w:pPr>
        <w:pStyle w:val="12"/>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每月28号前，成交供应商应完成与采购人当月货款的核算工作。成交供应商提供合同履约期间货物会计数据统计的电子文档给采购人存档。</w:t>
      </w:r>
    </w:p>
    <w:p w14:paraId="368A8E14">
      <w:pPr>
        <w:pStyle w:val="17"/>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2、采购人采用银行转账方式付款，采购人付款前，成交供应商必须提供货物</w:t>
      </w:r>
      <w:r>
        <w:rPr>
          <w:rFonts w:hint="eastAsia" w:ascii="仿宋_GB2312" w:hAnsi="仿宋_GB2312" w:eastAsia="仿宋_GB2312" w:cs="仿宋_GB2312"/>
          <w:color w:val="auto"/>
          <w:sz w:val="28"/>
          <w:szCs w:val="28"/>
          <w:lang w:val="en-US" w:eastAsia="zh-CN"/>
        </w:rPr>
        <w:t>结算</w:t>
      </w:r>
      <w:r>
        <w:rPr>
          <w:rFonts w:hint="eastAsia" w:ascii="仿宋_GB2312" w:hAnsi="仿宋_GB2312" w:eastAsia="仿宋_GB2312" w:cs="仿宋_GB2312"/>
          <w:color w:val="auto"/>
          <w:sz w:val="28"/>
          <w:szCs w:val="28"/>
        </w:rPr>
        <w:t>清单</w:t>
      </w:r>
      <w:r>
        <w:rPr>
          <w:rFonts w:hint="eastAsia" w:ascii="仿宋_GB2312" w:hAnsi="仿宋_GB2312" w:eastAsia="仿宋_GB2312" w:cs="仿宋_GB2312"/>
          <w:color w:val="auto"/>
          <w:sz w:val="28"/>
          <w:szCs w:val="28"/>
          <w:lang w:val="en-US" w:eastAsia="zh-CN"/>
        </w:rPr>
        <w:t>给采购人核对</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成交供应商的结算清单应清楚、准确、明晰，</w:t>
      </w:r>
      <w:r>
        <w:rPr>
          <w:rFonts w:hint="eastAsia" w:ascii="仿宋_GB2312" w:hAnsi="仿宋_GB2312" w:eastAsia="仿宋_GB2312" w:cs="仿宋_GB2312"/>
          <w:color w:val="auto"/>
          <w:sz w:val="28"/>
          <w:szCs w:val="28"/>
        </w:rPr>
        <w:t>成交供应商必须出具国家认可的足额有效发票，否则采购人有权拒绝付款。</w:t>
      </w:r>
    </w:p>
    <w:p w14:paraId="12B73052">
      <w:pPr>
        <w:pStyle w:val="17"/>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双方核对一致后，成交供应商才可开具发票。</w:t>
      </w:r>
      <w:r>
        <w:rPr>
          <w:rFonts w:hint="eastAsia" w:ascii="仿宋_GB2312" w:hAnsi="仿宋_GB2312" w:eastAsia="仿宋_GB2312" w:cs="仿宋_GB2312"/>
          <w:color w:val="auto"/>
          <w:sz w:val="28"/>
          <w:szCs w:val="28"/>
        </w:rPr>
        <w:t>每月采购人在收到成交供应商前款所述有效票据后，</w:t>
      </w:r>
      <w:r>
        <w:rPr>
          <w:rFonts w:hint="eastAsia" w:ascii="仿宋_GB2312" w:hAnsi="仿宋_GB2312" w:eastAsia="仿宋_GB2312" w:cs="仿宋_GB2312"/>
          <w:color w:val="auto"/>
          <w:sz w:val="28"/>
          <w:szCs w:val="28"/>
          <w:lang w:val="en-US" w:eastAsia="zh-CN"/>
        </w:rPr>
        <w:t>90</w:t>
      </w:r>
      <w:r>
        <w:rPr>
          <w:rFonts w:hint="eastAsia" w:ascii="仿宋_GB2312" w:hAnsi="仿宋_GB2312" w:eastAsia="仿宋_GB2312" w:cs="仿宋_GB2312"/>
          <w:color w:val="auto"/>
          <w:sz w:val="28"/>
          <w:szCs w:val="28"/>
        </w:rPr>
        <w:t>日内转账支付成交供应商该批次货款。</w:t>
      </w:r>
    </w:p>
    <w:p w14:paraId="0BA9369E">
      <w:pPr>
        <w:pStyle w:val="20"/>
        <w:keepNext w:val="0"/>
        <w:keepLines w:val="0"/>
        <w:pageBreakBefore w:val="0"/>
        <w:kinsoku/>
        <w:wordWrap/>
        <w:overflowPunct/>
        <w:topLinePunct w:val="0"/>
        <w:bidi w:val="0"/>
        <w:adjustRightInd/>
        <w:snapToGrid/>
        <w:spacing w:line="360" w:lineRule="auto"/>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（四）货物包装、运输要求</w:t>
      </w:r>
    </w:p>
    <w:p w14:paraId="2257D94D">
      <w:pPr>
        <w:pStyle w:val="12"/>
        <w:keepNext w:val="0"/>
        <w:keepLines w:val="0"/>
        <w:pageBreakBefore w:val="0"/>
        <w:numPr>
          <w:ilvl w:val="0"/>
          <w:numId w:val="0"/>
        </w:numPr>
        <w:tabs>
          <w:tab w:val="left" w:pos="0"/>
        </w:tabs>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1、供应商须提供全新的货物，符合国家相关质量标准、技术标准、安全认证和合同要求，且应保证货物是全新、未使用过的原厂原包装合格正品，</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表面无划伤、无碰撞痕迹，无损坏。</w:t>
      </w:r>
      <w:r>
        <w:rPr>
          <w:rFonts w:hint="eastAsia" w:ascii="仿宋_GB2312" w:hAnsi="仿宋_GB2312" w:eastAsia="仿宋_GB2312" w:cs="仿宋_GB2312"/>
          <w:color w:val="auto"/>
          <w:sz w:val="28"/>
          <w:szCs w:val="28"/>
          <w:lang w:eastAsia="zh-CN"/>
        </w:rPr>
        <w:t>货物</w:t>
      </w:r>
      <w:r>
        <w:rPr>
          <w:rFonts w:hint="eastAsia" w:ascii="仿宋_GB2312" w:hAnsi="仿宋_GB2312" w:eastAsia="仿宋_GB2312" w:cs="仿宋_GB2312"/>
          <w:color w:val="auto"/>
          <w:sz w:val="28"/>
          <w:szCs w:val="28"/>
        </w:rPr>
        <w:t>包装应干净、结实、无破损、封口严密、方便储存、运输和使用。包装上必须标明品名、规格、生产厂家、出厂日期或质保期。</w:t>
      </w:r>
    </w:p>
    <w:p w14:paraId="2ED48FFC">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13721905">
      <w:pPr>
        <w:pStyle w:val="20"/>
        <w:keepNext w:val="0"/>
        <w:keepLines w:val="0"/>
        <w:pageBreakBefore w:val="0"/>
        <w:kinsoku/>
        <w:wordWrap/>
        <w:overflowPunct/>
        <w:topLinePunct w:val="0"/>
        <w:bidi w:val="0"/>
        <w:adjustRightInd/>
        <w:snapToGrid/>
        <w:spacing w:line="360" w:lineRule="auto"/>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（五）售后服务要求</w:t>
      </w:r>
    </w:p>
    <w:p w14:paraId="12770224">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1、货物在质保期内出现质量问题，供应商应在采购人通知后</w:t>
      </w:r>
      <w:r>
        <w:rPr>
          <w:rFonts w:hint="eastAsia" w:ascii="仿宋_GB2312" w:hAnsi="仿宋_GB2312" w:eastAsia="仿宋_GB2312" w:cs="仿宋_GB2312"/>
          <w:color w:val="auto"/>
          <w:sz w:val="28"/>
          <w:szCs w:val="28"/>
          <w:lang w:eastAsia="zh-CN"/>
        </w:rPr>
        <w:t>24</w:t>
      </w:r>
      <w:r>
        <w:rPr>
          <w:rFonts w:hint="eastAsia" w:ascii="仿宋_GB2312" w:hAnsi="仿宋_GB2312" w:eastAsia="仿宋_GB2312" w:cs="仿宋_GB2312"/>
          <w:color w:val="auto"/>
          <w:sz w:val="28"/>
          <w:szCs w:val="28"/>
        </w:rPr>
        <w:t>小时内将货物更换，货物更换必须是等于或优于</w:t>
      </w:r>
      <w:r>
        <w:rPr>
          <w:rFonts w:hint="eastAsia" w:ascii="仿宋_GB2312" w:hAnsi="仿宋_GB2312" w:eastAsia="仿宋_GB2312" w:cs="仿宋_GB2312"/>
          <w:color w:val="auto"/>
          <w:sz w:val="28"/>
          <w:szCs w:val="28"/>
          <w:lang w:eastAsia="zh-CN"/>
        </w:rPr>
        <w:t>本文件</w:t>
      </w:r>
      <w:r>
        <w:rPr>
          <w:rFonts w:hint="eastAsia" w:ascii="仿宋_GB2312" w:hAnsi="仿宋_GB2312" w:eastAsia="仿宋_GB2312" w:cs="仿宋_GB2312"/>
          <w:color w:val="auto"/>
          <w:sz w:val="28"/>
          <w:szCs w:val="28"/>
        </w:rPr>
        <w:t>要求的。</w:t>
      </w:r>
      <w:r>
        <w:rPr>
          <w:rFonts w:hint="eastAsia" w:ascii="仿宋_GB2312" w:hAnsi="仿宋_GB2312" w:eastAsia="仿宋_GB2312" w:cs="仿宋_GB2312"/>
          <w:color w:val="auto"/>
          <w:sz w:val="28"/>
          <w:szCs w:val="28"/>
          <w:lang w:eastAsia="zh-CN"/>
        </w:rPr>
        <w:t>24</w:t>
      </w:r>
      <w:r>
        <w:rPr>
          <w:rFonts w:hint="eastAsia" w:ascii="仿宋_GB2312" w:hAnsi="仿宋_GB2312" w:eastAsia="仿宋_GB2312" w:cs="仿宋_GB2312"/>
          <w:color w:val="auto"/>
          <w:sz w:val="28"/>
          <w:szCs w:val="28"/>
        </w:rPr>
        <w:t>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62175810">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1E5C3B95">
      <w:pPr>
        <w:pStyle w:val="20"/>
        <w:keepNext w:val="0"/>
        <w:keepLines w:val="0"/>
        <w:pageBreakBefore w:val="0"/>
        <w:kinsoku/>
        <w:wordWrap/>
        <w:overflowPunct/>
        <w:topLinePunct w:val="0"/>
        <w:bidi w:val="0"/>
        <w:adjustRightInd/>
        <w:snapToGrid/>
        <w:spacing w:line="360" w:lineRule="auto"/>
        <w:ind w:firstLine="422" w:firstLineChars="15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（六）违约责任</w:t>
      </w:r>
    </w:p>
    <w:p w14:paraId="7762E4E4">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1、供应商必须严格按照国家相关法律法规和</w:t>
      </w:r>
      <w:r>
        <w:rPr>
          <w:rFonts w:hint="eastAsia" w:ascii="仿宋_GB2312" w:hAnsi="仿宋_GB2312" w:eastAsia="仿宋_GB2312" w:cs="仿宋_GB2312"/>
          <w:bCs/>
          <w:color w:val="auto"/>
          <w:sz w:val="28"/>
          <w:szCs w:val="28"/>
          <w:lang w:eastAsia="zh-CN"/>
        </w:rPr>
        <w:t>本文件</w:t>
      </w:r>
      <w:r>
        <w:rPr>
          <w:rFonts w:hint="eastAsia" w:ascii="仿宋_GB2312" w:hAnsi="仿宋_GB2312" w:eastAsia="仿宋_GB2312" w:cs="仿宋_GB2312"/>
          <w:bCs/>
          <w:color w:val="auto"/>
          <w:sz w:val="28"/>
          <w:szCs w:val="28"/>
        </w:rPr>
        <w:t>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57F54241">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14:paraId="2192F121">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有下列情形之</w:t>
      </w:r>
      <w:r>
        <w:rPr>
          <w:rFonts w:hint="eastAsia" w:ascii="仿宋_GB2312" w:hAnsi="仿宋_GB2312" w:eastAsia="仿宋_GB2312" w:cs="仿宋_GB2312"/>
          <w:color w:val="auto"/>
          <w:sz w:val="28"/>
          <w:szCs w:val="28"/>
          <w:lang w:eastAsia="zh-CN"/>
        </w:rPr>
        <w:t>一的</w:t>
      </w:r>
      <w:r>
        <w:rPr>
          <w:rFonts w:hint="eastAsia" w:ascii="仿宋_GB2312" w:hAnsi="仿宋_GB2312" w:eastAsia="仿宋_GB2312" w:cs="仿宋_GB2312"/>
          <w:color w:val="auto"/>
          <w:sz w:val="28"/>
          <w:szCs w:val="28"/>
        </w:rPr>
        <w:t>行为视为供应商违约，采购人有权按照以下条款要求成交供应商承担违约金及违约责任：</w:t>
      </w:r>
    </w:p>
    <w:p w14:paraId="7D247563">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4FC8065C">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（2）成交供应商提供的货物或服务根本违约（例如提供假冒伪劣产品或以次充好），致使合同的目的不能实现的，成交供应商应向采购人缴纳合同总价款20%的违约金，同时采购人有权解除合同。</w:t>
      </w:r>
    </w:p>
    <w:p w14:paraId="29477510">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成交供应商延迟履约，即成交供应商应向采购人提供的货物及服务未按合同约定时间达成的，成交供应商每有一次违约行为，采购人将扣除成交供应商当月结算货款200元，供应商经采购人催告后应继续按合同约定履行合同。若供应商</w:t>
      </w:r>
      <w:r>
        <w:rPr>
          <w:rFonts w:hint="eastAsia" w:ascii="仿宋_GB2312" w:hAnsi="仿宋_GB2312" w:eastAsia="仿宋_GB2312" w:cs="仿宋_GB2312"/>
          <w:color w:val="auto"/>
          <w:sz w:val="28"/>
          <w:szCs w:val="28"/>
          <w:lang w:val="en-US" w:eastAsia="zh-CN"/>
        </w:rPr>
        <w:t>一年内3次延迟履约</w:t>
      </w:r>
      <w:r>
        <w:rPr>
          <w:rFonts w:hint="eastAsia" w:ascii="仿宋_GB2312" w:hAnsi="仿宋_GB2312" w:eastAsia="仿宋_GB2312" w:cs="仿宋_GB2312"/>
          <w:color w:val="auto"/>
          <w:sz w:val="28"/>
          <w:szCs w:val="28"/>
        </w:rPr>
        <w:t>，则成交供应商应向采购人缴纳合同总价款5%的违约金，同时采购人有权解除合同。</w:t>
      </w:r>
    </w:p>
    <w:p w14:paraId="290B8FBB">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（4）成交供应商</w:t>
      </w:r>
      <w:r>
        <w:rPr>
          <w:rFonts w:hint="eastAsia" w:ascii="仿宋_GB2312" w:hAnsi="仿宋_GB2312" w:eastAsia="仿宋_GB2312" w:cs="仿宋_GB2312"/>
          <w:color w:val="auto"/>
          <w:sz w:val="28"/>
          <w:szCs w:val="28"/>
          <w:lang w:eastAsia="zh-CN"/>
        </w:rPr>
        <w:t>所提</w:t>
      </w:r>
      <w:r>
        <w:rPr>
          <w:rFonts w:hint="eastAsia" w:ascii="仿宋_GB2312" w:hAnsi="仿宋_GB2312" w:eastAsia="仿宋_GB2312" w:cs="仿宋_GB2312"/>
          <w:color w:val="auto"/>
          <w:sz w:val="28"/>
          <w:szCs w:val="28"/>
        </w:rPr>
        <w:t>供的货物或服务瑕疵违约，与</w:t>
      </w:r>
      <w:r>
        <w:rPr>
          <w:rFonts w:hint="eastAsia" w:ascii="仿宋_GB2312" w:hAnsi="仿宋_GB2312" w:eastAsia="仿宋_GB2312" w:cs="仿宋_GB2312"/>
          <w:color w:val="auto"/>
          <w:sz w:val="28"/>
          <w:szCs w:val="28"/>
          <w:lang w:eastAsia="zh-CN"/>
        </w:rPr>
        <w:t>本文件</w:t>
      </w:r>
      <w:r>
        <w:rPr>
          <w:rFonts w:hint="eastAsia" w:ascii="仿宋_GB2312" w:hAnsi="仿宋_GB2312" w:eastAsia="仿宋_GB2312" w:cs="仿宋_GB2312"/>
          <w:color w:val="auto"/>
          <w:sz w:val="28"/>
          <w:szCs w:val="28"/>
        </w:rPr>
        <w:t>要求或采购人采购需求不符的，成交供应商应承担修理、重</w:t>
      </w:r>
      <w:r>
        <w:rPr>
          <w:rFonts w:hint="eastAsia" w:ascii="仿宋_GB2312" w:hAnsi="仿宋_GB2312" w:eastAsia="仿宋_GB2312" w:cs="仿宋_GB2312"/>
          <w:color w:val="auto"/>
          <w:sz w:val="28"/>
          <w:szCs w:val="28"/>
          <w:lang w:eastAsia="zh-CN"/>
        </w:rPr>
        <w:t>做</w:t>
      </w:r>
      <w:r>
        <w:rPr>
          <w:rFonts w:hint="eastAsia" w:ascii="仿宋_GB2312" w:hAnsi="仿宋_GB2312" w:eastAsia="仿宋_GB2312" w:cs="仿宋_GB2312"/>
          <w:color w:val="auto"/>
          <w:sz w:val="28"/>
          <w:szCs w:val="28"/>
        </w:rPr>
        <w:t>、更换、退货、减少价款或者报酬等违约责任。同时成交供应商每有一次违约行为，采购人将扣除成交供应商当月结算货款</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00元，供应商出现</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次本款所列违约行为，成交供应商应向采购人支付合同总价款</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%的违约金，同时采购人有权解除合同。经采购人同意后，供应商更正瑕疵违约行为后，可以继续按合同约定履行合同。</w:t>
      </w:r>
    </w:p>
    <w:p w14:paraId="171C7422">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w:t>
      </w:r>
      <w:bookmarkStart w:id="3" w:name="★4.4_违约处理"/>
      <w:bookmarkEnd w:id="3"/>
      <w:r>
        <w:rPr>
          <w:rFonts w:hint="eastAsia" w:ascii="仿宋_GB2312" w:hAnsi="仿宋_GB2312" w:eastAsia="仿宋_GB2312" w:cs="仿宋_GB2312"/>
          <w:color w:val="auto"/>
          <w:sz w:val="28"/>
          <w:szCs w:val="28"/>
        </w:rPr>
        <w:t>合同履行过程中由供应商及员工原因造成的一切安全事故、人身伤亡、经济损失均由供应商自行负责承担，其责任与采购人无关。</w:t>
      </w:r>
      <w:bookmarkStart w:id="4" w:name="★4.4 违约处理"/>
      <w:bookmarkEnd w:id="4"/>
      <w:r>
        <w:rPr>
          <w:rFonts w:hint="eastAsia" w:ascii="仿宋_GB2312" w:hAnsi="仿宋_GB2312" w:eastAsia="仿宋_GB2312" w:cs="仿宋_GB2312"/>
          <w:color w:val="auto"/>
          <w:sz w:val="28"/>
          <w:szCs w:val="28"/>
        </w:rPr>
        <w:t>如因成交供应商及其工作人员在项目实施过程中的疏忽、失职、过错等故意或者过失原因</w:t>
      </w:r>
      <w:r>
        <w:rPr>
          <w:rFonts w:hint="eastAsia" w:ascii="仿宋_GB2312" w:hAnsi="仿宋_GB2312" w:eastAsia="仿宋_GB2312" w:cs="仿宋_GB2312"/>
          <w:color w:val="auto"/>
          <w:sz w:val="28"/>
          <w:szCs w:val="28"/>
          <w:lang w:val="en-US" w:eastAsia="zh-CN"/>
        </w:rPr>
        <w:t>或货物问题</w:t>
      </w:r>
      <w:r>
        <w:rPr>
          <w:rFonts w:hint="eastAsia" w:ascii="仿宋_GB2312" w:hAnsi="仿宋_GB2312" w:eastAsia="仿宋_GB2312" w:cs="仿宋_GB2312"/>
          <w:color w:val="auto"/>
          <w:sz w:val="28"/>
          <w:szCs w:val="28"/>
        </w:rPr>
        <w:t>给采购人造成损失或侵害，包括但不限于采购人本身的财产损失或人身伤害、由此而导致的采购人对任何第三方的法律责任等，供应商对此均应承担全部的赔偿责任和法律责任。</w:t>
      </w:r>
    </w:p>
    <w:p w14:paraId="0F718D13">
      <w:pPr>
        <w:keepNext w:val="0"/>
        <w:keepLines w:val="0"/>
        <w:pageBreakBefore w:val="0"/>
        <w:numPr>
          <w:ilvl w:val="0"/>
          <w:numId w:val="0"/>
        </w:numPr>
        <w:kinsoku/>
        <w:wordWrap/>
        <w:overflowPunct/>
        <w:topLinePunct w:val="0"/>
        <w:bidi w:val="0"/>
        <w:adjustRightInd/>
        <w:snapToGrid/>
        <w:spacing w:beforeLines="50" w:afterLines="50" w:line="360" w:lineRule="auto"/>
        <w:ind w:firstLine="562" w:firstLineChars="200"/>
        <w:textAlignment w:val="auto"/>
        <w:outlineLvl w:val="1"/>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九、</w:t>
      </w:r>
      <w:r>
        <w:rPr>
          <w:rFonts w:hint="eastAsia" w:ascii="仿宋_GB2312" w:hAnsi="仿宋_GB2312" w:eastAsia="仿宋_GB2312" w:cs="仿宋_GB2312"/>
          <w:b/>
          <w:bCs/>
          <w:color w:val="auto"/>
          <w:sz w:val="28"/>
          <w:szCs w:val="28"/>
        </w:rPr>
        <w:t>折扣率报价方式</w:t>
      </w:r>
    </w:p>
    <w:p w14:paraId="138B7F40">
      <w:pPr>
        <w:keepNext w:val="0"/>
        <w:keepLines w:val="0"/>
        <w:pageBreakBefore w:val="0"/>
        <w:numPr>
          <w:ilvl w:val="255"/>
          <w:numId w:val="0"/>
        </w:numPr>
        <w:kinsoku/>
        <w:wordWrap/>
        <w:overflowPunct/>
        <w:topLinePunct w:val="0"/>
        <w:bidi w:val="0"/>
        <w:adjustRightInd/>
        <w:snapToGrid/>
        <w:spacing w:beforeLines="50" w:afterLines="50" w:line="360" w:lineRule="auto"/>
        <w:ind w:firstLine="560" w:firstLineChars="200"/>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1、本项目采购总预算为：</w:t>
      </w:r>
      <w:r>
        <w:rPr>
          <w:rFonts w:hint="eastAsia" w:ascii="仿宋_GB2312" w:hAnsi="仿宋_GB2312" w:eastAsia="仿宋_GB2312" w:cs="仿宋_GB2312"/>
          <w:color w:val="auto"/>
          <w:sz w:val="28"/>
          <w:szCs w:val="28"/>
          <w:lang w:val="en-US" w:eastAsia="zh-CN"/>
        </w:rPr>
        <w:t>54800元</w:t>
      </w:r>
      <w:r>
        <w:rPr>
          <w:rFonts w:hint="eastAsia" w:ascii="仿宋_GB2312" w:hAnsi="仿宋_GB2312" w:eastAsia="仿宋_GB2312" w:cs="仿宋_GB2312"/>
          <w:color w:val="auto"/>
          <w:sz w:val="28"/>
          <w:szCs w:val="28"/>
        </w:rPr>
        <w:t>（大写：人民币</w:t>
      </w:r>
      <w:r>
        <w:rPr>
          <w:rFonts w:hint="eastAsia" w:ascii="仿宋_GB2312" w:hAnsi="仿宋_GB2312" w:eastAsia="仿宋_GB2312" w:cs="仿宋_GB2312"/>
          <w:color w:val="auto"/>
          <w:sz w:val="28"/>
          <w:szCs w:val="28"/>
          <w:lang w:val="en-US" w:eastAsia="zh-CN"/>
        </w:rPr>
        <w:t>伍万肆仟捌佰元</w:t>
      </w:r>
      <w:r>
        <w:rPr>
          <w:rFonts w:hint="eastAsia" w:ascii="仿宋_GB2312" w:hAnsi="仿宋_GB2312" w:eastAsia="仿宋_GB2312" w:cs="仿宋_GB2312"/>
          <w:color w:val="auto"/>
          <w:sz w:val="28"/>
          <w:szCs w:val="28"/>
        </w:rPr>
        <w:t>整）。</w:t>
      </w:r>
      <w:r>
        <w:rPr>
          <w:rFonts w:hint="eastAsia" w:ascii="仿宋_GB2312" w:hAnsi="仿宋_GB2312" w:eastAsia="仿宋_GB2312" w:cs="仿宋_GB2312"/>
          <w:color w:val="auto"/>
          <w:sz w:val="28"/>
          <w:szCs w:val="28"/>
          <w:highlight w:val="none"/>
        </w:rPr>
        <w:t>本项目总预算不变，供应商以本项目货物单价最高限价的</w:t>
      </w:r>
      <w:r>
        <w:rPr>
          <w:rFonts w:hint="eastAsia" w:ascii="仿宋_GB2312" w:hAnsi="仿宋_GB2312" w:eastAsia="仿宋_GB2312" w:cs="仿宋_GB2312"/>
          <w:color w:val="auto"/>
          <w:sz w:val="28"/>
          <w:szCs w:val="28"/>
          <w:highlight w:val="none"/>
          <w:lang w:val="en-US" w:eastAsia="zh-CN"/>
        </w:rPr>
        <w:t>统一</w:t>
      </w:r>
      <w:r>
        <w:rPr>
          <w:rFonts w:hint="eastAsia" w:ascii="仿宋_GB2312" w:hAnsi="仿宋_GB2312" w:eastAsia="仿宋_GB2312" w:cs="仿宋_GB2312"/>
          <w:color w:val="auto"/>
          <w:sz w:val="28"/>
          <w:szCs w:val="28"/>
          <w:highlight w:val="none"/>
        </w:rPr>
        <w:t>折扣率报价，</w:t>
      </w:r>
      <w:r>
        <w:rPr>
          <w:rFonts w:hint="eastAsia" w:ascii="仿宋_GB2312" w:hAnsi="仿宋_GB2312" w:eastAsia="仿宋_GB2312" w:cs="仿宋_GB2312"/>
          <w:color w:val="auto"/>
          <w:sz w:val="28"/>
          <w:szCs w:val="28"/>
          <w:highlight w:val="none"/>
          <w:lang w:val="en-US" w:eastAsia="zh-CN"/>
        </w:rPr>
        <w:t>供应商报价只报一个唯一折扣率，</w:t>
      </w:r>
      <w:r>
        <w:rPr>
          <w:rFonts w:hint="eastAsia" w:ascii="仿宋_GB2312" w:hAnsi="仿宋_GB2312" w:eastAsia="仿宋_GB2312" w:cs="仿宋_GB2312"/>
          <w:color w:val="auto"/>
          <w:sz w:val="28"/>
          <w:szCs w:val="28"/>
          <w:highlight w:val="none"/>
        </w:rPr>
        <w:t>本项目所有货物采购价格均按此</w:t>
      </w:r>
      <w:r>
        <w:rPr>
          <w:rFonts w:hint="eastAsia" w:ascii="仿宋_GB2312" w:hAnsi="仿宋_GB2312" w:eastAsia="仿宋_GB2312" w:cs="仿宋_GB2312"/>
          <w:color w:val="auto"/>
          <w:sz w:val="28"/>
          <w:szCs w:val="28"/>
          <w:highlight w:val="none"/>
          <w:lang w:val="en-US" w:eastAsia="zh-CN"/>
        </w:rPr>
        <w:t>唯一</w:t>
      </w:r>
      <w:r>
        <w:rPr>
          <w:rFonts w:hint="eastAsia" w:ascii="仿宋_GB2312" w:hAnsi="仿宋_GB2312" w:eastAsia="仿宋_GB2312" w:cs="仿宋_GB2312"/>
          <w:color w:val="auto"/>
          <w:sz w:val="28"/>
          <w:szCs w:val="28"/>
          <w:highlight w:val="none"/>
        </w:rPr>
        <w:t>报价折扣率执行。项目合同履行期内折扣率不准变动。</w:t>
      </w:r>
      <w:r>
        <w:rPr>
          <w:rFonts w:hint="eastAsia" w:ascii="仿宋_GB2312" w:hAnsi="仿宋_GB2312" w:eastAsia="仿宋_GB2312" w:cs="仿宋_GB2312"/>
          <w:color w:val="auto"/>
          <w:sz w:val="28"/>
          <w:szCs w:val="28"/>
          <w:highlight w:val="none"/>
          <w:lang w:val="en-US" w:eastAsia="zh-CN"/>
        </w:rPr>
        <w:t>供应商本次报价，折扣率必须小于或等于100%，否则视为无效报价。（</w:t>
      </w:r>
      <w:r>
        <w:rPr>
          <w:rFonts w:hint="eastAsia" w:ascii="仿宋_GB2312" w:hAnsi="仿宋_GB2312" w:eastAsia="仿宋_GB2312" w:cs="仿宋_GB2312"/>
          <w:color w:val="auto"/>
          <w:sz w:val="28"/>
          <w:szCs w:val="28"/>
          <w:highlight w:val="none"/>
        </w:rPr>
        <w:t>注：折扣率</w:t>
      </w:r>
      <w:r>
        <w:rPr>
          <w:rFonts w:hint="eastAsia" w:ascii="仿宋_GB2312" w:hAnsi="仿宋_GB2312" w:eastAsia="仿宋_GB2312" w:cs="仿宋_GB2312"/>
          <w:b w:val="0"/>
          <w:bCs w:val="0"/>
          <w:color w:val="auto"/>
          <w:kern w:val="0"/>
          <w:sz w:val="28"/>
          <w:szCs w:val="28"/>
          <w:highlight w:val="none"/>
          <w:lang w:val="en-US" w:eastAsia="zh-CN" w:bidi="ar-SA"/>
        </w:rPr>
        <w:t>必须是一个固定整数值，如92%。</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不得含小数点，如92.5%，</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不得为区间值，如以“92.5%～94%”进行报价，否则将视为无效报价</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p>
    <w:p w14:paraId="593FF3A1">
      <w:pPr>
        <w:keepNext w:val="0"/>
        <w:keepLines w:val="0"/>
        <w:pageBreakBefore w:val="0"/>
        <w:kinsoku/>
        <w:wordWrap/>
        <w:overflowPunct/>
        <w:topLinePunct w:val="0"/>
        <w:bidi w:val="0"/>
        <w:adjustRightInd/>
        <w:snapToGrid/>
        <w:spacing w:beforeLines="50" w:afterLines="50" w:line="360" w:lineRule="auto"/>
        <w:ind w:firstLine="560" w:firstLineChars="200"/>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例：采购人当月需要的货物包括，1号货物最高限价为X元/个，2号货物最高限价为X元/个，货物采购数量以当月实际需要数量为准。</w:t>
      </w:r>
    </w:p>
    <w:p w14:paraId="188AD7BA">
      <w:pPr>
        <w:keepNext w:val="0"/>
        <w:keepLines w:val="0"/>
        <w:pageBreakBefore w:val="0"/>
        <w:kinsoku/>
        <w:wordWrap/>
        <w:overflowPunct/>
        <w:topLinePunct w:val="0"/>
        <w:bidi w:val="0"/>
        <w:adjustRightInd/>
        <w:snapToGrid/>
        <w:spacing w:beforeLines="50" w:afterLines="50" w:line="360" w:lineRule="auto"/>
        <w:ind w:firstLine="560" w:firstLineChars="200"/>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若成交供应商报价折扣率为，则成交供应商当月结算金额为=1号货物为X元/个（单价最高限价）</w:t>
      </w:r>
      <w:r>
        <w:rPr>
          <w:rFonts w:hint="eastAsia" w:ascii="仿宋_GB2312" w:hAnsi="仿宋_GB2312" w:eastAsia="仿宋_GB2312" w:cs="仿宋_GB2312"/>
          <w:color w:val="auto"/>
          <w:spacing w:val="-14"/>
          <w:sz w:val="28"/>
          <w:szCs w:val="28"/>
        </w:rPr>
        <w:t>×92%（成交供应商报价折扣率）×当月采购人实际需要数量+2号货物</w:t>
      </w:r>
      <w:r>
        <w:rPr>
          <w:rFonts w:hint="eastAsia" w:ascii="仿宋_GB2312" w:hAnsi="仿宋_GB2312" w:eastAsia="仿宋_GB2312" w:cs="仿宋_GB2312"/>
          <w:color w:val="auto"/>
          <w:sz w:val="28"/>
          <w:szCs w:val="28"/>
        </w:rPr>
        <w:t>为X元/个（单价最高限价）</w:t>
      </w:r>
      <w:r>
        <w:rPr>
          <w:rFonts w:hint="eastAsia" w:ascii="仿宋_GB2312" w:hAnsi="仿宋_GB2312" w:eastAsia="仿宋_GB2312" w:cs="仿宋_GB2312"/>
          <w:color w:val="auto"/>
          <w:spacing w:val="-14"/>
          <w:sz w:val="28"/>
          <w:szCs w:val="28"/>
        </w:rPr>
        <w:t>×92%（成交供应商报价折扣率）×当月采购人实际需要数量+</w:t>
      </w:r>
      <w:r>
        <w:rPr>
          <w:rFonts w:hint="eastAsia" w:ascii="仿宋_GB2312" w:hAnsi="仿宋_GB2312" w:eastAsia="仿宋_GB2312" w:cs="仿宋_GB2312"/>
          <w:color w:val="auto"/>
          <w:sz w:val="28"/>
          <w:szCs w:val="28"/>
        </w:rPr>
        <w:t>… N号货物品名单价最高限价</w:t>
      </w:r>
      <w:r>
        <w:rPr>
          <w:rFonts w:hint="eastAsia" w:ascii="仿宋_GB2312" w:hAnsi="仿宋_GB2312" w:eastAsia="仿宋_GB2312" w:cs="仿宋_GB2312"/>
          <w:color w:val="auto"/>
          <w:spacing w:val="-14"/>
          <w:sz w:val="28"/>
          <w:szCs w:val="28"/>
        </w:rPr>
        <w:t>×</w:t>
      </w:r>
      <w:r>
        <w:rPr>
          <w:rFonts w:hint="eastAsia" w:ascii="仿宋_GB2312" w:hAnsi="仿宋_GB2312" w:eastAsia="仿宋_GB2312" w:cs="仿宋_GB2312"/>
          <w:color w:val="auto"/>
          <w:sz w:val="28"/>
          <w:szCs w:val="28"/>
        </w:rPr>
        <w:t>92%</w:t>
      </w:r>
      <w:r>
        <w:rPr>
          <w:rFonts w:hint="eastAsia" w:ascii="仿宋_GB2312" w:hAnsi="仿宋_GB2312" w:eastAsia="仿宋_GB2312" w:cs="仿宋_GB2312"/>
          <w:color w:val="auto"/>
          <w:spacing w:val="-14"/>
          <w:sz w:val="28"/>
          <w:szCs w:val="28"/>
        </w:rPr>
        <w:t>×当月采购人实际需要数量。</w:t>
      </w:r>
    </w:p>
    <w:p w14:paraId="0AD4C988">
      <w:pPr>
        <w:pStyle w:val="12"/>
        <w:keepNext w:val="0"/>
        <w:keepLines w:val="0"/>
        <w:pageBreakBefore w:val="0"/>
        <w:kinsoku/>
        <w:wordWrap/>
        <w:overflowPunct/>
        <w:topLinePunct w:val="0"/>
        <w:bidi w:val="0"/>
        <w:adjustRightInd/>
        <w:snapToGrid/>
        <w:spacing w:line="360" w:lineRule="auto"/>
        <w:ind w:firstLine="691" w:firstLineChars="24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2、供应商所报的</w:t>
      </w:r>
      <w:r>
        <w:rPr>
          <w:rFonts w:hint="eastAsia" w:ascii="仿宋_GB2312" w:hAnsi="仿宋_GB2312" w:eastAsia="仿宋_GB2312" w:cs="仿宋_GB2312"/>
          <w:color w:val="auto"/>
          <w:sz w:val="28"/>
          <w:szCs w:val="28"/>
          <w:lang w:eastAsia="zh-CN"/>
        </w:rPr>
        <w:t>遴选</w:t>
      </w:r>
      <w:r>
        <w:rPr>
          <w:rFonts w:hint="eastAsia" w:ascii="仿宋_GB2312" w:hAnsi="仿宋_GB2312" w:eastAsia="仿宋_GB2312" w:cs="仿宋_GB2312"/>
          <w:color w:val="auto"/>
          <w:sz w:val="28"/>
          <w:szCs w:val="28"/>
        </w:rPr>
        <w:t>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0E4127FB">
      <w:pPr>
        <w:pStyle w:val="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color w:val="auto"/>
          <w:kern w:val="0"/>
          <w:sz w:val="28"/>
          <w:szCs w:val="28"/>
        </w:rPr>
        <w:t>、货物单价最高限价乘以供应商报价折扣率后的</w:t>
      </w:r>
      <w:r>
        <w:rPr>
          <w:rFonts w:hint="eastAsia" w:ascii="仿宋_GB2312" w:hAnsi="仿宋_GB2312" w:eastAsia="仿宋_GB2312" w:cs="仿宋_GB2312"/>
          <w:color w:val="auto"/>
          <w:kern w:val="0"/>
          <w:sz w:val="28"/>
          <w:szCs w:val="28"/>
          <w:u w:val="single"/>
        </w:rPr>
        <w:t>四舍五入保留小数点后</w:t>
      </w:r>
      <w:r>
        <w:rPr>
          <w:rFonts w:hint="eastAsia" w:ascii="仿宋_GB2312" w:hAnsi="仿宋_GB2312" w:eastAsia="仿宋_GB2312" w:cs="仿宋_GB2312"/>
          <w:color w:val="auto"/>
          <w:kern w:val="0"/>
          <w:sz w:val="28"/>
          <w:szCs w:val="28"/>
          <w:u w:val="single"/>
          <w:lang w:val="en-US" w:eastAsia="zh-CN"/>
        </w:rPr>
        <w:t>1</w:t>
      </w:r>
      <w:r>
        <w:rPr>
          <w:rFonts w:hint="eastAsia" w:ascii="仿宋_GB2312" w:hAnsi="仿宋_GB2312" w:eastAsia="仿宋_GB2312" w:cs="仿宋_GB2312"/>
          <w:color w:val="auto"/>
          <w:kern w:val="0"/>
          <w:sz w:val="28"/>
          <w:szCs w:val="28"/>
          <w:u w:val="single"/>
        </w:rPr>
        <w:t>位的价格为各项货物实际供货价。</w:t>
      </w:r>
    </w:p>
    <w:p w14:paraId="39199B52">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本项目货物购置数量采购人当前无法确定，为预计采购数量</w:t>
      </w:r>
      <w:r>
        <w:rPr>
          <w:rFonts w:hint="eastAsia" w:ascii="仿宋_GB2312" w:hAnsi="仿宋_GB2312" w:eastAsia="仿宋_GB2312" w:cs="仿宋_GB2312"/>
          <w:color w:val="auto"/>
          <w:sz w:val="28"/>
          <w:szCs w:val="28"/>
        </w:rPr>
        <w:t>，供应商成交后，根据采购人的需求进行供货，</w:t>
      </w:r>
      <w:r>
        <w:rPr>
          <w:rFonts w:hint="eastAsia" w:ascii="仿宋_GB2312" w:hAnsi="仿宋_GB2312" w:eastAsia="仿宋_GB2312" w:cs="仿宋_GB2312"/>
          <w:color w:val="auto"/>
          <w:sz w:val="28"/>
          <w:szCs w:val="28"/>
          <w:u w:val="single"/>
        </w:rPr>
        <w:t>最终货物采购数量以合同履行期内采购人实际需求为准</w:t>
      </w:r>
      <w:r>
        <w:rPr>
          <w:rFonts w:hint="eastAsia" w:ascii="仿宋_GB2312" w:hAnsi="仿宋_GB2312" w:eastAsia="仿宋_GB2312" w:cs="仿宋_GB2312"/>
          <w:color w:val="auto"/>
          <w:sz w:val="28"/>
          <w:szCs w:val="28"/>
        </w:rPr>
        <w:t>。</w:t>
      </w:r>
    </w:p>
    <w:p w14:paraId="544F6FC0">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结算时以采购人实际需要的各项货物购置数量分别乘以各项货物成交单价为准。合同履行期内，最终采购人货物采购总金额不超过本项目总预算金额。</w:t>
      </w:r>
    </w:p>
    <w:p w14:paraId="2520DF93">
      <w:pPr>
        <w:keepNext w:val="0"/>
        <w:keepLines w:val="0"/>
        <w:pageBreakBefore w:val="0"/>
        <w:kinsoku/>
        <w:wordWrap/>
        <w:overflowPunct/>
        <w:topLinePunct w:val="0"/>
        <w:bidi w:val="0"/>
        <w:spacing w:line="560" w:lineRule="exact"/>
        <w:jc w:val="center"/>
        <w:rPr>
          <w:rFonts w:hint="eastAsia"/>
          <w:b/>
          <w:color w:val="auto"/>
          <w:sz w:val="32"/>
          <w:szCs w:val="32"/>
          <w:lang w:val="en-US" w:eastAsia="zh-CN"/>
        </w:rPr>
      </w:pPr>
      <w:r>
        <w:rPr>
          <w:rFonts w:hint="eastAsia"/>
          <w:b/>
          <w:color w:val="auto"/>
          <w:sz w:val="32"/>
          <w:szCs w:val="32"/>
          <w:lang w:val="en-US" w:eastAsia="zh-CN"/>
        </w:rPr>
        <w:t>供应商报价</w:t>
      </w:r>
    </w:p>
    <w:tbl>
      <w:tblPr>
        <w:tblStyle w:val="9"/>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3352"/>
        <w:gridCol w:w="3173"/>
      </w:tblGrid>
      <w:tr w14:paraId="253F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2" w:hRule="exac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6CDC5E47">
            <w:pPr>
              <w:keepNext w:val="0"/>
              <w:keepLines w:val="0"/>
              <w:pageBreakBefore w:val="0"/>
              <w:kinsoku/>
              <w:wordWrap/>
              <w:overflowPunct/>
              <w:topLinePunct w:val="0"/>
              <w:bidi w:val="0"/>
              <w:snapToGrid w:val="0"/>
              <w:spacing w:line="560" w:lineRule="exact"/>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项目名称</w:t>
            </w:r>
          </w:p>
        </w:tc>
        <w:tc>
          <w:tcPr>
            <w:tcW w:w="3352" w:type="dxa"/>
            <w:tcBorders>
              <w:top w:val="single" w:color="auto" w:sz="4" w:space="0"/>
              <w:left w:val="single" w:color="auto" w:sz="4" w:space="0"/>
              <w:bottom w:val="single" w:color="auto" w:sz="4" w:space="0"/>
              <w:right w:val="single" w:color="auto" w:sz="4" w:space="0"/>
            </w:tcBorders>
            <w:noWrap/>
            <w:vAlign w:val="center"/>
          </w:tcPr>
          <w:p w14:paraId="6EBF4650">
            <w:pPr>
              <w:keepNext w:val="0"/>
              <w:keepLines w:val="0"/>
              <w:pageBreakBefore w:val="0"/>
              <w:widowControl/>
              <w:kinsoku/>
              <w:wordWrap/>
              <w:overflowPunct/>
              <w:topLinePunct w:val="0"/>
              <w:bidi w:val="0"/>
              <w:spacing w:line="560" w:lineRule="exact"/>
              <w:jc w:val="center"/>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white"/>
                <w:lang w:val="en-US" w:eastAsia="zh-CN"/>
              </w:rPr>
              <w:t>供应商名称</w:t>
            </w:r>
          </w:p>
        </w:tc>
        <w:tc>
          <w:tcPr>
            <w:tcW w:w="3173" w:type="dxa"/>
            <w:tcBorders>
              <w:top w:val="single" w:color="auto" w:sz="4" w:space="0"/>
              <w:left w:val="single" w:color="auto" w:sz="4" w:space="0"/>
              <w:bottom w:val="single" w:color="auto" w:sz="4" w:space="0"/>
              <w:right w:val="single" w:color="auto" w:sz="4" w:space="0"/>
            </w:tcBorders>
            <w:noWrap/>
            <w:vAlign w:val="center"/>
          </w:tcPr>
          <w:p w14:paraId="27076887">
            <w:pPr>
              <w:keepNext w:val="0"/>
              <w:keepLines w:val="0"/>
              <w:pageBreakBefore w:val="0"/>
              <w:kinsoku/>
              <w:wordWrap/>
              <w:overflowPunct/>
              <w:topLinePunct w:val="0"/>
              <w:bidi w:val="0"/>
              <w:snapToGrid w:val="0"/>
              <w:spacing w:line="560" w:lineRule="exact"/>
              <w:jc w:val="center"/>
              <w:rPr>
                <w:rFonts w:hint="eastAsia" w:ascii="仿宋" w:hAnsi="仿宋" w:eastAsia="仿宋" w:cs="仿宋"/>
                <w:b/>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本项目</w:t>
            </w:r>
            <w:r>
              <w:rPr>
                <w:rFonts w:hint="eastAsia" w:ascii="仿宋" w:hAnsi="仿宋" w:eastAsia="仿宋" w:cs="仿宋"/>
                <w:color w:val="auto"/>
                <w:sz w:val="24"/>
                <w:szCs w:val="24"/>
                <w:lang w:val="en-US" w:eastAsia="zh-CN"/>
              </w:rPr>
              <w:t>供应商承诺的</w:t>
            </w:r>
            <w:r>
              <w:rPr>
                <w:rFonts w:hint="eastAsia" w:ascii="仿宋" w:hAnsi="仿宋" w:eastAsia="仿宋" w:cs="仿宋"/>
                <w:color w:val="auto"/>
                <w:sz w:val="24"/>
                <w:szCs w:val="24"/>
              </w:rPr>
              <w:t>货物单价最高限价的折扣率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本项目所有货物采购价格均按此报价折扣率执行，本次报价折扣率必须</w:t>
            </w:r>
            <w:r>
              <w:rPr>
                <w:rFonts w:hint="eastAsia" w:ascii="仿宋" w:hAnsi="仿宋" w:eastAsia="仿宋" w:cs="仿宋"/>
                <w:color w:val="auto"/>
                <w:sz w:val="24"/>
                <w:szCs w:val="24"/>
                <w:u w:val="single"/>
                <w:lang w:val="en-US" w:eastAsia="zh-CN"/>
              </w:rPr>
              <w:t>低于或等于100%</w:t>
            </w:r>
            <w:r>
              <w:rPr>
                <w:rFonts w:hint="eastAsia" w:ascii="仿宋" w:hAnsi="仿宋" w:eastAsia="仿宋" w:cs="仿宋"/>
                <w:color w:val="auto"/>
                <w:sz w:val="24"/>
                <w:szCs w:val="24"/>
                <w:lang w:eastAsia="zh-CN"/>
              </w:rPr>
              <w:t>）</w:t>
            </w:r>
          </w:p>
        </w:tc>
      </w:tr>
      <w:tr w14:paraId="470A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54C50EA5">
            <w:pPr>
              <w:pStyle w:val="20"/>
              <w:keepNext w:val="0"/>
              <w:keepLines w:val="0"/>
              <w:pageBreakBefore w:val="0"/>
              <w:kinsoku/>
              <w:wordWrap/>
              <w:overflowPunct/>
              <w:topLinePunct w:val="0"/>
              <w:bidi w:val="0"/>
              <w:spacing w:line="560" w:lineRule="exact"/>
              <w:ind w:firstLine="560"/>
              <w:jc w:val="both"/>
              <w:rPr>
                <w:rFonts w:ascii="仿宋" w:hAnsi="仿宋" w:eastAsia="仿宋" w:cs="仿宋"/>
                <w:color w:val="auto"/>
                <w:sz w:val="24"/>
                <w:szCs w:val="24"/>
              </w:rPr>
            </w:pPr>
            <w:r>
              <w:rPr>
                <w:rFonts w:hint="eastAsia" w:ascii="仿宋" w:hAnsi="仿宋" w:eastAsia="仿宋" w:cs="仿宋"/>
                <w:b w:val="0"/>
                <w:bCs w:val="0"/>
                <w:color w:val="auto"/>
                <w:sz w:val="24"/>
                <w:szCs w:val="24"/>
                <w:lang w:val="en-US" w:eastAsia="zh-CN"/>
              </w:rPr>
              <w:t>大竹县人民医院低值信息设备采购项目。</w:t>
            </w:r>
            <w:r>
              <w:rPr>
                <w:rFonts w:hint="eastAsia" w:ascii="仿宋" w:hAnsi="仿宋" w:eastAsia="仿宋" w:cs="仿宋"/>
                <w:color w:val="auto"/>
                <w:sz w:val="24"/>
                <w:szCs w:val="24"/>
                <w:lang w:val="en-US" w:eastAsia="zh-CN"/>
              </w:rPr>
              <w:t>采购项目编号：</w:t>
            </w:r>
            <w:r>
              <w:rPr>
                <w:rFonts w:hint="eastAsia" w:ascii="仿宋" w:hAnsi="仿宋" w:eastAsia="仿宋" w:cs="仿宋"/>
                <w:b w:val="0"/>
                <w:bCs w:val="0"/>
                <w:color w:val="auto"/>
                <w:sz w:val="24"/>
                <w:szCs w:val="24"/>
                <w:lang w:val="en-US" w:eastAsia="zh-CN"/>
              </w:rPr>
              <w:t>竹医总采（遴）【2024-12-23】号</w:t>
            </w:r>
          </w:p>
        </w:tc>
        <w:tc>
          <w:tcPr>
            <w:tcW w:w="3352" w:type="dxa"/>
            <w:tcBorders>
              <w:top w:val="single" w:color="auto" w:sz="4" w:space="0"/>
              <w:left w:val="single" w:color="auto" w:sz="4" w:space="0"/>
              <w:bottom w:val="single" w:color="auto" w:sz="4" w:space="0"/>
              <w:right w:val="single" w:color="auto" w:sz="4" w:space="0"/>
            </w:tcBorders>
            <w:noWrap/>
            <w:vAlign w:val="center"/>
          </w:tcPr>
          <w:p w14:paraId="7FC3452F">
            <w:pPr>
              <w:keepNext w:val="0"/>
              <w:keepLines w:val="0"/>
              <w:pageBreakBefore w:val="0"/>
              <w:kinsoku/>
              <w:wordWrap/>
              <w:overflowPunct/>
              <w:topLinePunct w:val="0"/>
              <w:bidi w:val="0"/>
              <w:snapToGrid w:val="0"/>
              <w:spacing w:line="560" w:lineRule="exact"/>
              <w:jc w:val="left"/>
              <w:rPr>
                <w:rFonts w:ascii="仿宋" w:hAnsi="仿宋" w:eastAsia="仿宋" w:cs="仿宋"/>
                <w:color w:val="auto"/>
                <w:sz w:val="24"/>
                <w:szCs w:val="24"/>
              </w:rPr>
            </w:pPr>
          </w:p>
        </w:tc>
        <w:tc>
          <w:tcPr>
            <w:tcW w:w="3173" w:type="dxa"/>
            <w:tcBorders>
              <w:top w:val="single" w:color="auto" w:sz="4" w:space="0"/>
              <w:left w:val="single" w:color="auto" w:sz="4" w:space="0"/>
              <w:bottom w:val="single" w:color="auto" w:sz="4" w:space="0"/>
              <w:right w:val="single" w:color="auto" w:sz="4" w:space="0"/>
            </w:tcBorders>
            <w:noWrap/>
            <w:vAlign w:val="center"/>
          </w:tcPr>
          <w:p w14:paraId="52FC3FEC">
            <w:pPr>
              <w:keepNext w:val="0"/>
              <w:keepLines w:val="0"/>
              <w:pageBreakBefore w:val="0"/>
              <w:kinsoku/>
              <w:wordWrap/>
              <w:overflowPunct/>
              <w:topLinePunct w:val="0"/>
              <w:bidi w:val="0"/>
              <w:snapToGrid w:val="0"/>
              <w:spacing w:line="56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小写：</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 xml:space="preserve"> %</w:t>
            </w:r>
          </w:p>
          <w:p w14:paraId="62BB99D2">
            <w:pPr>
              <w:pStyle w:val="2"/>
              <w:keepNext w:val="0"/>
              <w:keepLines w:val="0"/>
              <w:pageBreakBefore w:val="0"/>
              <w:kinsoku/>
              <w:wordWrap/>
              <w:overflowPunct/>
              <w:topLinePunct w:val="0"/>
              <w:bidi w:val="0"/>
              <w:spacing w:line="560" w:lineRule="exact"/>
              <w:rPr>
                <w:rFonts w:hint="default"/>
                <w:color w:val="auto"/>
                <w:lang w:val="en-US" w:eastAsia="zh-CN"/>
              </w:rPr>
            </w:pPr>
            <w:r>
              <w:rPr>
                <w:rFonts w:hint="eastAsia" w:ascii="仿宋" w:hAnsi="仿宋" w:eastAsia="仿宋" w:cs="仿宋"/>
                <w:color w:val="auto"/>
                <w:sz w:val="28"/>
                <w:szCs w:val="28"/>
                <w:u w:val="none"/>
                <w:lang w:val="en-US" w:eastAsia="zh-CN"/>
              </w:rPr>
              <w:t>大写：    折</w:t>
            </w:r>
          </w:p>
        </w:tc>
      </w:tr>
    </w:tbl>
    <w:p w14:paraId="01D732D8">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本文件共15</w:t>
      </w:r>
      <w:bookmarkStart w:id="5" w:name="_GoBack"/>
      <w:bookmarkEnd w:id="5"/>
      <w:r>
        <w:rPr>
          <w:rFonts w:hint="eastAsia" w:ascii="仿宋_GB2312" w:hAnsi="仿宋_GB2312" w:eastAsia="仿宋_GB2312" w:cs="仿宋_GB2312"/>
          <w:color w:val="auto"/>
          <w:sz w:val="28"/>
          <w:szCs w:val="28"/>
          <w:u w:val="single"/>
          <w:lang w:val="en-US" w:eastAsia="zh-CN"/>
        </w:rPr>
        <w:t>页，供应商已阅读全部内容，并清楚知晓其含义且无异议，供应商同意遵守本文件所有内容，并签字盖章进行报价。</w:t>
      </w:r>
    </w:p>
    <w:p w14:paraId="3FBA6C13">
      <w:pPr>
        <w:pStyle w:val="2"/>
        <w:keepNext w:val="0"/>
        <w:keepLines w:val="0"/>
        <w:pageBreakBefore w:val="0"/>
        <w:widowControl w:val="0"/>
        <w:kinsoku/>
        <w:wordWrap/>
        <w:overflowPunct/>
        <w:topLinePunct w:val="0"/>
        <w:autoSpaceDE/>
        <w:autoSpaceDN/>
        <w:bidi w:val="0"/>
        <w:snapToGrid/>
        <w:spacing w:line="560" w:lineRule="exact"/>
        <w:ind w:firstLine="562"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lang w:val="en-US" w:eastAsia="zh-CN"/>
        </w:rPr>
        <w:t>本文件请供应商逐页盖章 。</w:t>
      </w:r>
    </w:p>
    <w:p w14:paraId="26FAD04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供应商名称（盖章）：</w:t>
      </w:r>
    </w:p>
    <w:p w14:paraId="1CD7E7A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法定代表人或授权代表（签字或盖章）</w:t>
      </w:r>
      <w:r>
        <w:rPr>
          <w:rFonts w:hint="eastAsia" w:ascii="仿宋_GB2312" w:hAnsi="仿宋_GB2312" w:eastAsia="仿宋_GB2312" w:cs="仿宋_GB2312"/>
          <w:bCs/>
          <w:color w:val="auto"/>
          <w:sz w:val="28"/>
          <w:szCs w:val="28"/>
        </w:rPr>
        <w:t>：</w:t>
      </w:r>
    </w:p>
    <w:p w14:paraId="658D9D3F">
      <w:pPr>
        <w:keepNext w:val="0"/>
        <w:keepLines w:val="0"/>
        <w:pageBreakBefore w:val="0"/>
        <w:widowControl w:val="0"/>
        <w:kinsoku/>
        <w:wordWrap/>
        <w:overflowPunct/>
        <w:topLinePunct w:val="0"/>
        <w:autoSpaceDE/>
        <w:autoSpaceDN/>
        <w:bidi w:val="0"/>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_GB2312" w:hAnsi="仿宋_GB2312" w:eastAsia="仿宋_GB2312" w:cs="仿宋_GB2312"/>
          <w:bCs/>
          <w:color w:val="auto"/>
          <w:sz w:val="28"/>
          <w:szCs w:val="28"/>
        </w:rPr>
        <w:t>日期</w:t>
      </w:r>
      <w:r>
        <w:rPr>
          <w:rFonts w:hint="eastAsia" w:ascii="仿宋_GB2312" w:hAnsi="仿宋_GB2312" w:eastAsia="仿宋_GB2312" w:cs="仿宋_GB2312"/>
          <w:bCs/>
          <w:color w:val="auto"/>
          <w:sz w:val="28"/>
          <w:szCs w:val="28"/>
          <w:lang w:eastAsia="zh-CN"/>
        </w:rPr>
        <w:t>：</w:t>
      </w:r>
    </w:p>
    <w:p w14:paraId="19CA9DBC">
      <w:pPr>
        <w:spacing w:line="360" w:lineRule="auto"/>
        <w:jc w:val="left"/>
        <w:rPr>
          <w:rFonts w:hint="eastAsia" w:ascii="仿宋" w:hAnsi="仿宋" w:eastAsia="仿宋" w:cs="仿宋"/>
          <w:color w:val="auto"/>
          <w:sz w:val="28"/>
          <w:szCs w:val="28"/>
          <w:lang w:val="en-US" w:eastAsia="zh-CN"/>
        </w:rPr>
      </w:pPr>
    </w:p>
    <w:p w14:paraId="2FC13BDD">
      <w:pPr>
        <w:spacing w:line="360" w:lineRule="auto"/>
        <w:jc w:val="left"/>
        <w:rPr>
          <w:rFonts w:hint="eastAsia" w:ascii="仿宋" w:hAnsi="仿宋" w:eastAsia="仿宋" w:cs="仿宋"/>
          <w:color w:val="auto"/>
          <w:sz w:val="28"/>
          <w:szCs w:val="28"/>
          <w:lang w:val="en-US" w:eastAsia="zh-CN"/>
        </w:rPr>
      </w:pPr>
    </w:p>
    <w:p w14:paraId="1AC9AF44">
      <w:pPr>
        <w:spacing w:line="360" w:lineRule="auto"/>
        <w:jc w:val="left"/>
        <w:rPr>
          <w:rFonts w:hint="eastAsia" w:ascii="仿宋" w:hAnsi="仿宋" w:eastAsia="仿宋" w:cs="仿宋"/>
          <w:color w:val="auto"/>
          <w:sz w:val="28"/>
          <w:szCs w:val="28"/>
          <w:lang w:val="en-US" w:eastAsia="zh-CN"/>
        </w:rPr>
      </w:pPr>
    </w:p>
    <w:p w14:paraId="54EBF637">
      <w:pPr>
        <w:spacing w:line="360" w:lineRule="auto"/>
        <w:jc w:val="left"/>
        <w:rPr>
          <w:rFonts w:hint="eastAsia" w:ascii="仿宋" w:hAnsi="仿宋" w:eastAsia="仿宋" w:cs="仿宋"/>
          <w:color w:val="auto"/>
          <w:sz w:val="28"/>
          <w:szCs w:val="28"/>
          <w:lang w:val="en-US" w:eastAsia="zh-CN"/>
        </w:rPr>
      </w:pPr>
    </w:p>
    <w:p w14:paraId="6769CE5C">
      <w:pPr>
        <w:spacing w:line="360" w:lineRule="auto"/>
        <w:jc w:val="left"/>
        <w:rPr>
          <w:rFonts w:hint="eastAsia" w:ascii="仿宋" w:hAnsi="仿宋" w:eastAsia="仿宋" w:cs="仿宋"/>
          <w:color w:val="auto"/>
          <w:sz w:val="28"/>
          <w:szCs w:val="28"/>
          <w:lang w:val="en-US" w:eastAsia="zh-CN"/>
        </w:rPr>
      </w:pPr>
    </w:p>
    <w:p w14:paraId="091B6738">
      <w:pPr>
        <w:spacing w:line="360" w:lineRule="auto"/>
        <w:jc w:val="left"/>
        <w:rPr>
          <w:rFonts w:hint="eastAsia" w:ascii="仿宋" w:hAnsi="仿宋" w:eastAsia="仿宋" w:cs="仿宋"/>
          <w:color w:val="auto"/>
          <w:sz w:val="28"/>
          <w:szCs w:val="28"/>
          <w:lang w:val="en-US" w:eastAsia="zh-CN"/>
        </w:rPr>
      </w:pPr>
    </w:p>
    <w:p w14:paraId="1F990E42">
      <w:pPr>
        <w:spacing w:line="360" w:lineRule="auto"/>
        <w:jc w:val="left"/>
        <w:rPr>
          <w:rFonts w:hint="eastAsia" w:ascii="仿宋" w:hAnsi="仿宋" w:eastAsia="仿宋" w:cs="仿宋"/>
          <w:color w:val="auto"/>
          <w:sz w:val="28"/>
          <w:szCs w:val="28"/>
          <w:lang w:val="en-US" w:eastAsia="zh-CN"/>
        </w:rPr>
      </w:pPr>
    </w:p>
    <w:p w14:paraId="53FB4E56">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w:t>
      </w:r>
    </w:p>
    <w:p w14:paraId="3BBD72B4">
      <w:pPr>
        <w:spacing w:line="360" w:lineRule="auto"/>
        <w:rPr>
          <w:rFonts w:hint="eastAsia" w:ascii="仿宋" w:hAnsi="仿宋" w:eastAsia="仿宋" w:cs="仿宋"/>
          <w:color w:val="auto"/>
          <w:sz w:val="28"/>
          <w:szCs w:val="28"/>
        </w:rPr>
      </w:pPr>
    </w:p>
    <w:p w14:paraId="7407543F">
      <w:pPr>
        <w:spacing w:line="360" w:lineRule="auto"/>
        <w:rPr>
          <w:rFonts w:hint="eastAsia" w:ascii="仿宋" w:hAnsi="仿宋" w:eastAsia="仿宋" w:cs="仿宋"/>
          <w:color w:val="auto"/>
          <w:sz w:val="28"/>
          <w:szCs w:val="28"/>
          <w:lang w:val="en-US" w:eastAsia="zh-CN"/>
        </w:rPr>
      </w:pPr>
    </w:p>
    <w:p w14:paraId="62FDD587">
      <w:pPr>
        <w:pStyle w:val="20"/>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法定代表人授权书</w:t>
      </w:r>
    </w:p>
    <w:p w14:paraId="127216F9">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大竹县人民医院：</w:t>
      </w:r>
    </w:p>
    <w:p w14:paraId="2B31D755">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（供应商名称）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（法定代表人姓名、职务）授权</w:t>
      </w:r>
      <w:r>
        <w:rPr>
          <w:rFonts w:hint="eastAsia" w:ascii="仿宋" w:hAnsi="仿宋" w:eastAsia="仿宋" w:cs="仿宋"/>
          <w:color w:val="auto"/>
          <w:sz w:val="28"/>
          <w:szCs w:val="28"/>
          <w:u w:val="single"/>
          <w:lang w:val="en-US" w:eastAsia="zh-CN"/>
        </w:rPr>
        <w:t>XXX</w:t>
      </w:r>
      <w:r>
        <w:rPr>
          <w:rFonts w:hint="eastAsia" w:ascii="仿宋" w:hAnsi="仿宋" w:eastAsia="仿宋" w:cs="仿宋"/>
          <w:color w:val="auto"/>
          <w:sz w:val="28"/>
          <w:szCs w:val="28"/>
        </w:rPr>
        <w:t>（被授权人姓名、职务）为我方</w:t>
      </w:r>
      <w:r>
        <w:rPr>
          <w:rFonts w:hint="eastAsia" w:ascii="仿宋" w:hAnsi="仿宋" w:eastAsia="仿宋" w:cs="仿宋"/>
          <w:color w:val="auto"/>
          <w:sz w:val="28"/>
          <w:szCs w:val="28"/>
          <w:lang w:eastAsia="zh-CN"/>
        </w:rPr>
        <w:t>竹医总采（遴）</w:t>
      </w:r>
      <w:r>
        <w:rPr>
          <w:rFonts w:hint="eastAsia" w:ascii="仿宋" w:hAnsi="仿宋" w:eastAsia="仿宋" w:cs="仿宋"/>
          <w:color w:val="auto"/>
          <w:sz w:val="28"/>
          <w:szCs w:val="28"/>
        </w:rPr>
        <w:t>【】号“</w:t>
      </w:r>
      <w:r>
        <w:rPr>
          <w:rFonts w:hint="eastAsia" w:ascii="仿宋" w:hAnsi="仿宋" w:eastAsia="仿宋" w:cs="仿宋"/>
          <w:color w:val="auto"/>
          <w:sz w:val="28"/>
          <w:szCs w:val="28"/>
          <w:u w:val="single"/>
          <w:lang w:val="en-US" w:eastAsia="zh-CN"/>
        </w:rPr>
        <w:t xml:space="preserve"> 大竹县人民医院低值信息设备采购项目 </w:t>
      </w:r>
      <w:r>
        <w:rPr>
          <w:rFonts w:hint="eastAsia" w:ascii="仿宋" w:hAnsi="仿宋" w:eastAsia="仿宋" w:cs="仿宋"/>
          <w:color w:val="auto"/>
          <w:sz w:val="28"/>
          <w:szCs w:val="28"/>
        </w:rPr>
        <w:t>”项目遴选活动的合法代表，以我方名义全权处理该项目有关报价、签订合同以及执行合同等一切事宜。</w:t>
      </w:r>
    </w:p>
    <w:p w14:paraId="5E3EAEEA">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特此声明。</w:t>
      </w:r>
    </w:p>
    <w:p w14:paraId="7219D67D">
      <w:pPr>
        <w:pStyle w:val="20"/>
        <w:spacing w:line="360" w:lineRule="auto"/>
        <w:ind w:firstLine="560"/>
        <w:rPr>
          <w:rFonts w:ascii="仿宋" w:hAnsi="仿宋" w:eastAsia="仿宋" w:cs="仿宋"/>
          <w:color w:val="auto"/>
          <w:sz w:val="28"/>
          <w:szCs w:val="28"/>
        </w:rPr>
      </w:pPr>
    </w:p>
    <w:p w14:paraId="4DAE8BF7">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供应商名称：（盖章）</w:t>
      </w:r>
    </w:p>
    <w:p w14:paraId="5AD44764">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法定代表人（签字或盖章）：</w:t>
      </w:r>
    </w:p>
    <w:p w14:paraId="2F879389">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授权代表签字：</w:t>
      </w:r>
    </w:p>
    <w:p w14:paraId="05E07FFD">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    期：</w:t>
      </w:r>
    </w:p>
    <w:p w14:paraId="5A70E64B">
      <w:pPr>
        <w:pStyle w:val="20"/>
        <w:spacing w:line="360" w:lineRule="auto"/>
        <w:ind w:firstLine="562"/>
        <w:rPr>
          <w:rFonts w:ascii="仿宋" w:hAnsi="仿宋" w:eastAsia="仿宋" w:cs="仿宋"/>
          <w:b/>
          <w:bCs/>
          <w:color w:val="auto"/>
          <w:sz w:val="28"/>
          <w:szCs w:val="28"/>
        </w:rPr>
      </w:pPr>
    </w:p>
    <w:p w14:paraId="46477441">
      <w:pPr>
        <w:pStyle w:val="20"/>
        <w:spacing w:line="360" w:lineRule="auto"/>
        <w:ind w:firstLine="562"/>
        <w:rPr>
          <w:rFonts w:ascii="仿宋" w:hAnsi="仿宋" w:eastAsia="仿宋" w:cs="仿宋"/>
          <w:b/>
          <w:bCs/>
          <w:color w:val="auto"/>
          <w:sz w:val="28"/>
          <w:szCs w:val="28"/>
        </w:rPr>
      </w:pPr>
    </w:p>
    <w:p w14:paraId="6FCC1665">
      <w:pPr>
        <w:pStyle w:val="20"/>
        <w:spacing w:line="360" w:lineRule="auto"/>
        <w:ind w:firstLine="562"/>
        <w:rPr>
          <w:rFonts w:ascii="仿宋" w:hAnsi="仿宋" w:eastAsia="仿宋" w:cs="仿宋"/>
          <w:b/>
          <w:bCs/>
          <w:color w:val="auto"/>
          <w:sz w:val="28"/>
          <w:szCs w:val="28"/>
        </w:rPr>
      </w:pPr>
    </w:p>
    <w:p w14:paraId="1DC7C200">
      <w:pPr>
        <w:pStyle w:val="20"/>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说明</w:t>
      </w:r>
      <w:r>
        <w:rPr>
          <w:rFonts w:hint="eastAsia" w:ascii="仿宋" w:hAnsi="仿宋" w:eastAsia="仿宋" w:cs="仿宋"/>
          <w:color w:val="auto"/>
          <w:sz w:val="28"/>
          <w:szCs w:val="28"/>
        </w:rPr>
        <w:t>：1、如法定代表人参加</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的，不需提供授权委托书，但必须提供法定代表人身份证复印件。</w:t>
      </w:r>
    </w:p>
    <w:p w14:paraId="4ACD1B3C">
      <w:pPr>
        <w:pStyle w:val="20"/>
        <w:spacing w:line="360" w:lineRule="auto"/>
        <w:ind w:firstLine="560"/>
        <w:rPr>
          <w:rFonts w:hint="eastAsia"/>
          <w:color w:val="auto"/>
          <w:lang w:val="en-US" w:eastAsia="zh-CN"/>
        </w:rPr>
      </w:pPr>
      <w:r>
        <w:rPr>
          <w:rFonts w:hint="eastAsia" w:ascii="仿宋" w:hAnsi="仿宋" w:eastAsia="仿宋" w:cs="仿宋"/>
          <w:color w:val="auto"/>
          <w:sz w:val="28"/>
          <w:szCs w:val="28"/>
        </w:rPr>
        <w:t>2、如授权代表参加</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的，必须提供授权委托书，法定代表人和授权代表的身份证复印件。</w:t>
      </w:r>
    </w:p>
    <w:p w14:paraId="0534BD8B">
      <w:pPr>
        <w:pStyle w:val="15"/>
        <w:rPr>
          <w:rFonts w:hint="eastAsia"/>
          <w:color w:val="auto"/>
        </w:rPr>
      </w:pPr>
    </w:p>
    <w:p w14:paraId="565436C5">
      <w:pPr>
        <w:rPr>
          <w:rFonts w:hint="eastAsia"/>
          <w:color w:val="auto"/>
          <w:lang w:val="en-US" w:eastAsia="zh-CN"/>
        </w:rPr>
      </w:pP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24E42F-3B6E-425C-A535-DAE37E3846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CA7A360C-1113-4FDA-AFCF-DA82B4C377F3}"/>
  </w:font>
  <w:font w:name="方正公文小标宋">
    <w:panose1 w:val="02000500000000000000"/>
    <w:charset w:val="86"/>
    <w:family w:val="auto"/>
    <w:pitch w:val="default"/>
    <w:sig w:usb0="A00002BF" w:usb1="38CF7CFA" w:usb2="00000016" w:usb3="00000000" w:csb0="00040001" w:csb1="00000000"/>
    <w:embedRegular r:id="rId3" w:fontKey="{1D1A27E3-5504-4024-87FE-F457B1C02C54}"/>
  </w:font>
  <w:font w:name="仿宋_GB2312">
    <w:panose1 w:val="02010609030101010101"/>
    <w:charset w:val="86"/>
    <w:family w:val="auto"/>
    <w:pitch w:val="default"/>
    <w:sig w:usb0="00000001" w:usb1="080E0000" w:usb2="00000000" w:usb3="00000000" w:csb0="00040000" w:csb1="00000000"/>
    <w:embedRegular r:id="rId4" w:fontKey="{49CB0569-28B9-4253-8CB3-AD84D3C16D3C}"/>
  </w:font>
  <w:font w:name="PingFangSC-Medium">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4B2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1DC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5621DC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6A4277C"/>
    <w:rsid w:val="08F33D56"/>
    <w:rsid w:val="09A0066E"/>
    <w:rsid w:val="0ECD1690"/>
    <w:rsid w:val="144025BE"/>
    <w:rsid w:val="14CF3044"/>
    <w:rsid w:val="15220BC8"/>
    <w:rsid w:val="1560229E"/>
    <w:rsid w:val="17030584"/>
    <w:rsid w:val="176F0D30"/>
    <w:rsid w:val="179A293D"/>
    <w:rsid w:val="1C4B1F3E"/>
    <w:rsid w:val="1CD852E5"/>
    <w:rsid w:val="1F58038B"/>
    <w:rsid w:val="1F8D77DC"/>
    <w:rsid w:val="1FAA2393"/>
    <w:rsid w:val="1FDE2037"/>
    <w:rsid w:val="23A5639B"/>
    <w:rsid w:val="258C7F61"/>
    <w:rsid w:val="28786771"/>
    <w:rsid w:val="289417F0"/>
    <w:rsid w:val="32244145"/>
    <w:rsid w:val="366C2A9A"/>
    <w:rsid w:val="372B7A8B"/>
    <w:rsid w:val="38810B87"/>
    <w:rsid w:val="41151AA5"/>
    <w:rsid w:val="43704724"/>
    <w:rsid w:val="493B5F6F"/>
    <w:rsid w:val="4C003951"/>
    <w:rsid w:val="556A015F"/>
    <w:rsid w:val="583A23D4"/>
    <w:rsid w:val="5AF0321E"/>
    <w:rsid w:val="5C4473D9"/>
    <w:rsid w:val="5D0D746A"/>
    <w:rsid w:val="609D30B7"/>
    <w:rsid w:val="66682803"/>
    <w:rsid w:val="67544551"/>
    <w:rsid w:val="6A402300"/>
    <w:rsid w:val="6A8C2ACD"/>
    <w:rsid w:val="6BFF6BC0"/>
    <w:rsid w:val="77000E67"/>
    <w:rsid w:val="777B723A"/>
    <w:rsid w:val="7A74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4">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11">
    <w:name w:val="page number"/>
    <w:basedOn w:val="10"/>
    <w:qFormat/>
    <w:uiPriority w:val="0"/>
  </w:style>
  <w:style w:type="paragraph" w:customStyle="1" w:styleId="12">
    <w:name w:val="正文_1"/>
    <w:next w:val="13"/>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3">
    <w:name w:val="正文_2"/>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标题 5（有编号）（绿盟科技）"/>
    <w:basedOn w:val="13"/>
    <w:next w:val="1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6">
    <w:name w:val="正文文本_1"/>
    <w:basedOn w:val="17"/>
    <w:next w:val="17"/>
    <w:unhideWhenUsed/>
    <w:qFormat/>
    <w:uiPriority w:val="99"/>
    <w:pPr>
      <w:spacing w:after="120"/>
    </w:pPr>
    <w:rPr>
      <w:rFonts w:ascii="Times New Roman" w:hAnsi="Times New Roman"/>
      <w:kern w:val="0"/>
      <w:sz w:val="20"/>
      <w:szCs w:val="20"/>
    </w:rPr>
  </w:style>
  <w:style w:type="paragraph" w:customStyle="1" w:styleId="17">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font41"/>
    <w:basedOn w:val="10"/>
    <w:qFormat/>
    <w:uiPriority w:val="0"/>
    <w:rPr>
      <w:rFonts w:ascii="Arial" w:hAnsi="Arial" w:cs="Arial"/>
      <w:color w:val="000000"/>
      <w:sz w:val="24"/>
      <w:szCs w:val="24"/>
      <w:u w:val="none"/>
    </w:rPr>
  </w:style>
  <w:style w:type="character" w:customStyle="1" w:styleId="19">
    <w:name w:val="font31"/>
    <w:basedOn w:val="10"/>
    <w:qFormat/>
    <w:uiPriority w:val="0"/>
    <w:rPr>
      <w:rFonts w:hint="eastAsia" w:ascii="仿宋" w:hAnsi="仿宋" w:eastAsia="仿宋" w:cs="仿宋"/>
      <w:color w:val="000000"/>
      <w:sz w:val="24"/>
      <w:szCs w:val="24"/>
      <w:u w:val="none"/>
    </w:rPr>
  </w:style>
  <w:style w:type="paragraph" w:styleId="20">
    <w:name w:val="List Paragraph"/>
    <w:basedOn w:val="1"/>
    <w:qFormat/>
    <w:uiPriority w:val="0"/>
    <w:pPr>
      <w:ind w:firstLine="420" w:firstLineChars="200"/>
    </w:pPr>
    <w:rPr>
      <w:szCs w:val="24"/>
    </w:rPr>
  </w:style>
  <w:style w:type="character" w:customStyle="1" w:styleId="21">
    <w:name w:val="font61"/>
    <w:basedOn w:val="10"/>
    <w:qFormat/>
    <w:uiPriority w:val="0"/>
    <w:rPr>
      <w:rFonts w:hint="eastAsia" w:ascii="仿宋" w:hAnsi="仿宋" w:eastAsia="仿宋" w:cs="仿宋"/>
      <w:color w:val="000000"/>
      <w:sz w:val="28"/>
      <w:szCs w:val="28"/>
      <w:u w:val="none"/>
    </w:rPr>
  </w:style>
  <w:style w:type="paragraph" w:customStyle="1" w:styleId="22">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4059</Words>
  <Characters>6622</Characters>
  <Lines>0</Lines>
  <Paragraphs>0</Paragraphs>
  <TotalTime>3</TotalTime>
  <ScaleCrop>false</ScaleCrop>
  <LinksUpToDate>false</LinksUpToDate>
  <CharactersWithSpaces>6711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cp:lastModifiedBy>
  <cp:lastPrinted>2023-07-24T02:36:00Z</cp:lastPrinted>
  <dcterms:modified xsi:type="dcterms:W3CDTF">2024-12-23T03:40:15Z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37EFF2F5685D48898B907A5919B4EDEF_12</vt:lpwstr>
  </property>
</Properties>
</file>