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6174"/>
      <w:bookmarkStart w:id="1" w:name="_Toc193105917"/>
      <w:bookmarkStart w:id="2" w:name="_Toc193106063"/>
      <w:bookmarkStart w:id="3" w:name="_Toc350864514"/>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竹医总采（遴）【2024-</w:t>
      </w:r>
      <w:r>
        <w:rPr>
          <w:rFonts w:hint="eastAsia" w:ascii="仿宋" w:hAnsi="仿宋" w:eastAsia="仿宋" w:cs="仿宋"/>
          <w:b/>
          <w:sz w:val="28"/>
          <w:szCs w:val="28"/>
          <w:highlight w:val="none"/>
          <w:bdr w:val="single" w:color="auto" w:sz="4" w:space="0"/>
          <w:lang w:val="en-US" w:eastAsia="zh-CN"/>
        </w:rPr>
        <w:t>11</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14-3</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267E5354">
      <w:pPr>
        <w:spacing w:line="360" w:lineRule="auto"/>
        <w:jc w:val="center"/>
        <w:rPr>
          <w:rFonts w:hint="eastAsia" w:ascii="仿宋" w:hAnsi="仿宋" w:eastAsia="仿宋" w:cs="仿宋"/>
          <w:b/>
          <w:sz w:val="96"/>
          <w:highlight w:val="none"/>
          <w:lang w:eastAsia="zh-CN"/>
        </w:rPr>
      </w:pPr>
      <w:bookmarkStart w:id="4" w:name="OLE_LINK1"/>
      <w:r>
        <w:rPr>
          <w:rFonts w:hint="eastAsia" w:ascii="仿宋" w:hAnsi="仿宋" w:eastAsia="仿宋" w:cs="仿宋"/>
          <w:b/>
          <w:kern w:val="0"/>
          <w:sz w:val="40"/>
          <w:szCs w:val="40"/>
          <w:highlight w:val="none"/>
          <w:lang w:eastAsia="zh-CN"/>
        </w:rPr>
        <w:t>大竹县人民医院门诊排队叫号系统软硬件升级采购项目</w:t>
      </w:r>
      <w:bookmarkEnd w:id="4"/>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十二</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23</w:t>
      </w:r>
    </w:p>
    <w:p w14:paraId="13EDB8BB">
      <w:pPr>
        <w:pStyle w:val="4"/>
        <w:spacing w:line="360" w:lineRule="auto"/>
        <w:ind w:firstLine="0" w:firstLineChars="0"/>
        <w:rPr>
          <w:rFonts w:ascii="仿宋" w:hAnsi="仿宋" w:eastAsia="仿宋" w:cs="仿宋"/>
          <w:highlight w:val="none"/>
        </w:rPr>
      </w:pPr>
    </w:p>
    <w:p w14:paraId="7D6B54AB">
      <w:pPr>
        <w:pStyle w:val="4"/>
        <w:spacing w:line="360" w:lineRule="auto"/>
        <w:ind w:firstLine="0" w:firstLineChars="0"/>
        <w:rPr>
          <w:rFonts w:ascii="仿宋" w:hAnsi="仿宋" w:eastAsia="仿宋" w:cs="仿宋"/>
          <w:highlight w:val="none"/>
        </w:rPr>
      </w:pPr>
    </w:p>
    <w:p w14:paraId="6D1DC3F0">
      <w:pPr>
        <w:pStyle w:val="4"/>
        <w:spacing w:line="360" w:lineRule="auto"/>
        <w:ind w:firstLine="0" w:firstLineChars="0"/>
        <w:rPr>
          <w:rFonts w:ascii="仿宋" w:hAnsi="仿宋" w:eastAsia="仿宋" w:cs="仿宋"/>
          <w:highlight w:val="none"/>
        </w:rPr>
      </w:pPr>
    </w:p>
    <w:p w14:paraId="544BA546">
      <w:pPr>
        <w:pStyle w:val="4"/>
        <w:spacing w:line="360" w:lineRule="auto"/>
        <w:ind w:firstLine="0" w:firstLineChars="0"/>
        <w:rPr>
          <w:rFonts w:ascii="仿宋" w:hAnsi="仿宋" w:eastAsia="仿宋" w:cs="仿宋"/>
          <w:highlight w:val="none"/>
        </w:rPr>
      </w:pPr>
    </w:p>
    <w:p w14:paraId="6FCF00B1">
      <w:pPr>
        <w:pStyle w:val="4"/>
        <w:spacing w:line="360" w:lineRule="auto"/>
        <w:ind w:firstLine="0" w:firstLineChars="0"/>
        <w:rPr>
          <w:rFonts w:ascii="仿宋" w:hAnsi="仿宋" w:eastAsia="仿宋" w:cs="仿宋"/>
          <w:highlight w:val="none"/>
        </w:rPr>
      </w:pPr>
    </w:p>
    <w:p w14:paraId="71FEBBA2">
      <w:pPr>
        <w:pStyle w:val="4"/>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pStyle w:val="35"/>
        <w:spacing w:line="360" w:lineRule="auto"/>
        <w:ind w:firstLine="562"/>
        <w:rPr>
          <w:rFonts w:ascii="黑体" w:hAnsi="黑体" w:eastAsia="黑体" w:cs="黑体"/>
          <w:sz w:val="32"/>
          <w:szCs w:val="32"/>
          <w:highlight w:val="none"/>
        </w:rPr>
      </w:pPr>
      <w:r>
        <w:rPr>
          <w:rFonts w:hint="eastAsia" w:ascii="仿宋" w:hAnsi="仿宋" w:eastAsia="仿宋" w:cs="仿宋"/>
          <w:sz w:val="28"/>
          <w:szCs w:val="28"/>
          <w:highlight w:val="none"/>
        </w:rPr>
        <w:t>我院拟以</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遴选即我院自主独立采购，从参与我院组织的采购活动的供应商中按符合本文件全部要求的供应商中从优选择成交供应商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方式对</w:t>
      </w:r>
      <w:r>
        <w:rPr>
          <w:rFonts w:hint="eastAsia" w:ascii="仿宋" w:hAnsi="仿宋" w:eastAsia="仿宋" w:cs="仿宋"/>
          <w:sz w:val="28"/>
          <w:szCs w:val="28"/>
          <w:highlight w:val="none"/>
          <w:lang w:eastAsia="zh-CN"/>
        </w:rPr>
        <w:t>《大竹县人民医院常用办公文化用品采购项目》</w:t>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，兹邀请符合本次遴选</w:t>
      </w:r>
      <w:r>
        <w:rPr>
          <w:rFonts w:hint="eastAsia" w:ascii="仿宋" w:hAnsi="仿宋" w:eastAsia="仿宋" w:cs="仿宋"/>
          <w:sz w:val="28"/>
          <w:szCs w:val="28"/>
          <w:highlight w:val="none"/>
          <w:lang w:val="en-US" w:eastAsia="zh-CN"/>
        </w:rPr>
        <w:t>文件全部</w:t>
      </w:r>
      <w:r>
        <w:rPr>
          <w:rFonts w:hint="eastAsia" w:ascii="仿宋" w:hAnsi="仿宋" w:eastAsia="仿宋" w:cs="仿宋"/>
          <w:sz w:val="28"/>
          <w:szCs w:val="28"/>
          <w:highlight w:val="none"/>
        </w:rPr>
        <w:t>要求的供应商参与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所配套的采购</w:t>
      </w:r>
      <w:r>
        <w:rPr>
          <w:rFonts w:hint="eastAsia" w:ascii="仿宋" w:hAnsi="仿宋" w:eastAsia="仿宋" w:cs="仿宋"/>
          <w:sz w:val="28"/>
          <w:szCs w:val="28"/>
          <w:highlight w:val="none"/>
        </w:rPr>
        <w:t>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14-3</w:t>
      </w:r>
      <w:r>
        <w:rPr>
          <w:rFonts w:hint="eastAsia" w:ascii="仿宋" w:hAnsi="仿宋" w:eastAsia="仿宋" w:cs="仿宋"/>
          <w:sz w:val="28"/>
          <w:szCs w:val="28"/>
          <w:highlight w:val="none"/>
          <w:lang w:eastAsia="zh-CN"/>
        </w:rPr>
        <w:t>】</w:t>
      </w:r>
    </w:p>
    <w:p w14:paraId="2F54FAFF">
      <w:pPr>
        <w:pStyle w:val="35"/>
        <w:spacing w:line="360" w:lineRule="auto"/>
        <w:ind w:firstLine="562"/>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w:t>
      </w:r>
      <w:r>
        <w:rPr>
          <w:rFonts w:hint="eastAsia" w:ascii="仿宋" w:hAnsi="仿宋" w:eastAsia="仿宋" w:cs="仿宋"/>
          <w:sz w:val="28"/>
          <w:szCs w:val="28"/>
          <w:highlight w:val="none"/>
          <w:lang w:val="en-US" w:eastAsia="zh-CN"/>
        </w:rPr>
        <w:t>大竹县人民医院门诊排队叫号系统软硬件升级采购项目（第三次）</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17</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18</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4</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12</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20</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bookmarkStart w:id="25" w:name="_GoBack"/>
      <w:bookmarkEnd w:id="25"/>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175"/>
      <w:bookmarkStart w:id="6" w:name="_Toc350864515"/>
      <w:bookmarkStart w:id="7" w:name="_Toc193105918"/>
      <w:bookmarkStart w:id="8" w:name="_Toc193106064"/>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4CD8D221">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14-3</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lang w:eastAsia="zh-CN"/>
              </w:rPr>
              <w:t>大竹县人民医院门诊排队叫号系统软硬件升级采购项目（</w:t>
            </w:r>
            <w:r>
              <w:rPr>
                <w:rFonts w:hint="eastAsia" w:ascii="仿宋" w:hAnsi="仿宋" w:eastAsia="仿宋" w:cs="仿宋"/>
                <w:bCs/>
                <w:sz w:val="28"/>
                <w:szCs w:val="28"/>
                <w:highlight w:val="none"/>
                <w:lang w:val="en-US" w:eastAsia="zh-CN"/>
              </w:rPr>
              <w:t>第三次</w:t>
            </w:r>
            <w:r>
              <w:rPr>
                <w:rFonts w:hint="eastAsia" w:ascii="仿宋" w:hAnsi="仿宋" w:eastAsia="仿宋" w:cs="仿宋"/>
                <w:bCs/>
                <w:sz w:val="28"/>
                <w:szCs w:val="28"/>
                <w:highlight w:val="none"/>
                <w:lang w:eastAsia="zh-CN"/>
              </w:rPr>
              <w:t>）</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spacing w:line="560" w:lineRule="exact"/>
              <w:ind w:right="31" w:rightChars="15" w:firstLine="560"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color w:val="FF0000"/>
                <w:kern w:val="2"/>
                <w:sz w:val="28"/>
                <w:szCs w:val="28"/>
                <w:highlight w:val="none"/>
                <w:lang w:val="en-US" w:eastAsia="zh-CN" w:bidi="ar-SA"/>
              </w:rPr>
              <w:t>126530元（大写：壹拾贰万陆仟伍佰叁拾元）</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8"/>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4"/>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2318381"/>
      <w:bookmarkStart w:id="13" w:name="_Toc193105919"/>
      <w:bookmarkStart w:id="14" w:name="_Toc192318708"/>
      <w:bookmarkStart w:id="15" w:name="_Toc193106065"/>
      <w:bookmarkStart w:id="16" w:name="_Toc192318461"/>
      <w:bookmarkStart w:id="17" w:name="_Toc193106176"/>
      <w:bookmarkStart w:id="18" w:name="_Toc350864517"/>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00D20471">
      <w:pPr>
        <w:pStyle w:val="35"/>
        <w:spacing w:line="360" w:lineRule="auto"/>
        <w:ind w:firstLine="0" w:firstLineChars="0"/>
        <w:jc w:val="center"/>
        <w:rPr>
          <w:rFonts w:hint="eastAsia" w:ascii="仿宋" w:hAnsi="仿宋" w:eastAsia="仿宋" w:cs="仿宋"/>
          <w:b/>
          <w:kern w:val="0"/>
          <w:sz w:val="32"/>
          <w:szCs w:val="32"/>
          <w:highlight w:val="none"/>
          <w:lang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58786FE1">
      <w:pPr>
        <w:spacing w:line="360" w:lineRule="auto"/>
        <w:jc w:val="center"/>
        <w:rPr>
          <w:rFonts w:hint="eastAsia" w:ascii="仿宋" w:hAnsi="仿宋" w:eastAsia="仿宋" w:cs="仿宋"/>
          <w:b/>
          <w:bCs/>
          <w:kern w:val="2"/>
          <w:sz w:val="28"/>
          <w:szCs w:val="28"/>
          <w:lang w:val="en-US" w:eastAsia="zh-CN" w:bidi="ar-SA"/>
        </w:rPr>
      </w:pPr>
      <w:r>
        <w:rPr>
          <w:rFonts w:hint="eastAsia" w:ascii="仿宋" w:hAnsi="仿宋" w:eastAsia="仿宋" w:cs="仿宋"/>
          <w:b/>
          <w:kern w:val="0"/>
          <w:sz w:val="32"/>
          <w:szCs w:val="32"/>
          <w:highlight w:val="none"/>
          <w:lang w:eastAsia="zh-CN"/>
        </w:rPr>
        <w:t>大竹县人民医院门诊排队叫号系统软硬件升级院内自主采购项目</w:t>
      </w:r>
      <w:r>
        <w:rPr>
          <w:rFonts w:hint="eastAsia" w:ascii="仿宋" w:hAnsi="仿宋" w:eastAsia="仿宋" w:cs="仿宋"/>
          <w:b/>
          <w:kern w:val="0"/>
          <w:sz w:val="36"/>
          <w:szCs w:val="36"/>
          <w:highlight w:val="none"/>
          <w:lang w:eastAsia="zh-CN"/>
        </w:rPr>
        <w:t xml:space="preserve"> </w:t>
      </w:r>
    </w:p>
    <w:p w14:paraId="2E817548">
      <w:pPr>
        <w:spacing w:line="360" w:lineRule="auto"/>
        <w:jc w:val="both"/>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一、采购标的（技术要求）</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
        <w:gridCol w:w="743"/>
        <w:gridCol w:w="1160"/>
        <w:gridCol w:w="387"/>
        <w:gridCol w:w="6374"/>
        <w:gridCol w:w="701"/>
        <w:gridCol w:w="570"/>
        <w:gridCol w:w="12"/>
      </w:tblGrid>
      <w:tr w14:paraId="5FE3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77D0B85">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76"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32FC847">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项目内容</w:t>
            </w:r>
          </w:p>
        </w:tc>
        <w:tc>
          <w:tcPr>
            <w:tcW w:w="319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233943">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内容说明</w:t>
            </w:r>
          </w:p>
        </w:tc>
        <w:tc>
          <w:tcPr>
            <w:tcW w:w="35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158A7A4">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291"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24126D">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单位</w:t>
            </w:r>
          </w:p>
        </w:tc>
      </w:tr>
      <w:tr w14:paraId="6F29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A06A0A2">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76" w:type="pct"/>
            <w:gridSpan w:val="2"/>
            <w:tcBorders>
              <w:top w:val="single" w:color="auto" w:sz="4" w:space="0"/>
              <w:left w:val="single" w:color="auto" w:sz="4" w:space="0"/>
              <w:right w:val="single" w:color="auto" w:sz="4" w:space="0"/>
            </w:tcBorders>
            <w:vAlign w:val="center"/>
          </w:tcPr>
          <w:p w14:paraId="2B4D48EF">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分诊排队叫号系统</w:t>
            </w:r>
          </w:p>
        </w:tc>
        <w:tc>
          <w:tcPr>
            <w:tcW w:w="3199" w:type="pct"/>
            <w:tcBorders>
              <w:top w:val="single" w:color="auto" w:sz="4" w:space="0"/>
              <w:left w:val="single" w:color="auto" w:sz="4" w:space="0"/>
              <w:bottom w:val="single" w:color="auto" w:sz="4" w:space="0"/>
              <w:right w:val="single" w:color="auto" w:sz="4" w:space="0"/>
            </w:tcBorders>
            <w:vAlign w:val="center"/>
          </w:tcPr>
          <w:p w14:paraId="4EF3C9BF">
            <w:pPr>
              <w:spacing w:line="240" w:lineRule="auto"/>
              <w:rPr>
                <w:rFonts w:hint="eastAsia" w:ascii="仿宋" w:hAnsi="仿宋" w:eastAsia="仿宋" w:cs="仿宋"/>
                <w:sz w:val="28"/>
                <w:szCs w:val="28"/>
              </w:rPr>
            </w:pPr>
            <w:r>
              <w:rPr>
                <w:rFonts w:hint="eastAsia" w:ascii="仿宋" w:hAnsi="仿宋" w:eastAsia="仿宋" w:cs="仿宋"/>
                <w:sz w:val="28"/>
                <w:szCs w:val="28"/>
              </w:rPr>
              <w:t>平台包含医生工作站虚拟叫号系统、护士台分诊管理系统、分诊导引基础平台，对门诊综合科室、检验化验科室、医技检查科室、药房等场景进行智能排队叫号，对患者进行有效的分诊导引，优化就诊秩序，支持线上、自助机、窗口等全渠道号源获取。</w:t>
            </w:r>
          </w:p>
        </w:tc>
        <w:tc>
          <w:tcPr>
            <w:tcW w:w="352" w:type="pct"/>
            <w:tcBorders>
              <w:top w:val="single" w:color="auto" w:sz="4" w:space="0"/>
              <w:left w:val="single" w:color="auto" w:sz="4" w:space="0"/>
              <w:bottom w:val="single" w:color="auto" w:sz="4" w:space="0"/>
              <w:right w:val="single" w:color="auto" w:sz="4" w:space="0"/>
            </w:tcBorders>
            <w:vAlign w:val="center"/>
          </w:tcPr>
          <w:p w14:paraId="798F84D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11E73D5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套</w:t>
            </w:r>
          </w:p>
        </w:tc>
      </w:tr>
      <w:tr w14:paraId="3F4E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4A75452">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76" w:type="pct"/>
            <w:gridSpan w:val="2"/>
            <w:tcBorders>
              <w:top w:val="single" w:color="auto" w:sz="4" w:space="0"/>
              <w:left w:val="single" w:color="auto" w:sz="4" w:space="0"/>
              <w:right w:val="single" w:color="auto" w:sz="4" w:space="0"/>
            </w:tcBorders>
            <w:vAlign w:val="center"/>
          </w:tcPr>
          <w:p w14:paraId="125A8E75">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分诊设备管理平台</w:t>
            </w:r>
          </w:p>
        </w:tc>
        <w:tc>
          <w:tcPr>
            <w:tcW w:w="3199" w:type="pct"/>
            <w:tcBorders>
              <w:top w:val="single" w:color="auto" w:sz="4" w:space="0"/>
              <w:left w:val="single" w:color="auto" w:sz="4" w:space="0"/>
              <w:bottom w:val="single" w:color="auto" w:sz="4" w:space="0"/>
              <w:right w:val="single" w:color="auto" w:sz="4" w:space="0"/>
            </w:tcBorders>
            <w:vAlign w:val="center"/>
          </w:tcPr>
          <w:p w14:paraId="3717C89D">
            <w:pPr>
              <w:spacing w:line="240" w:lineRule="auto"/>
              <w:rPr>
                <w:rFonts w:hint="eastAsia" w:ascii="仿宋" w:hAnsi="仿宋" w:eastAsia="仿宋" w:cs="仿宋"/>
                <w:sz w:val="28"/>
                <w:szCs w:val="28"/>
              </w:rPr>
            </w:pPr>
            <w:r>
              <w:rPr>
                <w:rFonts w:hint="eastAsia" w:ascii="仿宋" w:hAnsi="仿宋" w:eastAsia="仿宋" w:cs="仿宋"/>
                <w:sz w:val="28"/>
                <w:szCs w:val="28"/>
              </w:rPr>
              <w:t>平台包含按诊区配置分诊大屏，分诊屏等终端设备的统一管理与配置。</w:t>
            </w:r>
          </w:p>
        </w:tc>
        <w:tc>
          <w:tcPr>
            <w:tcW w:w="352" w:type="pct"/>
            <w:tcBorders>
              <w:top w:val="single" w:color="auto" w:sz="4" w:space="0"/>
              <w:left w:val="single" w:color="auto" w:sz="4" w:space="0"/>
              <w:bottom w:val="single" w:color="auto" w:sz="4" w:space="0"/>
              <w:right w:val="single" w:color="auto" w:sz="4" w:space="0"/>
            </w:tcBorders>
            <w:vAlign w:val="center"/>
          </w:tcPr>
          <w:p w14:paraId="26780C06">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6672059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套</w:t>
            </w:r>
          </w:p>
        </w:tc>
      </w:tr>
      <w:tr w14:paraId="1C23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899907E">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776" w:type="pct"/>
            <w:gridSpan w:val="2"/>
            <w:tcBorders>
              <w:left w:val="single" w:color="auto" w:sz="4" w:space="0"/>
              <w:right w:val="single" w:color="auto" w:sz="4" w:space="0"/>
            </w:tcBorders>
            <w:vAlign w:val="center"/>
          </w:tcPr>
          <w:p w14:paraId="7649031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21.5寸分诊屏利旧改造</w:t>
            </w:r>
          </w:p>
        </w:tc>
        <w:tc>
          <w:tcPr>
            <w:tcW w:w="3199" w:type="pct"/>
            <w:tcBorders>
              <w:top w:val="single" w:color="auto" w:sz="4" w:space="0"/>
              <w:left w:val="single" w:color="auto" w:sz="4" w:space="0"/>
              <w:bottom w:val="single" w:color="auto" w:sz="4" w:space="0"/>
              <w:right w:val="single" w:color="auto" w:sz="4" w:space="0"/>
            </w:tcBorders>
            <w:vAlign w:val="center"/>
          </w:tcPr>
          <w:p w14:paraId="6A07A673">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医院原有分诊屏利旧，升级改造并进行系统调试，通过后可接入</w:t>
            </w:r>
            <w:r>
              <w:rPr>
                <w:rFonts w:hint="eastAsia" w:ascii="仿宋" w:hAnsi="仿宋" w:eastAsia="仿宋" w:cs="仿宋"/>
                <w:color w:val="000000" w:themeColor="text1"/>
                <w:sz w:val="28"/>
                <w:szCs w:val="28"/>
                <w14:textFill>
                  <w14:solidFill>
                    <w14:schemeClr w14:val="tx1"/>
                  </w14:solidFill>
                </w14:textFill>
              </w:rPr>
              <w:t>分诊排队叫号系统</w:t>
            </w:r>
            <w:r>
              <w:rPr>
                <w:rFonts w:hint="eastAsia" w:ascii="仿宋" w:hAnsi="仿宋" w:eastAsia="仿宋" w:cs="仿宋"/>
                <w:sz w:val="28"/>
                <w:szCs w:val="28"/>
              </w:rPr>
              <w:t>。</w:t>
            </w:r>
          </w:p>
        </w:tc>
        <w:tc>
          <w:tcPr>
            <w:tcW w:w="352" w:type="pct"/>
            <w:tcBorders>
              <w:top w:val="single" w:color="auto" w:sz="4" w:space="0"/>
              <w:left w:val="single" w:color="auto" w:sz="4" w:space="0"/>
              <w:bottom w:val="single" w:color="auto" w:sz="4" w:space="0"/>
              <w:right w:val="single" w:color="auto" w:sz="4" w:space="0"/>
            </w:tcBorders>
            <w:vAlign w:val="center"/>
          </w:tcPr>
          <w:p w14:paraId="42896C9C">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2D18668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61F9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07AF3606">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76" w:type="pct"/>
            <w:gridSpan w:val="2"/>
            <w:tcBorders>
              <w:left w:val="single" w:color="auto" w:sz="4" w:space="0"/>
              <w:bottom w:val="single" w:color="auto" w:sz="4" w:space="0"/>
              <w:right w:val="single" w:color="auto" w:sz="4" w:space="0"/>
            </w:tcBorders>
            <w:vAlign w:val="center"/>
          </w:tcPr>
          <w:p w14:paraId="67B828F8">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分诊大屏利旧改造</w:t>
            </w:r>
          </w:p>
        </w:tc>
        <w:tc>
          <w:tcPr>
            <w:tcW w:w="3199" w:type="pct"/>
            <w:tcBorders>
              <w:top w:val="single" w:color="auto" w:sz="4" w:space="0"/>
              <w:left w:val="single" w:color="auto" w:sz="4" w:space="0"/>
              <w:bottom w:val="single" w:color="auto" w:sz="4" w:space="0"/>
              <w:right w:val="single" w:color="auto" w:sz="4" w:space="0"/>
            </w:tcBorders>
            <w:vAlign w:val="center"/>
          </w:tcPr>
          <w:p w14:paraId="1F08930E">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医院原有显示大屏利旧，升级改造并进行系统调试，通过后可接入</w:t>
            </w:r>
            <w:r>
              <w:rPr>
                <w:rFonts w:hint="eastAsia" w:ascii="仿宋" w:hAnsi="仿宋" w:eastAsia="仿宋" w:cs="仿宋"/>
                <w:color w:val="000000" w:themeColor="text1"/>
                <w:sz w:val="28"/>
                <w:szCs w:val="28"/>
                <w14:textFill>
                  <w14:solidFill>
                    <w14:schemeClr w14:val="tx1"/>
                  </w14:solidFill>
                </w14:textFill>
              </w:rPr>
              <w:t>分诊排队叫号系统</w:t>
            </w:r>
            <w:r>
              <w:rPr>
                <w:rFonts w:hint="eastAsia" w:ascii="仿宋" w:hAnsi="仿宋" w:eastAsia="仿宋" w:cs="仿宋"/>
                <w:sz w:val="28"/>
                <w:szCs w:val="28"/>
              </w:rPr>
              <w:t>。</w:t>
            </w:r>
          </w:p>
        </w:tc>
        <w:tc>
          <w:tcPr>
            <w:tcW w:w="352" w:type="pct"/>
            <w:tcBorders>
              <w:top w:val="single" w:color="auto" w:sz="4" w:space="0"/>
              <w:left w:val="single" w:color="auto" w:sz="4" w:space="0"/>
              <w:bottom w:val="single" w:color="auto" w:sz="4" w:space="0"/>
              <w:right w:val="single" w:color="auto" w:sz="4" w:space="0"/>
            </w:tcBorders>
            <w:vAlign w:val="center"/>
          </w:tcPr>
          <w:p w14:paraId="26FE3536">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014C2A25">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5A97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39ABA1E0">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5</w:t>
            </w:r>
          </w:p>
        </w:tc>
        <w:tc>
          <w:tcPr>
            <w:tcW w:w="776" w:type="pct"/>
            <w:gridSpan w:val="2"/>
            <w:tcBorders>
              <w:left w:val="single" w:color="auto" w:sz="4" w:space="0"/>
              <w:bottom w:val="single" w:color="auto" w:sz="4" w:space="0"/>
              <w:right w:val="single" w:color="auto" w:sz="4" w:space="0"/>
            </w:tcBorders>
          </w:tcPr>
          <w:p w14:paraId="086DE4D9">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电源适配器</w:t>
            </w:r>
          </w:p>
        </w:tc>
        <w:tc>
          <w:tcPr>
            <w:tcW w:w="3199" w:type="pct"/>
            <w:tcBorders>
              <w:top w:val="single" w:color="auto" w:sz="4" w:space="0"/>
              <w:left w:val="single" w:color="auto" w:sz="4" w:space="0"/>
              <w:bottom w:val="single" w:color="auto" w:sz="4" w:space="0"/>
              <w:right w:val="single" w:color="auto" w:sz="4" w:space="0"/>
            </w:tcBorders>
            <w:vAlign w:val="center"/>
          </w:tcPr>
          <w:p w14:paraId="7AF0FD78">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52" w:type="pct"/>
            <w:tcBorders>
              <w:top w:val="single" w:color="auto" w:sz="4" w:space="0"/>
              <w:left w:val="single" w:color="auto" w:sz="4" w:space="0"/>
              <w:bottom w:val="single" w:color="auto" w:sz="4" w:space="0"/>
              <w:right w:val="single" w:color="auto" w:sz="4" w:space="0"/>
            </w:tcBorders>
            <w:vAlign w:val="center"/>
          </w:tcPr>
          <w:p w14:paraId="0A38DDFB">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42A8A38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件</w:t>
            </w:r>
          </w:p>
        </w:tc>
      </w:tr>
      <w:tr w14:paraId="72C5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79" w:type="pct"/>
            <w:gridSpan w:val="2"/>
            <w:tcBorders>
              <w:top w:val="single" w:color="auto" w:sz="4" w:space="0"/>
              <w:left w:val="single" w:color="auto" w:sz="4" w:space="0"/>
              <w:bottom w:val="single" w:color="auto" w:sz="4" w:space="0"/>
              <w:right w:val="single" w:color="auto" w:sz="4" w:space="0"/>
            </w:tcBorders>
            <w:vAlign w:val="center"/>
          </w:tcPr>
          <w:p w14:paraId="740C9121">
            <w:pPr>
              <w:spacing w:line="240" w:lineRule="auto"/>
              <w:jc w:val="center"/>
              <w:rPr>
                <w:rFonts w:hint="eastAsia" w:ascii="仿宋" w:hAnsi="仿宋" w:eastAsia="仿宋" w:cs="仿宋"/>
                <w:bCs/>
                <w:sz w:val="28"/>
                <w:szCs w:val="28"/>
              </w:rPr>
            </w:pPr>
            <w:r>
              <w:rPr>
                <w:rFonts w:hint="eastAsia" w:ascii="仿宋" w:hAnsi="仿宋" w:eastAsia="仿宋" w:cs="仿宋"/>
                <w:bCs/>
                <w:sz w:val="28"/>
                <w:szCs w:val="28"/>
              </w:rPr>
              <w:t>6</w:t>
            </w:r>
          </w:p>
        </w:tc>
        <w:tc>
          <w:tcPr>
            <w:tcW w:w="776" w:type="pct"/>
            <w:gridSpan w:val="2"/>
            <w:tcBorders>
              <w:left w:val="single" w:color="auto" w:sz="4" w:space="0"/>
              <w:right w:val="single" w:color="auto" w:sz="4" w:space="0"/>
            </w:tcBorders>
          </w:tcPr>
          <w:p w14:paraId="21289EAB">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主板转接线</w:t>
            </w:r>
          </w:p>
        </w:tc>
        <w:tc>
          <w:tcPr>
            <w:tcW w:w="3199" w:type="pct"/>
            <w:tcBorders>
              <w:top w:val="single" w:color="auto" w:sz="4" w:space="0"/>
              <w:left w:val="single" w:color="auto" w:sz="4" w:space="0"/>
              <w:bottom w:val="single" w:color="auto" w:sz="4" w:space="0"/>
              <w:right w:val="single" w:color="auto" w:sz="4" w:space="0"/>
            </w:tcBorders>
            <w:vAlign w:val="center"/>
          </w:tcPr>
          <w:p w14:paraId="2E5BCD6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52" w:type="pct"/>
            <w:tcBorders>
              <w:top w:val="single" w:color="auto" w:sz="4" w:space="0"/>
              <w:left w:val="single" w:color="auto" w:sz="4" w:space="0"/>
              <w:bottom w:val="single" w:color="auto" w:sz="4" w:space="0"/>
              <w:right w:val="single" w:color="auto" w:sz="4" w:space="0"/>
            </w:tcBorders>
            <w:vAlign w:val="center"/>
          </w:tcPr>
          <w:p w14:paraId="12E2D21D">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w:t>
            </w:r>
          </w:p>
        </w:tc>
        <w:tc>
          <w:tcPr>
            <w:tcW w:w="291" w:type="pct"/>
            <w:gridSpan w:val="2"/>
            <w:tcBorders>
              <w:top w:val="single" w:color="auto" w:sz="4" w:space="0"/>
              <w:left w:val="single" w:color="auto" w:sz="4" w:space="0"/>
              <w:bottom w:val="single" w:color="auto" w:sz="4" w:space="0"/>
              <w:right w:val="single" w:color="auto" w:sz="4" w:space="0"/>
            </w:tcBorders>
            <w:vAlign w:val="center"/>
          </w:tcPr>
          <w:p w14:paraId="22A36E24">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条</w:t>
            </w:r>
          </w:p>
        </w:tc>
      </w:tr>
      <w:tr w14:paraId="65BD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57" w:hRule="atLeast"/>
          <w:jc w:val="center"/>
        </w:trPr>
        <w:tc>
          <w:tcPr>
            <w:tcW w:w="955"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E6CB14A">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系统软件</w:t>
            </w:r>
          </w:p>
        </w:tc>
        <w:tc>
          <w:tcPr>
            <w:tcW w:w="4031" w:type="pct"/>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DA45AA">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功能要求</w:t>
            </w:r>
          </w:p>
        </w:tc>
      </w:tr>
      <w:tr w14:paraId="515D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57" w:hRule="atLeast"/>
          <w:jc w:val="center"/>
        </w:trPr>
        <w:tc>
          <w:tcPr>
            <w:tcW w:w="955" w:type="pct"/>
            <w:gridSpan w:val="2"/>
            <w:tcBorders>
              <w:top w:val="single" w:color="auto" w:sz="4" w:space="0"/>
              <w:left w:val="single" w:color="auto" w:sz="4" w:space="0"/>
              <w:right w:val="single" w:color="auto" w:sz="4" w:space="0"/>
            </w:tcBorders>
            <w:vAlign w:val="center"/>
          </w:tcPr>
          <w:p w14:paraId="0D8AC378">
            <w:pPr>
              <w:spacing w:before="0" w:after="0"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分诊排队叫号系统</w:t>
            </w:r>
          </w:p>
        </w:tc>
        <w:tc>
          <w:tcPr>
            <w:tcW w:w="4031" w:type="pct"/>
            <w:gridSpan w:val="4"/>
            <w:tcBorders>
              <w:top w:val="single" w:color="auto" w:sz="4" w:space="0"/>
              <w:left w:val="single" w:color="auto" w:sz="4" w:space="0"/>
              <w:bottom w:val="single" w:color="auto" w:sz="4" w:space="0"/>
              <w:right w:val="single" w:color="auto" w:sz="4" w:space="0"/>
            </w:tcBorders>
            <w:vAlign w:val="center"/>
          </w:tcPr>
          <w:p w14:paraId="1F798ED7">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包含医生工作站虚拟叫号系统、护士台分诊管理系统、分诊导引基础平台。</w:t>
            </w:r>
          </w:p>
          <w:p w14:paraId="15698315">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对门诊综合科室、检验化验科室、医技检查科室、药房等场景进行智能排队叫号，对患者进行有效的分诊导引，优化就诊秩序。</w:t>
            </w:r>
          </w:p>
          <w:p w14:paraId="0BD68038">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支持线上、自助机、窗口等全渠道号源获取。</w:t>
            </w:r>
          </w:p>
          <w:p w14:paraId="3F0191A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1.分诊导引基础平台：</w:t>
            </w:r>
          </w:p>
          <w:p w14:paraId="3A3E6F91">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1）诊区诊室管理</w:t>
            </w:r>
          </w:p>
          <w:p w14:paraId="084ADFBA">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诊区管理：添加删除诊区。</w:t>
            </w:r>
          </w:p>
          <w:p w14:paraId="3B759213">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诊室管理：在诊区下配置诊室信息。</w:t>
            </w:r>
          </w:p>
          <w:p w14:paraId="2871C2E3">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2）队列管理</w:t>
            </w:r>
          </w:p>
          <w:p w14:paraId="2F4E4C18">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队列所属诊区管理：对不同诊区配置相应的队列。</w:t>
            </w:r>
          </w:p>
          <w:p w14:paraId="69C9EF1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队列参数配置：配置队列属性，包括叫号规则、人员优先级等属性。</w:t>
            </w:r>
          </w:p>
          <w:p w14:paraId="02E60BF1">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3）数据统计</w:t>
            </w:r>
          </w:p>
          <w:p w14:paraId="4E64D412">
            <w:pPr>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提供患者挂号信息、患者就诊/复诊信息的查询功能以及按科室、诊室、医生为口径的统计分析功能。</w:t>
            </w:r>
          </w:p>
          <w:p w14:paraId="0D28A73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2.医生工作站虚拟叫号系统（根据不同场景适配相应的功能）：</w:t>
            </w:r>
          </w:p>
          <w:p w14:paraId="6BA47A77">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1）登录登出</w:t>
            </w:r>
          </w:p>
          <w:p w14:paraId="1FFB26FC">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登录：医生通过输入工号和密码登录叫号软件</w:t>
            </w:r>
          </w:p>
          <w:p w14:paraId="01135FDA">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登出：医生退出虚拟叫号软件</w:t>
            </w:r>
          </w:p>
          <w:p w14:paraId="5F50DA8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2）门诊叫号</w:t>
            </w:r>
          </w:p>
          <w:p w14:paraId="3BDD4172">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顺呼：医生按队列顺序呼叫下一位患者</w:t>
            </w:r>
          </w:p>
          <w:p w14:paraId="322478C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选呼：医生选择队列中某一位患者进行呼叫</w:t>
            </w:r>
          </w:p>
          <w:p w14:paraId="3C3A0CE9">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过号：医生对未及时就诊患者进行过号操作</w:t>
            </w:r>
          </w:p>
          <w:p w14:paraId="1A0E1D57">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转诊：医生对患者执行转诊操作</w:t>
            </w:r>
          </w:p>
          <w:p w14:paraId="2A884C27">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3）药房叫号</w:t>
            </w:r>
          </w:p>
          <w:p w14:paraId="49DE3AD3">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叫号：药房叫号系统从医院的系统读取已付费病人的号码，把它们自动分配到各个取药窗口，通过叫号系统并在显示屏上显示出来；</w:t>
            </w:r>
          </w:p>
          <w:p w14:paraId="6D839581">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4）功能科室叫号</w:t>
            </w:r>
          </w:p>
          <w:p w14:paraId="6C0B626F">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叫号：功能科室叫号一般包括CT室，化验室，病理，心电图，B超，内镜检查等。</w:t>
            </w:r>
          </w:p>
          <w:p w14:paraId="0BCC1DCF">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5）队列</w:t>
            </w:r>
          </w:p>
          <w:p w14:paraId="30A04DD1">
            <w:pPr>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等待就诊信息：显示当前正在等候的患者排队信息。</w:t>
            </w:r>
          </w:p>
          <w:p w14:paraId="10D60692">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3.护士台分诊管理系统</w:t>
            </w:r>
          </w:p>
          <w:p w14:paraId="7DC6D8FD">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1）队列管理</w:t>
            </w:r>
          </w:p>
          <w:p w14:paraId="507F6CD4">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队列监控：显示本诊区每个科室的排队患者信息及次序</w:t>
            </w:r>
          </w:p>
          <w:p w14:paraId="437ED1DD">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暂停队列：对某科室队列设置停诊状态</w:t>
            </w:r>
          </w:p>
          <w:p w14:paraId="7345E4BF">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诊区转移：对某科室队列中的患者转移至其他队列</w:t>
            </w:r>
          </w:p>
          <w:p w14:paraId="5B656EF1">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队列设置：可设置本诊区队列属性，医生工号，医生属性，优先级设置，呼叫器设置，显示器设置，语音设置。</w:t>
            </w:r>
          </w:p>
          <w:p w14:paraId="5D5E019E">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2）患者操作</w:t>
            </w:r>
          </w:p>
          <w:p w14:paraId="7A710414">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患者签到：根据患者需求将患者安排到患者指定的医生队列中</w:t>
            </w:r>
          </w:p>
          <w:p w14:paraId="5CB672DE">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复诊处理：将做完检查或其他项目后的患者安排到原来就诊的医生队列中</w:t>
            </w:r>
          </w:p>
          <w:p w14:paraId="5E619560">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特殊病人优先：针对老年人，残疾人等特殊病人可安排提前数位优先就诊</w:t>
            </w:r>
          </w:p>
          <w:p w14:paraId="60AC5ED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过号重排：对过号患者前来就诊时，将患者按过号规则重新加入队列中</w:t>
            </w:r>
          </w:p>
          <w:p w14:paraId="4FBF2536">
            <w:pPr>
              <w:spacing w:before="0" w:after="0" w:line="240" w:lineRule="auto"/>
              <w:ind w:left="420"/>
              <w:rPr>
                <w:rFonts w:hint="eastAsia" w:ascii="仿宋" w:hAnsi="仿宋" w:eastAsia="仿宋" w:cs="仿宋"/>
                <w:sz w:val="28"/>
                <w:szCs w:val="28"/>
              </w:rPr>
            </w:pPr>
            <w:r>
              <w:rPr>
                <w:rFonts w:hint="eastAsia" w:ascii="仿宋" w:hAnsi="仿宋" w:eastAsia="仿宋" w:cs="仿宋"/>
                <w:sz w:val="28"/>
                <w:szCs w:val="28"/>
              </w:rPr>
              <w:t>病人转移：对需要换科室的病人进行转移队列</w:t>
            </w:r>
          </w:p>
          <w:p w14:paraId="730370EA">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3）数据统计</w:t>
            </w:r>
          </w:p>
          <w:p w14:paraId="660FBB37">
            <w:pPr>
              <w:spacing w:before="0" w:after="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就诊人数统计：可统计当前诊区各诊室的诊治人数，平均就诊时间等。</w:t>
            </w:r>
          </w:p>
        </w:tc>
      </w:tr>
      <w:tr w14:paraId="6C87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57" w:hRule="atLeast"/>
          <w:jc w:val="center"/>
        </w:trPr>
        <w:tc>
          <w:tcPr>
            <w:tcW w:w="955" w:type="pct"/>
            <w:gridSpan w:val="2"/>
            <w:tcBorders>
              <w:top w:val="single" w:color="auto" w:sz="4" w:space="0"/>
              <w:left w:val="single" w:color="auto" w:sz="4" w:space="0"/>
              <w:bottom w:val="single" w:color="auto" w:sz="4" w:space="0"/>
              <w:right w:val="single" w:color="auto" w:sz="4" w:space="0"/>
            </w:tcBorders>
            <w:vAlign w:val="center"/>
          </w:tcPr>
          <w:p w14:paraId="0CB6C878">
            <w:pPr>
              <w:spacing w:before="0" w:after="0"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分诊设备管理平台</w:t>
            </w:r>
          </w:p>
        </w:tc>
        <w:tc>
          <w:tcPr>
            <w:tcW w:w="4031" w:type="pct"/>
            <w:gridSpan w:val="4"/>
            <w:tcBorders>
              <w:top w:val="single" w:color="auto" w:sz="4" w:space="0"/>
              <w:left w:val="single" w:color="auto" w:sz="4" w:space="0"/>
              <w:bottom w:val="single" w:color="auto" w:sz="4" w:space="0"/>
              <w:right w:val="single" w:color="auto" w:sz="4" w:space="0"/>
            </w:tcBorders>
            <w:vAlign w:val="center"/>
          </w:tcPr>
          <w:p w14:paraId="5B356AD9">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平台包含按诊区配置分诊大屏，分诊屏等终端设备的统一管理与配置。</w:t>
            </w:r>
          </w:p>
          <w:p w14:paraId="2B50FD12">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1.终端设置管理：平台具备高度灵活的终端配置功能，能够根据不同诊区的具体需求，配置分诊大屏、分诊屏等各类终端设备的详细信息。确保管理员能获得直观、清晰的信息。</w:t>
            </w:r>
          </w:p>
          <w:p w14:paraId="5D096724">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2.终端监控管理：为了保障平台运行的高效与稳定，系统集成了全面的终端监控管理模块。该模块不仅涵盖了医生工作站、护士服务台、自助服务终端等关键设备的远程管理，还支持实时监控设备状态、自动报警与故障诊断，确保任何异常情况都能被迅速响应并处理。此外，管理员可通过此模块轻松进行设备显示模板的个性化设置，以及语音播报内容的调整，以满足不同场景下的信息传达需求，提升患者就医体验。</w:t>
            </w:r>
          </w:p>
          <w:p w14:paraId="4CC6B47B">
            <w:pPr>
              <w:spacing w:before="0" w:after="0" w:line="240" w:lineRule="auto"/>
              <w:rPr>
                <w:rFonts w:hint="eastAsia" w:ascii="仿宋" w:hAnsi="仿宋" w:eastAsia="仿宋" w:cs="仿宋"/>
                <w:sz w:val="28"/>
                <w:szCs w:val="28"/>
              </w:rPr>
            </w:pPr>
            <w:r>
              <w:rPr>
                <w:rFonts w:hint="eastAsia" w:ascii="仿宋" w:hAnsi="仿宋" w:eastAsia="仿宋" w:cs="仿宋"/>
                <w:sz w:val="28"/>
                <w:szCs w:val="28"/>
              </w:rPr>
              <w:t>3.显示设置管理：可根据实际需要，自由配置分诊大屏和分诊屏的显示模板，包括色彩搭配、字体大小、布局结构等，确保信息显示既美观又易于理解。</w:t>
            </w:r>
          </w:p>
        </w:tc>
      </w:tr>
      <w:tr w14:paraId="2C41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 w:type="pct"/>
          <w:wAfter w:w="6" w:type="pct"/>
          <w:trHeight w:val="1087" w:hRule="atLeast"/>
          <w:jc w:val="center"/>
        </w:trPr>
        <w:tc>
          <w:tcPr>
            <w:tcW w:w="4986" w:type="pct"/>
            <w:gridSpan w:val="6"/>
            <w:tcBorders>
              <w:top w:val="single" w:color="auto" w:sz="4" w:space="0"/>
              <w:left w:val="single" w:color="auto" w:sz="4" w:space="0"/>
              <w:right w:val="single" w:color="auto" w:sz="4" w:space="0"/>
            </w:tcBorders>
            <w:vAlign w:val="center"/>
          </w:tcPr>
          <w:p w14:paraId="35A8EAB6">
            <w:pPr>
              <w:spacing w:before="0" w:after="0" w:line="240" w:lineRule="auto"/>
              <w:jc w:val="center"/>
              <w:rPr>
                <w:rFonts w:hint="eastAsia" w:ascii="仿宋" w:hAnsi="仿宋" w:eastAsia="仿宋" w:cs="仿宋"/>
                <w:sz w:val="28"/>
                <w:szCs w:val="28"/>
              </w:rPr>
            </w:pPr>
            <w:r>
              <w:rPr>
                <w:rFonts w:hint="eastAsia" w:ascii="仿宋" w:hAnsi="仿宋" w:eastAsia="仿宋" w:cs="仿宋"/>
                <w:b/>
                <w:bCs/>
                <w:color w:val="000000" w:themeColor="text1"/>
                <w:sz w:val="28"/>
                <w:szCs w:val="28"/>
                <w:u w:val="single"/>
                <w:lang w:val="en-US" w:eastAsia="zh-CN"/>
                <w14:textFill>
                  <w14:solidFill>
                    <w14:schemeClr w14:val="tx1"/>
                  </w14:solidFill>
                </w14:textFill>
              </w:rPr>
              <w:t>备注：</w:t>
            </w:r>
            <w:r>
              <w:rPr>
                <w:rFonts w:hint="eastAsia" w:ascii="仿宋" w:hAnsi="仿宋" w:eastAsia="仿宋" w:cs="仿宋"/>
                <w:b/>
                <w:bCs/>
                <w:color w:val="000000" w:themeColor="text1"/>
                <w:sz w:val="28"/>
                <w:szCs w:val="28"/>
                <w:u w:val="single"/>
                <w14:textFill>
                  <w14:solidFill>
                    <w14:schemeClr w14:val="tx1"/>
                  </w14:solidFill>
                </w14:textFill>
              </w:rPr>
              <w:t>上述系统与医院HIS系统、公众号、支付宝以及院内自助终端等系统对接所需接口费由</w:t>
            </w:r>
            <w:r>
              <w:rPr>
                <w:rFonts w:hint="eastAsia" w:ascii="仿宋" w:hAnsi="仿宋" w:eastAsia="仿宋" w:cs="仿宋"/>
                <w:b/>
                <w:bCs/>
                <w:color w:val="000000" w:themeColor="text1"/>
                <w:sz w:val="28"/>
                <w:szCs w:val="28"/>
                <w:u w:val="single"/>
                <w:lang w:eastAsia="zh-CN"/>
                <w14:textFill>
                  <w14:solidFill>
                    <w14:schemeClr w14:val="tx1"/>
                  </w14:solidFill>
                </w14:textFill>
              </w:rPr>
              <w:t>成交供应商</w:t>
            </w:r>
            <w:r>
              <w:rPr>
                <w:rFonts w:hint="eastAsia" w:ascii="仿宋" w:hAnsi="仿宋" w:eastAsia="仿宋" w:cs="仿宋"/>
                <w:b/>
                <w:bCs/>
                <w:color w:val="000000" w:themeColor="text1"/>
                <w:sz w:val="28"/>
                <w:szCs w:val="28"/>
                <w:u w:val="single"/>
                <w14:textFill>
                  <w14:solidFill>
                    <w14:schemeClr w14:val="tx1"/>
                  </w14:solidFill>
                </w14:textFill>
              </w:rPr>
              <w:t>承担。</w:t>
            </w:r>
          </w:p>
        </w:tc>
      </w:tr>
    </w:tbl>
    <w:p w14:paraId="572DC46C">
      <w:pPr>
        <w:rPr>
          <w:rFonts w:hint="eastAsia" w:ascii="仿宋" w:hAnsi="仿宋" w:eastAsia="仿宋" w:cs="仿宋"/>
          <w:sz w:val="28"/>
          <w:szCs w:val="28"/>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5980"/>
        <w:gridCol w:w="779"/>
        <w:gridCol w:w="648"/>
      </w:tblGrid>
      <w:tr w14:paraId="1296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4"/>
            <w:tcBorders>
              <w:left w:val="single" w:color="auto" w:sz="4" w:space="0"/>
              <w:right w:val="single" w:color="auto" w:sz="4" w:space="0"/>
            </w:tcBorders>
            <w:vAlign w:val="center"/>
          </w:tcPr>
          <w:p w14:paraId="20EF2CC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2.硬件升级改造技术参数</w:t>
            </w:r>
            <w:r>
              <w:rPr>
                <w:rFonts w:hint="eastAsia" w:ascii="仿宋" w:hAnsi="仿宋" w:eastAsia="仿宋" w:cs="仿宋"/>
                <w:b/>
                <w:bCs/>
                <w:color w:val="auto"/>
                <w:sz w:val="28"/>
                <w:szCs w:val="28"/>
              </w:rPr>
              <w:t>（可优于此要求，不得低于此要求）</w:t>
            </w:r>
          </w:p>
        </w:tc>
      </w:tr>
      <w:tr w14:paraId="0A72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right w:val="single" w:color="auto" w:sz="4" w:space="0"/>
            </w:tcBorders>
            <w:vAlign w:val="center"/>
          </w:tcPr>
          <w:p w14:paraId="308316EA">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21.5寸分诊屏利旧改造</w:t>
            </w:r>
          </w:p>
        </w:tc>
        <w:tc>
          <w:tcPr>
            <w:tcW w:w="3001" w:type="pct"/>
            <w:tcBorders>
              <w:top w:val="single" w:color="auto" w:sz="4" w:space="0"/>
              <w:left w:val="single" w:color="auto" w:sz="4" w:space="0"/>
              <w:bottom w:val="single" w:color="auto" w:sz="4" w:space="0"/>
              <w:right w:val="single" w:color="auto" w:sz="4" w:space="0"/>
            </w:tcBorders>
            <w:vAlign w:val="center"/>
          </w:tcPr>
          <w:p w14:paraId="3012DC1C">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升级改造处理器配置：</w:t>
            </w:r>
          </w:p>
          <w:p w14:paraId="5E92F47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CPU：≥四核Cortex-A17 主频≥2.2GHz + GPU: Mali-T764，内存：≥2G ，存储容量：≥16G。</w:t>
            </w:r>
          </w:p>
          <w:p w14:paraId="46BA42D7">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升级改造并进行系统调试，通过后可接入分诊排队叫号系统。</w:t>
            </w:r>
          </w:p>
        </w:tc>
        <w:tc>
          <w:tcPr>
            <w:tcW w:w="391" w:type="pct"/>
            <w:tcBorders>
              <w:top w:val="single" w:color="auto" w:sz="4" w:space="0"/>
              <w:left w:val="single" w:color="auto" w:sz="4" w:space="0"/>
              <w:bottom w:val="single" w:color="auto" w:sz="4" w:space="0"/>
              <w:right w:val="single" w:color="auto" w:sz="4" w:space="0"/>
            </w:tcBorders>
            <w:vAlign w:val="center"/>
          </w:tcPr>
          <w:p w14:paraId="72A30D5E">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w:t>
            </w:r>
          </w:p>
        </w:tc>
        <w:tc>
          <w:tcPr>
            <w:tcW w:w="323" w:type="pct"/>
            <w:tcBorders>
              <w:top w:val="single" w:color="auto" w:sz="4" w:space="0"/>
              <w:left w:val="single" w:color="auto" w:sz="4" w:space="0"/>
              <w:bottom w:val="single" w:color="auto" w:sz="4" w:space="0"/>
              <w:right w:val="single" w:color="auto" w:sz="4" w:space="0"/>
            </w:tcBorders>
            <w:vAlign w:val="center"/>
          </w:tcPr>
          <w:p w14:paraId="7444B220">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412D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bottom w:val="single" w:color="auto" w:sz="4" w:space="0"/>
              <w:right w:val="single" w:color="auto" w:sz="4" w:space="0"/>
            </w:tcBorders>
            <w:vAlign w:val="center"/>
          </w:tcPr>
          <w:p w14:paraId="63D45B1F">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分诊大屏利旧改造</w:t>
            </w:r>
          </w:p>
        </w:tc>
        <w:tc>
          <w:tcPr>
            <w:tcW w:w="3001" w:type="pct"/>
            <w:tcBorders>
              <w:top w:val="single" w:color="auto" w:sz="4" w:space="0"/>
              <w:left w:val="single" w:color="auto" w:sz="4" w:space="0"/>
              <w:bottom w:val="single" w:color="auto" w:sz="4" w:space="0"/>
              <w:right w:val="single" w:color="auto" w:sz="4" w:space="0"/>
            </w:tcBorders>
            <w:vAlign w:val="center"/>
          </w:tcPr>
          <w:p w14:paraId="64B8B30A">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升级改造处理器配置：</w:t>
            </w:r>
          </w:p>
          <w:p w14:paraId="1CB96D5D">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CPU：≥四核Cortex-A17 主频≥2.2GHz + GPU: Mali-T764，内存：≥2G ，存储容量：≥16G。</w:t>
            </w:r>
          </w:p>
          <w:p w14:paraId="10A53D63">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升级改造并进行系统调试，通过后可接入分诊排队叫号系统。</w:t>
            </w:r>
          </w:p>
        </w:tc>
        <w:tc>
          <w:tcPr>
            <w:tcW w:w="391" w:type="pct"/>
            <w:tcBorders>
              <w:top w:val="single" w:color="auto" w:sz="4" w:space="0"/>
              <w:left w:val="single" w:color="auto" w:sz="4" w:space="0"/>
              <w:bottom w:val="single" w:color="auto" w:sz="4" w:space="0"/>
              <w:right w:val="single" w:color="auto" w:sz="4" w:space="0"/>
            </w:tcBorders>
            <w:vAlign w:val="center"/>
          </w:tcPr>
          <w:p w14:paraId="2E30C613">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w:t>
            </w:r>
          </w:p>
        </w:tc>
        <w:tc>
          <w:tcPr>
            <w:tcW w:w="323" w:type="pct"/>
            <w:tcBorders>
              <w:top w:val="single" w:color="auto" w:sz="4" w:space="0"/>
              <w:left w:val="single" w:color="auto" w:sz="4" w:space="0"/>
              <w:bottom w:val="single" w:color="auto" w:sz="4" w:space="0"/>
              <w:right w:val="single" w:color="auto" w:sz="4" w:space="0"/>
            </w:tcBorders>
            <w:vAlign w:val="center"/>
          </w:tcPr>
          <w:p w14:paraId="202B88D7">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台</w:t>
            </w:r>
          </w:p>
        </w:tc>
      </w:tr>
      <w:tr w14:paraId="4E8A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bottom w:val="single" w:color="auto" w:sz="4" w:space="0"/>
              <w:right w:val="single" w:color="auto" w:sz="4" w:space="0"/>
            </w:tcBorders>
          </w:tcPr>
          <w:p w14:paraId="07C614F0">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电源适配器</w:t>
            </w:r>
          </w:p>
        </w:tc>
        <w:tc>
          <w:tcPr>
            <w:tcW w:w="3001" w:type="pct"/>
            <w:tcBorders>
              <w:top w:val="single" w:color="auto" w:sz="4" w:space="0"/>
              <w:left w:val="single" w:color="auto" w:sz="4" w:space="0"/>
              <w:bottom w:val="single" w:color="auto" w:sz="4" w:space="0"/>
              <w:right w:val="single" w:color="auto" w:sz="4" w:space="0"/>
            </w:tcBorders>
            <w:vAlign w:val="center"/>
          </w:tcPr>
          <w:p w14:paraId="551DDEA1">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91" w:type="pct"/>
            <w:tcBorders>
              <w:top w:val="single" w:color="auto" w:sz="4" w:space="0"/>
              <w:left w:val="single" w:color="auto" w:sz="4" w:space="0"/>
              <w:bottom w:val="single" w:color="auto" w:sz="4" w:space="0"/>
              <w:right w:val="single" w:color="auto" w:sz="4" w:space="0"/>
            </w:tcBorders>
            <w:vAlign w:val="center"/>
          </w:tcPr>
          <w:p w14:paraId="75F29D1A">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w:t>
            </w:r>
          </w:p>
        </w:tc>
        <w:tc>
          <w:tcPr>
            <w:tcW w:w="323" w:type="pct"/>
            <w:tcBorders>
              <w:top w:val="single" w:color="auto" w:sz="4" w:space="0"/>
              <w:left w:val="single" w:color="auto" w:sz="4" w:space="0"/>
              <w:bottom w:val="single" w:color="auto" w:sz="4" w:space="0"/>
              <w:right w:val="single" w:color="auto" w:sz="4" w:space="0"/>
            </w:tcBorders>
            <w:vAlign w:val="center"/>
          </w:tcPr>
          <w:p w14:paraId="7781EDBF">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件</w:t>
            </w:r>
          </w:p>
        </w:tc>
      </w:tr>
      <w:tr w14:paraId="37B9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3" w:type="pct"/>
            <w:tcBorders>
              <w:left w:val="single" w:color="auto" w:sz="4" w:space="0"/>
              <w:right w:val="single" w:color="auto" w:sz="4" w:space="0"/>
            </w:tcBorders>
          </w:tcPr>
          <w:p w14:paraId="38996478">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主板转接线</w:t>
            </w:r>
          </w:p>
        </w:tc>
        <w:tc>
          <w:tcPr>
            <w:tcW w:w="3001" w:type="pct"/>
            <w:tcBorders>
              <w:top w:val="single" w:color="auto" w:sz="4" w:space="0"/>
              <w:left w:val="single" w:color="auto" w:sz="4" w:space="0"/>
              <w:bottom w:val="single" w:color="auto" w:sz="4" w:space="0"/>
              <w:right w:val="single" w:color="auto" w:sz="4" w:space="0"/>
            </w:tcBorders>
            <w:vAlign w:val="center"/>
          </w:tcPr>
          <w:p w14:paraId="6FB01C2B">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符合医院配置要求</w:t>
            </w:r>
          </w:p>
        </w:tc>
        <w:tc>
          <w:tcPr>
            <w:tcW w:w="391" w:type="pct"/>
            <w:tcBorders>
              <w:top w:val="single" w:color="auto" w:sz="4" w:space="0"/>
              <w:left w:val="single" w:color="auto" w:sz="4" w:space="0"/>
              <w:bottom w:val="single" w:color="auto" w:sz="4" w:space="0"/>
              <w:right w:val="single" w:color="auto" w:sz="4" w:space="0"/>
            </w:tcBorders>
            <w:vAlign w:val="center"/>
          </w:tcPr>
          <w:p w14:paraId="52358FE3">
            <w:pPr>
              <w:spacing w:line="24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w:t>
            </w:r>
          </w:p>
        </w:tc>
        <w:tc>
          <w:tcPr>
            <w:tcW w:w="323" w:type="pct"/>
            <w:tcBorders>
              <w:top w:val="single" w:color="auto" w:sz="4" w:space="0"/>
              <w:left w:val="single" w:color="auto" w:sz="4" w:space="0"/>
              <w:bottom w:val="single" w:color="auto" w:sz="4" w:space="0"/>
              <w:right w:val="single" w:color="auto" w:sz="4" w:space="0"/>
            </w:tcBorders>
            <w:vAlign w:val="center"/>
          </w:tcPr>
          <w:p w14:paraId="6BDDD174">
            <w:pPr>
              <w:spacing w:line="24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条</w:t>
            </w:r>
          </w:p>
        </w:tc>
      </w:tr>
    </w:tbl>
    <w:p w14:paraId="1EA390DF">
      <w:pPr>
        <w:widowControl/>
        <w:spacing w:before="0" w:after="0" w:line="240" w:lineRule="auto"/>
        <w:jc w:val="left"/>
        <w:rPr>
          <w:rFonts w:hint="eastAsia" w:ascii="仿宋" w:hAnsi="仿宋" w:eastAsia="仿宋" w:cs="仿宋"/>
          <w:b/>
          <w:bCs/>
          <w:sz w:val="28"/>
          <w:szCs w:val="28"/>
          <w:lang w:val="zh-CN"/>
        </w:rPr>
      </w:pPr>
    </w:p>
    <w:p w14:paraId="5F0CE5A6">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kern w:val="2"/>
          <w:sz w:val="28"/>
          <w:szCs w:val="28"/>
          <w:lang w:val="zh-CN" w:eastAsia="zh-CN" w:bidi="ar-SA"/>
        </w:rPr>
        <w:t>售后服务要求</w:t>
      </w:r>
      <w:r>
        <w:rPr>
          <w:rFonts w:hint="eastAsia" w:ascii="仿宋" w:hAnsi="仿宋" w:eastAsia="仿宋" w:cs="仿宋"/>
          <w:b/>
          <w:bCs/>
          <w:kern w:val="2"/>
          <w:sz w:val="28"/>
          <w:szCs w:val="28"/>
          <w:lang w:val="en-US" w:eastAsia="zh-CN" w:bidi="ar-SA"/>
        </w:rPr>
        <w:t>及商务要求</w:t>
      </w:r>
      <w:r>
        <w:rPr>
          <w:rFonts w:hint="eastAsia" w:ascii="仿宋" w:hAnsi="仿宋" w:eastAsia="仿宋" w:cs="仿宋"/>
          <w:b/>
          <w:bCs/>
          <w:kern w:val="2"/>
          <w:sz w:val="28"/>
          <w:szCs w:val="28"/>
          <w:lang w:val="zh-CN" w:eastAsia="zh-CN" w:bidi="ar-SA"/>
        </w:rPr>
        <w:t>：</w:t>
      </w:r>
    </w:p>
    <w:p w14:paraId="0CD2EC7F">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1、自本项目验收合格之日起开始计算，成交供应商需提供系统软件和硬件主板1年免费质保服务，并应在报价时提交超出保修期后的维护保障方案及其相应的收费标准。</w:t>
      </w:r>
    </w:p>
    <w:p w14:paraId="12C779CA">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质保期内，成交供应商应负责硬件设备的安全稳定运行，包括主板维修、软件升级、版本更新、补丁程序、系统维护等。并需负责本次建设系统与原有自助服务系统间实现业务协作。</w:t>
      </w:r>
    </w:p>
    <w:p w14:paraId="0997EFF6">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2、需提供7×24小时全天候服务热线、远程技术支持和现场维护服务要求：</w:t>
      </w:r>
    </w:p>
    <w:p w14:paraId="24DD5EF9">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成交供应商提供负责本项目工程师应24小时保持手机通讯畅通，保证及时接听用户服务请求。接到故障报修通知后，在2小时内响应，进行远程故障处理，协助用户快速诊断及时解决软硬件问题。若无法远程排除故障，在8小时内到达故障现场进行处理，自接到采购人通知后48小时之内排除故障，确保设备正常运行。</w:t>
      </w:r>
    </w:p>
    <w:p w14:paraId="5B914F8C">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3、需提供每季度一次的全面巡检服务要求：</w:t>
      </w:r>
    </w:p>
    <w:p w14:paraId="70A58692">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在质保期内，成交供应商应委派负责本项目工程师每季度进行一次全面巡检。巡检内容包括：设备运行情况、电源、网络及系统运行情况等。</w:t>
      </w:r>
    </w:p>
    <w:p w14:paraId="192891A4">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4、需提供培训及技术咨询服务要求：</w:t>
      </w:r>
    </w:p>
    <w:p w14:paraId="44680B22">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成交供应商应提供集体培训（由采购人组织，成交供应商需派专业人员授课），并在系统安装完成时现场提供软硬件使用培训。同时提供电话培训服务，即时回答设备使用人员在使用过程中提出的与设备和软件相关的问题，如电话中无法解决的还需提供视频或现场指导。</w:t>
      </w:r>
    </w:p>
    <w:p w14:paraId="667FE6EC">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b/>
          <w:bCs/>
          <w:kern w:val="2"/>
          <w:sz w:val="28"/>
          <w:szCs w:val="28"/>
          <w:lang w:val="zh-CN" w:eastAsia="zh-CN" w:bidi="ar-SA"/>
        </w:rPr>
        <w:t>5.安装要求：</w:t>
      </w:r>
    </w:p>
    <w:p w14:paraId="76AB7BE3">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成交供应商需负责上述硬件的运输、安装、调试，并辅导使用单位实施、对使用单位相关人员进行软件操作和维护方面的培训。   </w:t>
      </w:r>
    </w:p>
    <w:p w14:paraId="28D17A3F">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6.</w:t>
      </w:r>
      <w:r>
        <w:rPr>
          <w:rFonts w:hint="eastAsia" w:ascii="仿宋" w:hAnsi="仿宋" w:eastAsia="仿宋" w:cs="仿宋"/>
          <w:b/>
          <w:bCs/>
          <w:kern w:val="2"/>
          <w:sz w:val="28"/>
          <w:szCs w:val="28"/>
          <w:lang w:val="zh-CN" w:eastAsia="zh-CN" w:bidi="ar-SA"/>
        </w:rPr>
        <w:t>付款方式</w:t>
      </w:r>
    </w:p>
    <w:p w14:paraId="5E8FE00D">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1、采购人付款采用银行转账支付方式，采购人付款前，成交供应商必须出具有效的足额发票，否则采购人有权拒绝付款。</w:t>
      </w:r>
    </w:p>
    <w:p w14:paraId="703B7EFF">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2、采购人与成交供应商双方签订合同生效后，成交供应商在十五日内向采购人交接货物并完成</w:t>
      </w:r>
      <w:r>
        <w:rPr>
          <w:rFonts w:hint="eastAsia" w:ascii="仿宋" w:hAnsi="仿宋" w:eastAsia="仿宋" w:cs="仿宋"/>
          <w:color w:val="auto"/>
          <w:sz w:val="28"/>
          <w:szCs w:val="28"/>
          <w:highlight w:val="none"/>
          <w:lang w:val="en-US" w:eastAsia="zh-CN"/>
        </w:rPr>
        <w:t>项目所有</w:t>
      </w:r>
      <w:r>
        <w:rPr>
          <w:rFonts w:hint="eastAsia" w:ascii="仿宋" w:hAnsi="仿宋" w:eastAsia="仿宋" w:cs="仿宋"/>
          <w:color w:val="auto"/>
          <w:sz w:val="28"/>
          <w:szCs w:val="28"/>
          <w:highlight w:val="none"/>
          <w:lang w:val="zh-CN"/>
        </w:rPr>
        <w:t>工作，项目履约验收合格后，采购人在收到成交供应商有效发票后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lang w:val="zh-CN"/>
        </w:rPr>
        <w:t>日内转账支付成交供应商成交合同总金额的</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lang w:val="zh-CN"/>
        </w:rPr>
        <w:t>%；剩余合同总金额的</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%，在</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val="zh-CN"/>
        </w:rPr>
        <w:t>正常运行满一年后，采购人在收到成交供应商付款函件后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lang w:val="zh-CN"/>
        </w:rPr>
        <w:t>日内将合同剩余总金额的</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%转账无息支付给成交供应商。</w:t>
      </w:r>
    </w:p>
    <w:p w14:paraId="06FC8AB6">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7.</w:t>
      </w:r>
      <w:r>
        <w:rPr>
          <w:rFonts w:hint="eastAsia" w:ascii="仿宋" w:hAnsi="仿宋" w:eastAsia="仿宋" w:cs="仿宋"/>
          <w:b/>
          <w:bCs/>
          <w:kern w:val="2"/>
          <w:sz w:val="28"/>
          <w:szCs w:val="28"/>
          <w:lang w:val="zh-CN" w:eastAsia="zh-CN" w:bidi="ar-SA"/>
        </w:rPr>
        <w:t>项目履行期限</w:t>
      </w:r>
    </w:p>
    <w:p w14:paraId="281A63D4">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自双方签订采购合同生效之日起，成交供应商在十五日内完成</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lang w:val="zh-CN"/>
        </w:rPr>
        <w:t>。因成交供应商自身问题造成的延期，成交供应商承担违约责任，由此引发的一切经济损失由成交供应商承担。</w:t>
      </w:r>
    </w:p>
    <w:p w14:paraId="05508F65">
      <w:pPr>
        <w:pStyle w:val="35"/>
        <w:spacing w:line="360" w:lineRule="auto"/>
        <w:ind w:firstLine="560"/>
        <w:rPr>
          <w:rFonts w:hint="eastAsia" w:ascii="仿宋" w:hAnsi="仿宋" w:eastAsia="仿宋" w:cs="仿宋"/>
          <w:color w:val="auto"/>
          <w:sz w:val="28"/>
          <w:szCs w:val="28"/>
          <w:highlight w:val="none"/>
          <w:lang w:val="zh-CN" w:eastAsia="zh-CN"/>
        </w:rPr>
      </w:pPr>
      <w:r>
        <w:rPr>
          <w:rFonts w:hint="eastAsia" w:ascii="仿宋" w:hAnsi="仿宋" w:eastAsia="仿宋" w:cs="仿宋"/>
          <w:b/>
          <w:bCs/>
          <w:kern w:val="2"/>
          <w:sz w:val="28"/>
          <w:szCs w:val="28"/>
          <w:lang w:val="en-US" w:eastAsia="zh-CN" w:bidi="ar-SA"/>
        </w:rPr>
        <w:t>8.</w:t>
      </w:r>
      <w:r>
        <w:rPr>
          <w:rFonts w:hint="eastAsia" w:ascii="仿宋" w:hAnsi="仿宋" w:eastAsia="仿宋" w:cs="仿宋"/>
          <w:b/>
          <w:bCs/>
          <w:kern w:val="2"/>
          <w:sz w:val="28"/>
          <w:szCs w:val="28"/>
          <w:lang w:val="zh-CN" w:eastAsia="zh-CN" w:bidi="ar-SA"/>
        </w:rPr>
        <w:t>项目履行地点</w:t>
      </w:r>
    </w:p>
    <w:p w14:paraId="50954360">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大竹县人民医院院区内指定地点。标的物在供应商运送至采购人院内指定地点交付给采购人前，标的物损毁、灭失的风险由供应商承担。</w:t>
      </w:r>
    </w:p>
    <w:p w14:paraId="1BDC1444">
      <w:pPr>
        <w:pStyle w:val="35"/>
        <w:spacing w:line="360" w:lineRule="auto"/>
        <w:ind w:firstLine="56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9.</w:t>
      </w:r>
      <w:r>
        <w:rPr>
          <w:rFonts w:hint="eastAsia" w:ascii="仿宋" w:hAnsi="仿宋" w:eastAsia="仿宋" w:cs="仿宋"/>
          <w:b/>
          <w:bCs/>
          <w:kern w:val="2"/>
          <w:sz w:val="28"/>
          <w:szCs w:val="28"/>
          <w:lang w:val="zh-CN" w:eastAsia="zh-CN" w:bidi="ar-SA"/>
        </w:rPr>
        <w:t>验收</w:t>
      </w:r>
    </w:p>
    <w:p w14:paraId="34162285">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1、按照国家采购相关履约验收政策的要求组织验收。</w:t>
      </w:r>
    </w:p>
    <w:p w14:paraId="53CAE830">
      <w:pPr>
        <w:pStyle w:val="35"/>
        <w:spacing w:line="360"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2、验收时采购人有权对货物进行测试，若测试结果未达到本项目的技术、服务要求，采购人有权</w:t>
      </w:r>
      <w:r>
        <w:rPr>
          <w:rFonts w:hint="eastAsia" w:ascii="仿宋" w:hAnsi="仿宋" w:eastAsia="仿宋" w:cs="仿宋"/>
          <w:color w:val="auto"/>
          <w:sz w:val="28"/>
          <w:szCs w:val="28"/>
          <w:highlight w:val="none"/>
          <w:lang w:val="en-US" w:eastAsia="zh-CN"/>
        </w:rPr>
        <w:t>拒付项目费用</w:t>
      </w:r>
      <w:r>
        <w:rPr>
          <w:rFonts w:hint="eastAsia" w:ascii="仿宋" w:hAnsi="仿宋" w:eastAsia="仿宋" w:cs="仿宋"/>
          <w:color w:val="auto"/>
          <w:sz w:val="28"/>
          <w:szCs w:val="28"/>
          <w:highlight w:val="none"/>
          <w:lang w:val="zh-CN"/>
        </w:rPr>
        <w:t>并追究供应商违约责任，供应商自行拆除全部货物退场并赔偿采购人项目延误造成的经济损失。</w:t>
      </w:r>
    </w:p>
    <w:p w14:paraId="7B653375">
      <w:pPr>
        <w:pStyle w:val="35"/>
        <w:spacing w:line="360" w:lineRule="auto"/>
        <w:ind w:firstLine="56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10、</w:t>
      </w:r>
      <w:r>
        <w:rPr>
          <w:rFonts w:hint="default" w:ascii="仿宋" w:hAnsi="仿宋" w:eastAsia="仿宋" w:cs="仿宋"/>
          <w:b/>
          <w:bCs/>
          <w:kern w:val="2"/>
          <w:sz w:val="28"/>
          <w:szCs w:val="28"/>
          <w:lang w:val="en-US" w:eastAsia="zh-CN" w:bidi="ar-SA"/>
        </w:rPr>
        <w:t>违约责任</w:t>
      </w:r>
    </w:p>
    <w:p w14:paraId="6EF0999D">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1、供应商必须严格按照国家相关法律法规和本</w:t>
      </w:r>
      <w:r>
        <w:rPr>
          <w:rFonts w:hint="eastAsia" w:ascii="仿宋" w:hAnsi="仿宋" w:eastAsia="仿宋" w:cs="仿宋"/>
          <w:color w:val="auto"/>
          <w:sz w:val="28"/>
          <w:szCs w:val="28"/>
          <w:highlight w:val="none"/>
          <w:lang w:val="en-US" w:eastAsia="zh-CN"/>
        </w:rPr>
        <w:t>遴选文件</w:t>
      </w:r>
      <w:r>
        <w:rPr>
          <w:rFonts w:hint="default" w:ascii="仿宋" w:hAnsi="仿宋" w:eastAsia="仿宋" w:cs="仿宋"/>
          <w:color w:val="auto"/>
          <w:sz w:val="28"/>
          <w:szCs w:val="28"/>
          <w:highlight w:val="none"/>
          <w:lang w:val="en-US" w:eastAsia="zh-CN"/>
        </w:rPr>
        <w:t>要求及供应商提交的响应文件约定履行合同，按时全面履行本项目的各项义务，供应商不履行本项目义务或瑕疵履行本项目义务或延迟履行本项目义务或履行合同义务不能实现合同目的的，则成交供应商违约。</w:t>
      </w:r>
    </w:p>
    <w:p w14:paraId="6A26CA8D">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有下列情形之一的成交供应商违约行为，采购人可以解除合同，并要求成交供应商承担相应违约责任并支付相应金额的违约金。采购人有权直接从成交供应商的履约保证金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政府采购合同为止：</w:t>
      </w:r>
    </w:p>
    <w:p w14:paraId="3B244CBC">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2.1、项目履行期限内，成交供应商明确表示或者以自己的行为表明不履行本项目合同的主要义务，则成交供应商违约，成交供应商应向采购人支付合同总价款10%的违约金。</w:t>
      </w:r>
    </w:p>
    <w:p w14:paraId="5C3CB4C8">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2.2、成交供应商履行本项目的主要义务但不能实现合同目的的，则成交供应商违约，成交供应商应向采购人支付合同总价款10%的违约金。</w:t>
      </w:r>
    </w:p>
    <w:p w14:paraId="41EDE2B9">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2.3、成交供应商应保证供给采购人的货物</w:t>
      </w:r>
      <w:r>
        <w:rPr>
          <w:rFonts w:hint="eastAsia" w:ascii="仿宋" w:hAnsi="仿宋" w:eastAsia="仿宋" w:cs="仿宋"/>
          <w:color w:val="auto"/>
          <w:sz w:val="28"/>
          <w:szCs w:val="28"/>
          <w:highlight w:val="none"/>
          <w:lang w:val="en-US" w:eastAsia="zh-CN"/>
        </w:rPr>
        <w:t>或服务</w:t>
      </w:r>
      <w:r>
        <w:rPr>
          <w:rFonts w:hint="default" w:ascii="仿宋" w:hAnsi="仿宋" w:eastAsia="仿宋" w:cs="仿宋"/>
          <w:color w:val="auto"/>
          <w:sz w:val="28"/>
          <w:szCs w:val="28"/>
          <w:highlight w:val="none"/>
          <w:lang w:val="en-US" w:eastAsia="zh-CN"/>
        </w:rPr>
        <w:t>的权利无瑕疵，包括货物所有权及知识产权等权利无瑕疵。如任何第三方经法院（或仲裁机构）裁决有权对上述货物主张权利或国家机关依法对货物进行没收查处的，则成交供应商违约，成交供应商除应向采购人返还已收款项外，成交供应商应向采购人支付合同总价款5%的违约金。</w:t>
      </w:r>
    </w:p>
    <w:p w14:paraId="72664992">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2.4、每次下列违约行为发生后，由成交供应商承担违约责任，向采购人支付相应金额的违约金。同时采购人可以选择退货，直接在</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中扣减该批不符合要求的货物</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。或限期由成交供应商进行更换货物，对更换符合约定的货物，方可重新验收入库。 更换货物产生的所有费用由成交供应商承担。</w:t>
      </w:r>
    </w:p>
    <w:p w14:paraId="0A38CE68">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2.4.1.成交供应商提供的货物</w:t>
      </w:r>
      <w:r>
        <w:rPr>
          <w:rFonts w:hint="eastAsia" w:ascii="仿宋" w:hAnsi="仿宋" w:eastAsia="仿宋" w:cs="仿宋"/>
          <w:color w:val="auto"/>
          <w:sz w:val="28"/>
          <w:szCs w:val="28"/>
          <w:highlight w:val="none"/>
          <w:lang w:val="en-US" w:eastAsia="zh-CN"/>
        </w:rPr>
        <w:t>或服务</w:t>
      </w:r>
      <w:r>
        <w:rPr>
          <w:rFonts w:hint="default" w:ascii="仿宋" w:hAnsi="仿宋" w:eastAsia="仿宋" w:cs="仿宋"/>
          <w:color w:val="auto"/>
          <w:sz w:val="28"/>
          <w:szCs w:val="28"/>
          <w:highlight w:val="none"/>
          <w:lang w:val="en-US" w:eastAsia="zh-CN"/>
        </w:rPr>
        <w:t>出现假冒伪劣产品或以次充好或负偏离约定的质量功能性能要求或不符合国家相关法律法规要求的，则成交供应商违约，采购人有权每次扣除成交供应商</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RMB 1000元，</w:t>
      </w:r>
      <w:r>
        <w:rPr>
          <w:rFonts w:hint="eastAsia" w:ascii="仿宋" w:hAnsi="仿宋" w:eastAsia="仿宋" w:cs="仿宋"/>
          <w:color w:val="auto"/>
          <w:sz w:val="28"/>
          <w:szCs w:val="28"/>
          <w:highlight w:val="none"/>
          <w:lang w:val="en-US" w:eastAsia="zh-CN"/>
        </w:rPr>
        <w:t>合同履行期内</w:t>
      </w:r>
      <w:r>
        <w:rPr>
          <w:rFonts w:hint="default" w:ascii="仿宋" w:hAnsi="仿宋" w:eastAsia="仿宋" w:cs="仿宋"/>
          <w:color w:val="auto"/>
          <w:sz w:val="28"/>
          <w:szCs w:val="28"/>
          <w:highlight w:val="none"/>
          <w:lang w:val="en-US" w:eastAsia="zh-CN"/>
        </w:rPr>
        <w:t>成交供应商出现3次本款所列违约行为，成交供应商应向采购人支付合同总价款5%的违约金。</w:t>
      </w:r>
    </w:p>
    <w:p w14:paraId="08DB88B9">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2.4.2.成交供应商所供的货物</w:t>
      </w:r>
      <w:r>
        <w:rPr>
          <w:rFonts w:hint="eastAsia" w:ascii="仿宋" w:hAnsi="仿宋" w:eastAsia="仿宋" w:cs="仿宋"/>
          <w:color w:val="auto"/>
          <w:sz w:val="28"/>
          <w:szCs w:val="28"/>
          <w:highlight w:val="none"/>
          <w:lang w:val="en-US" w:eastAsia="zh-CN"/>
        </w:rPr>
        <w:t>或服务</w:t>
      </w:r>
      <w:r>
        <w:rPr>
          <w:rFonts w:hint="default" w:ascii="仿宋" w:hAnsi="仿宋" w:eastAsia="仿宋" w:cs="仿宋"/>
          <w:color w:val="auto"/>
          <w:sz w:val="28"/>
          <w:szCs w:val="28"/>
          <w:highlight w:val="none"/>
          <w:lang w:val="en-US" w:eastAsia="zh-CN"/>
        </w:rPr>
        <w:t>品名、数量、规格、货物包装、标识等方面与</w:t>
      </w:r>
      <w:r>
        <w:rPr>
          <w:rFonts w:hint="eastAsia" w:ascii="仿宋" w:hAnsi="仿宋" w:eastAsia="仿宋" w:cs="仿宋"/>
          <w:color w:val="auto"/>
          <w:sz w:val="28"/>
          <w:szCs w:val="28"/>
          <w:highlight w:val="none"/>
          <w:lang w:val="en-US" w:eastAsia="zh-CN"/>
        </w:rPr>
        <w:t>遴选文件</w:t>
      </w:r>
      <w:r>
        <w:rPr>
          <w:rFonts w:hint="default" w:ascii="仿宋" w:hAnsi="仿宋" w:eastAsia="仿宋" w:cs="仿宋"/>
          <w:color w:val="auto"/>
          <w:sz w:val="28"/>
          <w:szCs w:val="28"/>
          <w:highlight w:val="none"/>
          <w:lang w:val="en-US" w:eastAsia="zh-CN"/>
        </w:rPr>
        <w:t>要求或合同约定或采购人采购需求不符的，则成交供应商违约，采购人有权每次扣除成交供应商</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 xml:space="preserve">RMB </w:t>
      </w: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w:t>
      </w: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次本款所列违约行为，成交供应商应向采购人支付合同总价款5%的违约金。</w:t>
      </w:r>
    </w:p>
    <w:p w14:paraId="61E140B8">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2.5.成交供应商未按</w:t>
      </w:r>
      <w:r>
        <w:rPr>
          <w:rFonts w:hint="eastAsia" w:ascii="仿宋" w:hAnsi="仿宋" w:eastAsia="仿宋" w:cs="仿宋"/>
          <w:color w:val="auto"/>
          <w:sz w:val="28"/>
          <w:szCs w:val="28"/>
          <w:highlight w:val="none"/>
          <w:lang w:val="en-US" w:eastAsia="zh-CN"/>
        </w:rPr>
        <w:t>遴选文件</w:t>
      </w:r>
      <w:r>
        <w:rPr>
          <w:rFonts w:hint="default" w:ascii="仿宋" w:hAnsi="仿宋" w:eastAsia="仿宋" w:cs="仿宋"/>
          <w:color w:val="auto"/>
          <w:sz w:val="28"/>
          <w:szCs w:val="28"/>
          <w:highlight w:val="none"/>
          <w:lang w:val="en-US" w:eastAsia="zh-CN"/>
        </w:rPr>
        <w:t>要求或合同约定或采购人采购需求提供服务的，则成交供应商违约，采购人有权每次扣除成交供应商</w:t>
      </w:r>
      <w:r>
        <w:rPr>
          <w:rFonts w:hint="eastAsia" w:ascii="仿宋" w:hAnsi="仿宋" w:eastAsia="仿宋" w:cs="仿宋"/>
          <w:color w:val="auto"/>
          <w:sz w:val="28"/>
          <w:szCs w:val="28"/>
          <w:highlight w:val="none"/>
          <w:lang w:val="en-US" w:eastAsia="zh-CN"/>
        </w:rPr>
        <w:t>合同总支付金额</w:t>
      </w:r>
      <w:r>
        <w:rPr>
          <w:rFonts w:hint="default" w:ascii="仿宋" w:hAnsi="仿宋" w:eastAsia="仿宋" w:cs="仿宋"/>
          <w:color w:val="auto"/>
          <w:sz w:val="28"/>
          <w:szCs w:val="28"/>
          <w:highlight w:val="none"/>
          <w:lang w:val="en-US" w:eastAsia="zh-CN"/>
        </w:rPr>
        <w:t xml:space="preserve">RMB </w:t>
      </w: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w:t>
      </w: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次本款所列违约行为，成交供应商应向采购人支付合同总价款5%的违约金。</w:t>
      </w:r>
    </w:p>
    <w:p w14:paraId="5102F3E0">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6</w:t>
      </w:r>
      <w:r>
        <w:rPr>
          <w:rFonts w:hint="default" w:ascii="仿宋" w:hAnsi="仿宋" w:eastAsia="仿宋" w:cs="仿宋"/>
          <w:color w:val="auto"/>
          <w:sz w:val="28"/>
          <w:szCs w:val="28"/>
          <w:highlight w:val="none"/>
          <w:lang w:val="en-US" w:eastAsia="zh-CN"/>
        </w:rPr>
        <w:t>.采购人发出采购需求后，成交供应商未按时送货或未按时到场提供服务或未送货到指定地点的，则成交供应商违约，采购人有权每次扣除成交供应商</w:t>
      </w:r>
      <w:r>
        <w:rPr>
          <w:rFonts w:hint="eastAsia" w:ascii="仿宋" w:hAnsi="仿宋" w:eastAsia="仿宋" w:cs="仿宋"/>
          <w:color w:val="auto"/>
          <w:sz w:val="28"/>
          <w:szCs w:val="28"/>
          <w:highlight w:val="none"/>
          <w:lang w:val="en-US" w:eastAsia="zh-CN"/>
        </w:rPr>
        <w:t>合同总支付金额中</w:t>
      </w:r>
      <w:r>
        <w:rPr>
          <w:rFonts w:hint="default" w:ascii="仿宋" w:hAnsi="仿宋" w:eastAsia="仿宋" w:cs="仿宋"/>
          <w:color w:val="auto"/>
          <w:sz w:val="28"/>
          <w:szCs w:val="28"/>
          <w:highlight w:val="none"/>
          <w:lang w:val="en-US" w:eastAsia="zh-CN"/>
        </w:rPr>
        <w:t>RMB 500元，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w:t>
      </w: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次本款所列违约行为，成交供应商应向采购人支付合同总价款5%的违约金。</w:t>
      </w:r>
    </w:p>
    <w:p w14:paraId="47CC63D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2.8.因成交供应商所供货物未提供合格证等资料，或未按要求随货附送销售单据，或未按要求提供发票、货物会计数据统计的电子文档，或影响采购人账务管理的，则成交供应商违约，采购人有权每次扣除成交供应商结算款RMB 200元，</w:t>
      </w:r>
      <w:r>
        <w:rPr>
          <w:rFonts w:hint="eastAsia" w:ascii="仿宋" w:hAnsi="仿宋" w:eastAsia="仿宋" w:cs="仿宋"/>
          <w:color w:val="auto"/>
          <w:sz w:val="28"/>
          <w:szCs w:val="28"/>
          <w:highlight w:val="none"/>
          <w:lang w:val="en-US" w:eastAsia="zh-CN"/>
        </w:rPr>
        <w:t>合同履行期</w:t>
      </w:r>
      <w:r>
        <w:rPr>
          <w:rFonts w:hint="default" w:ascii="仿宋" w:hAnsi="仿宋" w:eastAsia="仿宋" w:cs="仿宋"/>
          <w:color w:val="auto"/>
          <w:sz w:val="28"/>
          <w:szCs w:val="28"/>
          <w:highlight w:val="none"/>
          <w:lang w:val="en-US" w:eastAsia="zh-CN"/>
        </w:rPr>
        <w:t>内成交供应商出现5次本款所列违约行为，成交供应商应向采购人支付合同总价款5%的违约金。</w:t>
      </w:r>
    </w:p>
    <w:p w14:paraId="737695A8">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r>
        <w:rPr>
          <w:rFonts w:hint="default" w:ascii="仿宋" w:hAnsi="仿宋" w:eastAsia="仿宋" w:cs="仿宋"/>
          <w:color w:val="auto"/>
          <w:sz w:val="28"/>
          <w:szCs w:val="28"/>
          <w:highlight w:val="none"/>
          <w:lang w:val="en-US" w:eastAsia="zh-CN"/>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5587681F">
      <w:pPr>
        <w:pStyle w:val="35"/>
        <w:spacing w:line="360" w:lineRule="auto"/>
        <w:ind w:firstLine="560"/>
        <w:rPr>
          <w:rFonts w:hint="eastAsia" w:ascii="仿宋" w:hAnsi="仿宋" w:eastAsia="仿宋" w:cs="仿宋"/>
          <w:color w:val="auto"/>
          <w:sz w:val="28"/>
          <w:szCs w:val="28"/>
          <w:highlight w:val="none"/>
          <w:lang w:val="zh-CN"/>
        </w:rPr>
      </w:pPr>
      <w:bookmarkStart w:id="21" w:name="EB43c53e641d4b44f7a21c91dd14912275"/>
    </w:p>
    <w:bookmarkEnd w:id="21"/>
    <w:p w14:paraId="420B0B2B">
      <w:pPr>
        <w:pStyle w:val="35"/>
        <w:spacing w:line="360" w:lineRule="auto"/>
        <w:ind w:firstLine="560"/>
        <w:rPr>
          <w:rFonts w:hint="eastAsia" w:ascii="仿宋" w:hAnsi="仿宋" w:eastAsia="仿宋" w:cs="仿宋"/>
          <w:color w:val="auto"/>
          <w:sz w:val="28"/>
          <w:szCs w:val="28"/>
          <w:highlight w:val="none"/>
          <w:lang w:val="zh-CN"/>
        </w:rPr>
      </w:pPr>
    </w:p>
    <w:p w14:paraId="42420CEB">
      <w:pPr>
        <w:pStyle w:val="35"/>
        <w:spacing w:line="360" w:lineRule="auto"/>
        <w:ind w:firstLine="560"/>
        <w:rPr>
          <w:rFonts w:hint="eastAsia" w:ascii="仿宋" w:hAnsi="仿宋" w:eastAsia="仿宋" w:cs="仿宋"/>
          <w:color w:val="auto"/>
          <w:sz w:val="28"/>
          <w:szCs w:val="28"/>
          <w:highlight w:val="none"/>
          <w:lang w:val="zh-CN"/>
        </w:rPr>
      </w:pPr>
    </w:p>
    <w:p w14:paraId="56185835">
      <w:pPr>
        <w:pStyle w:val="35"/>
        <w:spacing w:line="360" w:lineRule="auto"/>
        <w:ind w:left="0" w:leftChars="0" w:firstLine="0" w:firstLineChars="0"/>
        <w:jc w:val="center"/>
        <w:rPr>
          <w:rFonts w:hint="eastAsia" w:ascii="仿宋" w:hAnsi="仿宋" w:eastAsia="仿宋" w:cs="仿宋"/>
          <w:b/>
          <w:sz w:val="28"/>
          <w:szCs w:val="28"/>
          <w:highlight w:val="none"/>
        </w:rPr>
      </w:pPr>
    </w:p>
    <w:p w14:paraId="0473BD3D">
      <w:pPr>
        <w:pStyle w:val="35"/>
        <w:spacing w:line="360" w:lineRule="auto"/>
        <w:ind w:left="0" w:leftChars="0" w:firstLine="0" w:firstLineChars="0"/>
        <w:jc w:val="both"/>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50D42797">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（二）具有良好的商业信誉；</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C67EC58">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555"/>
        <w:gridCol w:w="1145"/>
        <w:gridCol w:w="1773"/>
        <w:gridCol w:w="1717"/>
        <w:gridCol w:w="1097"/>
      </w:tblGrid>
      <w:tr w14:paraId="7C4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AB4F20F">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3EF1730F">
            <w:pPr>
              <w:snapToGrid w:val="0"/>
              <w:spacing w:line="360" w:lineRule="auto"/>
              <w:jc w:val="center"/>
              <w:rPr>
                <w:rFonts w:ascii="仿宋" w:hAnsi="仿宋" w:eastAsia="仿宋" w:cs="仿宋"/>
                <w:b/>
                <w:sz w:val="24"/>
                <w:szCs w:val="24"/>
                <w:highlight w:val="none"/>
              </w:rPr>
            </w:pPr>
            <w:r>
              <w:rPr>
                <w:rFonts w:hint="eastAsia" w:ascii="仿宋" w:hAnsi="仿宋" w:eastAsia="仿宋" w:cs="仿宋"/>
                <w:b/>
                <w:bCs/>
                <w:sz w:val="24"/>
                <w:szCs w:val="24"/>
                <w:highlight w:val="none"/>
              </w:rPr>
              <w:t>服务内容/产品名称</w:t>
            </w:r>
          </w:p>
        </w:tc>
        <w:tc>
          <w:tcPr>
            <w:tcW w:w="2555" w:type="dxa"/>
            <w:tcBorders>
              <w:top w:val="single" w:color="auto" w:sz="4" w:space="0"/>
              <w:left w:val="single" w:color="auto" w:sz="4" w:space="0"/>
              <w:bottom w:val="single" w:color="auto" w:sz="4" w:space="0"/>
              <w:right w:val="single" w:color="auto" w:sz="4" w:space="0"/>
            </w:tcBorders>
            <w:noWrap/>
            <w:vAlign w:val="center"/>
          </w:tcPr>
          <w:p w14:paraId="682AC17D">
            <w:pPr>
              <w:widowControl/>
              <w:spacing w:line="360" w:lineRule="auto"/>
              <w:jc w:val="center"/>
              <w:outlineLvl w:val="1"/>
              <w:rPr>
                <w:rFonts w:ascii="仿宋" w:hAnsi="仿宋" w:eastAsia="仿宋" w:cs="仿宋"/>
                <w:color w:val="FF0000"/>
                <w:sz w:val="24"/>
                <w:szCs w:val="24"/>
                <w:highlight w:val="none"/>
              </w:rPr>
            </w:pPr>
            <w:bookmarkStart w:id="22" w:name="_Toc50711557"/>
            <w:r>
              <w:rPr>
                <w:rFonts w:hint="eastAsia" w:ascii="仿宋" w:hAnsi="仿宋" w:eastAsia="仿宋" w:cs="仿宋"/>
                <w:color w:val="FF0000"/>
                <w:sz w:val="24"/>
                <w:szCs w:val="24"/>
                <w:highlight w:val="none"/>
              </w:rPr>
              <w:t>产品制造商家、品牌及</w:t>
            </w:r>
            <w:bookmarkEnd w:id="22"/>
            <w:bookmarkStart w:id="23" w:name="_Toc50711558"/>
            <w:r>
              <w:rPr>
                <w:rFonts w:hint="eastAsia" w:ascii="仿宋" w:hAnsi="仿宋" w:eastAsia="仿宋" w:cs="仿宋"/>
                <w:color w:val="FF0000"/>
                <w:sz w:val="24"/>
                <w:szCs w:val="24"/>
                <w:highlight w:val="none"/>
              </w:rPr>
              <w:t>规格型号</w:t>
            </w:r>
            <w:r>
              <w:rPr>
                <w:rFonts w:hint="eastAsia" w:ascii="仿宋" w:hAnsi="仿宋" w:eastAsia="仿宋" w:cs="仿宋"/>
                <w:b/>
                <w:bCs/>
                <w:color w:val="FF0000"/>
                <w:sz w:val="24"/>
                <w:szCs w:val="24"/>
                <w:highlight w:val="none"/>
              </w:rPr>
              <w:t>（如涉及）</w:t>
            </w:r>
            <w:bookmarkEnd w:id="23"/>
          </w:p>
        </w:tc>
        <w:tc>
          <w:tcPr>
            <w:tcW w:w="1145" w:type="dxa"/>
            <w:tcBorders>
              <w:top w:val="single" w:color="auto" w:sz="4" w:space="0"/>
              <w:left w:val="single" w:color="auto" w:sz="4" w:space="0"/>
              <w:bottom w:val="single" w:color="auto" w:sz="4" w:space="0"/>
              <w:right w:val="single" w:color="auto" w:sz="4" w:space="0"/>
            </w:tcBorders>
            <w:noWrap/>
            <w:vAlign w:val="center"/>
          </w:tcPr>
          <w:p w14:paraId="06637F39">
            <w:pPr>
              <w:snapToGrid w:val="0"/>
              <w:spacing w:line="360" w:lineRule="auto"/>
              <w:jc w:val="center"/>
              <w:rPr>
                <w:rFonts w:hint="eastAsia" w:ascii="仿宋" w:hAnsi="仿宋" w:eastAsia="仿宋" w:cs="仿宋"/>
                <w:b/>
                <w:color w:val="FF0000"/>
                <w:sz w:val="24"/>
                <w:szCs w:val="24"/>
                <w:highlight w:val="none"/>
                <w:lang w:eastAsia="zh-CN"/>
              </w:rPr>
            </w:pPr>
            <w:r>
              <w:rPr>
                <w:rFonts w:hint="eastAsia" w:ascii="仿宋" w:hAnsi="仿宋" w:eastAsia="仿宋" w:cs="仿宋"/>
                <w:b/>
                <w:color w:val="FF0000"/>
                <w:sz w:val="24"/>
                <w:szCs w:val="24"/>
                <w:highlight w:val="none"/>
                <w:lang w:val="en-US" w:eastAsia="zh-CN"/>
              </w:rPr>
              <w:t>数量</w:t>
            </w:r>
          </w:p>
        </w:tc>
        <w:tc>
          <w:tcPr>
            <w:tcW w:w="1773" w:type="dxa"/>
            <w:tcBorders>
              <w:top w:val="single" w:color="auto" w:sz="4" w:space="0"/>
              <w:left w:val="single" w:color="auto" w:sz="4" w:space="0"/>
              <w:bottom w:val="single" w:color="auto" w:sz="4" w:space="0"/>
              <w:right w:val="single" w:color="auto" w:sz="4" w:space="0"/>
            </w:tcBorders>
            <w:noWrap/>
            <w:vAlign w:val="center"/>
          </w:tcPr>
          <w:p w14:paraId="5EFCBBEA">
            <w:pPr>
              <w:snapToGrid w:val="0"/>
              <w:spacing w:line="360" w:lineRule="auto"/>
              <w:rPr>
                <w:rFonts w:hint="eastAsia" w:ascii="仿宋" w:hAnsi="仿宋" w:eastAsia="仿宋" w:cs="仿宋"/>
                <w:b/>
                <w:color w:val="FF0000"/>
                <w:sz w:val="24"/>
                <w:szCs w:val="24"/>
                <w:highlight w:val="none"/>
              </w:rPr>
            </w:pPr>
          </w:p>
          <w:p w14:paraId="761EAB7E">
            <w:pPr>
              <w:snapToGrid w:val="0"/>
              <w:spacing w:line="360" w:lineRule="auto"/>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成交单价（元）</w:t>
            </w:r>
          </w:p>
          <w:p w14:paraId="1AB2FFDA">
            <w:pPr>
              <w:snapToGrid w:val="0"/>
              <w:spacing w:line="360" w:lineRule="auto"/>
              <w:jc w:val="center"/>
              <w:rPr>
                <w:rFonts w:ascii="仿宋" w:hAnsi="仿宋" w:eastAsia="仿宋" w:cs="仿宋"/>
                <w:b/>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169769B6">
            <w:pPr>
              <w:tabs>
                <w:tab w:val="left" w:pos="402"/>
              </w:tabs>
              <w:snapToGrid w:val="0"/>
              <w:spacing w:line="360" w:lineRule="auto"/>
              <w:jc w:val="left"/>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单项合计价格</w:t>
            </w:r>
          </w:p>
        </w:tc>
        <w:tc>
          <w:tcPr>
            <w:tcW w:w="1097" w:type="dxa"/>
            <w:tcBorders>
              <w:top w:val="single" w:color="auto" w:sz="4" w:space="0"/>
              <w:left w:val="single" w:color="auto" w:sz="4" w:space="0"/>
              <w:bottom w:val="single" w:color="auto" w:sz="4" w:space="0"/>
              <w:right w:val="single" w:color="auto" w:sz="4" w:space="0"/>
            </w:tcBorders>
            <w:noWrap/>
            <w:vAlign w:val="center"/>
          </w:tcPr>
          <w:p w14:paraId="742048B9">
            <w:pPr>
              <w:snapToGrid w:val="0"/>
              <w:spacing w:line="360" w:lineRule="auto"/>
              <w:ind w:firstLine="120" w:firstLineChars="50"/>
              <w:jc w:val="center"/>
              <w:rPr>
                <w:rFonts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3DF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59F537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6A1E491F">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1B8A1C06">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CBA4CFD">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77D43BEF">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751377E0">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7BAB8A4C">
            <w:pPr>
              <w:snapToGrid w:val="0"/>
              <w:spacing w:line="360" w:lineRule="auto"/>
              <w:jc w:val="left"/>
              <w:rPr>
                <w:rFonts w:ascii="仿宋" w:hAnsi="仿宋" w:eastAsia="仿宋" w:cs="仿宋"/>
                <w:sz w:val="24"/>
                <w:szCs w:val="24"/>
                <w:highlight w:val="none"/>
              </w:rPr>
            </w:pPr>
          </w:p>
        </w:tc>
      </w:tr>
      <w:tr w14:paraId="1B7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CDBA274">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6E2EFDD5">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13606F54">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E167E16">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6B61DBF">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7C84508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BA7938B">
            <w:pPr>
              <w:snapToGrid w:val="0"/>
              <w:spacing w:line="360" w:lineRule="auto"/>
              <w:jc w:val="left"/>
              <w:rPr>
                <w:rFonts w:ascii="仿宋" w:hAnsi="仿宋" w:eastAsia="仿宋" w:cs="仿宋"/>
                <w:sz w:val="24"/>
                <w:szCs w:val="24"/>
                <w:highlight w:val="none"/>
              </w:rPr>
            </w:pPr>
          </w:p>
        </w:tc>
      </w:tr>
      <w:tr w14:paraId="267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91399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797E23F2">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D4F6048">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0C1F14D">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24C6431">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0059511">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D958045">
            <w:pPr>
              <w:snapToGrid w:val="0"/>
              <w:spacing w:line="360" w:lineRule="auto"/>
              <w:jc w:val="left"/>
              <w:rPr>
                <w:rFonts w:ascii="仿宋" w:hAnsi="仿宋" w:eastAsia="仿宋" w:cs="仿宋"/>
                <w:sz w:val="24"/>
                <w:szCs w:val="24"/>
                <w:highlight w:val="none"/>
              </w:rPr>
            </w:pPr>
          </w:p>
        </w:tc>
      </w:tr>
      <w:tr w14:paraId="313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6EEAD9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2085820">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E73BD14">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53CCCA6">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023EAD2">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3F773E2">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321330">
            <w:pPr>
              <w:snapToGrid w:val="0"/>
              <w:spacing w:line="360" w:lineRule="auto"/>
              <w:jc w:val="left"/>
              <w:rPr>
                <w:rFonts w:ascii="仿宋" w:hAnsi="仿宋" w:eastAsia="仿宋" w:cs="仿宋"/>
                <w:sz w:val="24"/>
                <w:szCs w:val="24"/>
                <w:highlight w:val="none"/>
              </w:rPr>
            </w:pPr>
          </w:p>
        </w:tc>
      </w:tr>
      <w:tr w14:paraId="6B6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9842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693567CE">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07829C6F">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2B90427">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6B955722">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69150875">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2081FD2">
            <w:pPr>
              <w:snapToGrid w:val="0"/>
              <w:spacing w:line="360" w:lineRule="auto"/>
              <w:jc w:val="left"/>
              <w:rPr>
                <w:rFonts w:ascii="仿宋" w:hAnsi="仿宋" w:eastAsia="仿宋" w:cs="仿宋"/>
                <w:sz w:val="24"/>
                <w:szCs w:val="24"/>
                <w:highlight w:val="none"/>
              </w:rPr>
            </w:pPr>
          </w:p>
        </w:tc>
      </w:tr>
      <w:tr w14:paraId="0AC2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C80B7D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6A438E84">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0A2E921F">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B0E69BA">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74F3ABD">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07BBAF6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9F3B7D3">
            <w:pPr>
              <w:snapToGrid w:val="0"/>
              <w:spacing w:line="360" w:lineRule="auto"/>
              <w:jc w:val="left"/>
              <w:rPr>
                <w:rFonts w:ascii="仿宋" w:hAnsi="仿宋" w:eastAsia="仿宋" w:cs="仿宋"/>
                <w:sz w:val="24"/>
                <w:szCs w:val="24"/>
                <w:highlight w:val="none"/>
              </w:rPr>
            </w:pPr>
          </w:p>
        </w:tc>
      </w:tr>
      <w:tr w14:paraId="37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5668B1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600EA286">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565C6FD3">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50E9DD5">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2E606F84">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584DE7B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48496D4E">
            <w:pPr>
              <w:snapToGrid w:val="0"/>
              <w:spacing w:line="360" w:lineRule="auto"/>
              <w:jc w:val="left"/>
              <w:rPr>
                <w:rFonts w:ascii="仿宋" w:hAnsi="仿宋" w:eastAsia="仿宋" w:cs="仿宋"/>
                <w:sz w:val="24"/>
                <w:szCs w:val="24"/>
                <w:highlight w:val="none"/>
              </w:rPr>
            </w:pPr>
          </w:p>
        </w:tc>
      </w:tr>
      <w:tr w14:paraId="57D3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7E5FF7B">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27AA5D60">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18E90D9">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16C3727">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B7607D9">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44B191B">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CD38D4D">
            <w:pPr>
              <w:snapToGrid w:val="0"/>
              <w:spacing w:line="360" w:lineRule="auto"/>
              <w:jc w:val="left"/>
              <w:rPr>
                <w:rFonts w:ascii="仿宋" w:hAnsi="仿宋" w:eastAsia="仿宋" w:cs="仿宋"/>
                <w:sz w:val="24"/>
                <w:szCs w:val="24"/>
                <w:highlight w:val="none"/>
              </w:rPr>
            </w:pPr>
          </w:p>
        </w:tc>
      </w:tr>
      <w:tr w14:paraId="38C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0073981">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394718E8">
            <w:pPr>
              <w:pStyle w:val="45"/>
              <w:spacing w:line="360" w:lineRule="auto"/>
              <w:jc w:val="left"/>
              <w:rPr>
                <w:rFonts w:ascii="仿宋" w:hAnsi="仿宋" w:eastAsia="仿宋" w:cs="仿宋"/>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61B4C041">
            <w:pPr>
              <w:snapToGrid w:val="0"/>
              <w:spacing w:line="360" w:lineRule="auto"/>
              <w:rPr>
                <w:rFonts w:ascii="仿宋" w:hAnsi="仿宋" w:eastAsia="仿宋" w:cs="仿宋"/>
                <w:b/>
                <w:bCs/>
                <w:sz w:val="24"/>
                <w:szCs w:val="24"/>
                <w:highlight w:val="none"/>
              </w:rPr>
            </w:pPr>
          </w:p>
        </w:tc>
      </w:tr>
    </w:tbl>
    <w:p w14:paraId="3F3992D4">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DF3E4F1">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4"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41322C-0160-45C6-B835-578A1685A5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70A6F360-DF92-4AEE-B1C0-47B457D163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10"/>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10"/>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10"/>
      <w:framePr w:wrap="around" w:vAnchor="text" w:hAnchor="margin" w:xAlign="center" w:y="1"/>
      <w:rPr>
        <w:rStyle w:val="19"/>
      </w:rPr>
    </w:pPr>
    <w:r>
      <w:fldChar w:fldCharType="begin"/>
    </w:r>
    <w:r>
      <w:rPr>
        <w:rStyle w:val="19"/>
      </w:rPr>
      <w:instrText xml:space="preserve">PAGE  </w:instrText>
    </w:r>
    <w:r>
      <w:fldChar w:fldCharType="end"/>
    </w:r>
  </w:p>
  <w:p w14:paraId="3EC8C5D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10E16B8A"/>
    <w:rsid w:val="11692E07"/>
    <w:rsid w:val="11DA1B30"/>
    <w:rsid w:val="13502D0A"/>
    <w:rsid w:val="13C479B3"/>
    <w:rsid w:val="14081913"/>
    <w:rsid w:val="152534E9"/>
    <w:rsid w:val="155F532E"/>
    <w:rsid w:val="16EB3B9B"/>
    <w:rsid w:val="17081A00"/>
    <w:rsid w:val="190A1374"/>
    <w:rsid w:val="19377C8F"/>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B17454"/>
    <w:rsid w:val="29D11F74"/>
    <w:rsid w:val="29E351DD"/>
    <w:rsid w:val="2BFF1D42"/>
    <w:rsid w:val="2C33078A"/>
    <w:rsid w:val="2C84328E"/>
    <w:rsid w:val="2CA42DE1"/>
    <w:rsid w:val="2CED4F6B"/>
    <w:rsid w:val="2D1542AF"/>
    <w:rsid w:val="2D520CBF"/>
    <w:rsid w:val="2D5C161A"/>
    <w:rsid w:val="2E274D7B"/>
    <w:rsid w:val="2EE21121"/>
    <w:rsid w:val="2FE45165"/>
    <w:rsid w:val="309B2467"/>
    <w:rsid w:val="31010479"/>
    <w:rsid w:val="31091496"/>
    <w:rsid w:val="314B4C91"/>
    <w:rsid w:val="32CD2A10"/>
    <w:rsid w:val="33DC5895"/>
    <w:rsid w:val="35CE3363"/>
    <w:rsid w:val="37491522"/>
    <w:rsid w:val="3A5A3BAD"/>
    <w:rsid w:val="3A826D1A"/>
    <w:rsid w:val="3BE21884"/>
    <w:rsid w:val="3C557122"/>
    <w:rsid w:val="3CC54F57"/>
    <w:rsid w:val="3D5373E0"/>
    <w:rsid w:val="40112809"/>
    <w:rsid w:val="4065532C"/>
    <w:rsid w:val="41623A80"/>
    <w:rsid w:val="41BE23E1"/>
    <w:rsid w:val="420D14D6"/>
    <w:rsid w:val="423A5D5C"/>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5711EBB"/>
    <w:rsid w:val="55D55BA4"/>
    <w:rsid w:val="55E9251C"/>
    <w:rsid w:val="561843C9"/>
    <w:rsid w:val="58A65CBC"/>
    <w:rsid w:val="58F6310D"/>
    <w:rsid w:val="5914654F"/>
    <w:rsid w:val="5A3115B5"/>
    <w:rsid w:val="5CA72002"/>
    <w:rsid w:val="5D1D4073"/>
    <w:rsid w:val="5D526A35"/>
    <w:rsid w:val="5D8A720C"/>
    <w:rsid w:val="5DA705C8"/>
    <w:rsid w:val="5E4044BD"/>
    <w:rsid w:val="5F8D1984"/>
    <w:rsid w:val="5FED5F7E"/>
    <w:rsid w:val="61112140"/>
    <w:rsid w:val="62175DE5"/>
    <w:rsid w:val="62180C9A"/>
    <w:rsid w:val="62C326D2"/>
    <w:rsid w:val="64223473"/>
    <w:rsid w:val="6505667C"/>
    <w:rsid w:val="653D52B2"/>
    <w:rsid w:val="664C4B1D"/>
    <w:rsid w:val="664F0CB2"/>
    <w:rsid w:val="66DB4D83"/>
    <w:rsid w:val="67E71264"/>
    <w:rsid w:val="68806576"/>
    <w:rsid w:val="696F05B5"/>
    <w:rsid w:val="69C405B3"/>
    <w:rsid w:val="6A9D0B41"/>
    <w:rsid w:val="6C371961"/>
    <w:rsid w:val="6D2825EA"/>
    <w:rsid w:val="6D594018"/>
    <w:rsid w:val="6EA6211A"/>
    <w:rsid w:val="6F601F1C"/>
    <w:rsid w:val="70666005"/>
    <w:rsid w:val="71833E3D"/>
    <w:rsid w:val="72B7769C"/>
    <w:rsid w:val="73322077"/>
    <w:rsid w:val="748C1DB2"/>
    <w:rsid w:val="763B6C8C"/>
    <w:rsid w:val="769E3AC5"/>
    <w:rsid w:val="76AE2E69"/>
    <w:rsid w:val="76E54993"/>
    <w:rsid w:val="78880BB9"/>
    <w:rsid w:val="78E71CAD"/>
    <w:rsid w:val="792B78C2"/>
    <w:rsid w:val="797D43BF"/>
    <w:rsid w:val="7AEC49C8"/>
    <w:rsid w:val="7B191EC6"/>
    <w:rsid w:val="7B7D5A51"/>
    <w:rsid w:val="7C556F2D"/>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0"/>
    <w:pPr>
      <w:spacing w:after="120"/>
    </w:pPr>
  </w:style>
  <w:style w:type="paragraph" w:styleId="3">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2"/>
    <w:autoRedefine/>
    <w:unhideWhenUsed/>
    <w:qFormat/>
    <w:uiPriority w:val="0"/>
    <w:pPr>
      <w:jc w:val="left"/>
    </w:pPr>
    <w:rPr>
      <w:rFonts w:ascii="宋体"/>
      <w:kern w:val="0"/>
      <w:sz w:val="34"/>
      <w:szCs w:val="22"/>
    </w:rPr>
  </w:style>
  <w:style w:type="paragraph" w:styleId="8">
    <w:name w:val="Body Text Indent"/>
    <w:basedOn w:val="1"/>
    <w:link w:val="33"/>
    <w:autoRedefine/>
    <w:qFormat/>
    <w:uiPriority w:val="0"/>
    <w:pPr>
      <w:ind w:firstLine="630"/>
    </w:pPr>
    <w:rPr>
      <w:sz w:val="32"/>
    </w:rPr>
  </w:style>
  <w:style w:type="paragraph" w:styleId="9">
    <w:name w:val="Balloon Text"/>
    <w:basedOn w:val="1"/>
    <w:link w:val="34"/>
    <w:autoRedefine/>
    <w:qFormat/>
    <w:uiPriority w:val="0"/>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1"/>
    <w:autoRedefine/>
    <w:semiHidden/>
    <w:qFormat/>
    <w:uiPriority w:val="99"/>
    <w:rPr>
      <w:sz w:val="18"/>
      <w:szCs w:val="18"/>
    </w:rPr>
  </w:style>
  <w:style w:type="character" w:customStyle="1" w:styleId="28">
    <w:name w:val="页脚 Char"/>
    <w:basedOn w:val="17"/>
    <w:link w:val="10"/>
    <w:autoRedefine/>
    <w:semiHidden/>
    <w:qFormat/>
    <w:uiPriority w:val="99"/>
    <w:rPr>
      <w:sz w:val="18"/>
      <w:szCs w:val="18"/>
    </w:rPr>
  </w:style>
  <w:style w:type="character" w:customStyle="1" w:styleId="29">
    <w:name w:val="标题 1 Char"/>
    <w:basedOn w:val="17"/>
    <w:link w:val="4"/>
    <w:autoRedefine/>
    <w:qFormat/>
    <w:uiPriority w:val="0"/>
    <w:rPr>
      <w:rFonts w:ascii="黑体" w:hAnsi="黑体" w:eastAsia="黑体" w:cs="Times New Roman"/>
      <w:b/>
      <w:kern w:val="44"/>
      <w:sz w:val="32"/>
      <w:szCs w:val="32"/>
    </w:rPr>
  </w:style>
  <w:style w:type="character" w:customStyle="1" w:styleId="30">
    <w:name w:val="标题 2 Char"/>
    <w:basedOn w:val="17"/>
    <w:link w:val="5"/>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7"/>
    <w:autoRedefine/>
    <w:qFormat/>
    <w:uiPriority w:val="99"/>
    <w:rPr>
      <w:rFonts w:ascii="宋体" w:hAnsi="Times New Roman" w:eastAsia="宋体" w:cs="Times New Roman"/>
      <w:kern w:val="0"/>
      <w:sz w:val="34"/>
    </w:rPr>
  </w:style>
  <w:style w:type="character" w:customStyle="1" w:styleId="33">
    <w:name w:val="正文文本缩进 Char"/>
    <w:basedOn w:val="17"/>
    <w:link w:val="8"/>
    <w:autoRedefine/>
    <w:qFormat/>
    <w:uiPriority w:val="0"/>
    <w:rPr>
      <w:rFonts w:ascii="Times New Roman" w:hAnsi="Times New Roman" w:eastAsia="宋体" w:cs="Times New Roman"/>
      <w:sz w:val="32"/>
      <w:szCs w:val="20"/>
    </w:rPr>
  </w:style>
  <w:style w:type="character" w:customStyle="1" w:styleId="34">
    <w:name w:val="批注框文本 Char"/>
    <w:basedOn w:val="17"/>
    <w:link w:val="9"/>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6"/>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3"/>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8034</Words>
  <Characters>8218</Characters>
  <Lines>129</Lines>
  <Paragraphs>36</Paragraphs>
  <TotalTime>238</TotalTime>
  <ScaleCrop>false</ScaleCrop>
  <LinksUpToDate>false</LinksUpToDate>
  <CharactersWithSpaces>8630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2024-12-16T09:33:13Z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ABD4243711FC4EFEAAB2683CCD056AB5_13</vt:lpwstr>
  </property>
</Properties>
</file>