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350864514"/>
      <w:bookmarkStart w:id="1" w:name="_Toc193106174"/>
      <w:bookmarkStart w:id="2" w:name="_Toc193105917"/>
      <w:bookmarkStart w:id="3" w:name="_Toc193106063"/>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11</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14</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267E5354">
      <w:pPr>
        <w:spacing w:line="360" w:lineRule="auto"/>
        <w:jc w:val="center"/>
        <w:rPr>
          <w:rFonts w:hint="eastAsia" w:ascii="仿宋" w:hAnsi="仿宋" w:eastAsia="仿宋" w:cs="仿宋"/>
          <w:b/>
          <w:sz w:val="96"/>
          <w:highlight w:val="none"/>
          <w:lang w:eastAsia="zh-CN"/>
        </w:rPr>
      </w:pPr>
      <w:bookmarkStart w:id="4" w:name="OLE_LINK1"/>
      <w:r>
        <w:rPr>
          <w:rFonts w:hint="eastAsia" w:ascii="仿宋" w:hAnsi="仿宋" w:eastAsia="仿宋" w:cs="仿宋"/>
          <w:b/>
          <w:kern w:val="0"/>
          <w:sz w:val="40"/>
          <w:szCs w:val="40"/>
          <w:highlight w:val="none"/>
          <w:lang w:eastAsia="zh-CN"/>
        </w:rPr>
        <w:t>大竹县人民医院门诊排队叫号系统软硬件升级采购项目</w:t>
      </w:r>
      <w:bookmarkEnd w:id="4"/>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十二</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23</w:t>
      </w:r>
    </w:p>
    <w:p w14:paraId="13EDB8BB">
      <w:pPr>
        <w:pStyle w:val="4"/>
        <w:spacing w:line="360" w:lineRule="auto"/>
        <w:ind w:firstLine="0" w:firstLineChars="0"/>
        <w:rPr>
          <w:rFonts w:ascii="仿宋" w:hAnsi="仿宋" w:eastAsia="仿宋" w:cs="仿宋"/>
          <w:highlight w:val="none"/>
        </w:rPr>
      </w:pPr>
    </w:p>
    <w:p w14:paraId="7D6B54AB">
      <w:pPr>
        <w:pStyle w:val="4"/>
        <w:spacing w:line="360" w:lineRule="auto"/>
        <w:ind w:firstLine="0" w:firstLineChars="0"/>
        <w:rPr>
          <w:rFonts w:ascii="仿宋" w:hAnsi="仿宋" w:eastAsia="仿宋" w:cs="仿宋"/>
          <w:highlight w:val="none"/>
        </w:rPr>
      </w:pPr>
    </w:p>
    <w:p w14:paraId="6D1DC3F0">
      <w:pPr>
        <w:pStyle w:val="4"/>
        <w:spacing w:line="360" w:lineRule="auto"/>
        <w:ind w:firstLine="0" w:firstLineChars="0"/>
        <w:rPr>
          <w:rFonts w:ascii="仿宋" w:hAnsi="仿宋" w:eastAsia="仿宋" w:cs="仿宋"/>
          <w:highlight w:val="none"/>
        </w:rPr>
      </w:pPr>
    </w:p>
    <w:p w14:paraId="544BA546">
      <w:pPr>
        <w:pStyle w:val="4"/>
        <w:spacing w:line="360" w:lineRule="auto"/>
        <w:ind w:firstLine="0" w:firstLineChars="0"/>
        <w:rPr>
          <w:rFonts w:ascii="仿宋" w:hAnsi="仿宋" w:eastAsia="仿宋" w:cs="仿宋"/>
          <w:highlight w:val="none"/>
        </w:rPr>
      </w:pPr>
    </w:p>
    <w:p w14:paraId="6FCF00B1">
      <w:pPr>
        <w:pStyle w:val="4"/>
        <w:spacing w:line="360" w:lineRule="auto"/>
        <w:ind w:firstLine="0" w:firstLineChars="0"/>
        <w:rPr>
          <w:rFonts w:ascii="仿宋" w:hAnsi="仿宋" w:eastAsia="仿宋" w:cs="仿宋"/>
          <w:highlight w:val="none"/>
        </w:rPr>
      </w:pPr>
    </w:p>
    <w:p w14:paraId="71FEBBA2">
      <w:pPr>
        <w:pStyle w:val="4"/>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《大竹县人民医院常用办公文化用品采购项目》</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w:t>
      </w:r>
    </w:p>
    <w:p w14:paraId="2F54FAFF">
      <w:pPr>
        <w:pStyle w:val="35"/>
        <w:spacing w:line="360" w:lineRule="auto"/>
        <w:ind w:firstLine="562"/>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w:t>
      </w:r>
      <w:r>
        <w:rPr>
          <w:rFonts w:hint="eastAsia" w:ascii="仿宋" w:hAnsi="仿宋" w:eastAsia="仿宋" w:cs="仿宋"/>
          <w:sz w:val="28"/>
          <w:szCs w:val="28"/>
          <w:highlight w:val="none"/>
          <w:lang w:val="en-US" w:eastAsia="zh-CN"/>
        </w:rPr>
        <w:t>大竹县人民医院门诊排队叫号系统软硬件升级采购项目</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bookmarkStart w:id="25" w:name="_GoBack"/>
      <w:bookmarkEnd w:id="25"/>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12</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6</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5918"/>
      <w:bookmarkStart w:id="6" w:name="_Toc193106175"/>
      <w:bookmarkStart w:id="7" w:name="_Toc193106064"/>
      <w:bookmarkStart w:id="8" w:name="_Toc35086451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4CD8D221">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lang w:eastAsia="zh-CN"/>
              </w:rPr>
              <w:t>大竹县人民医院门诊排队叫号系统软硬件升级采购项目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color w:val="FF0000"/>
                <w:kern w:val="2"/>
                <w:sz w:val="28"/>
                <w:szCs w:val="28"/>
                <w:highlight w:val="none"/>
                <w:lang w:val="en-US" w:eastAsia="zh-CN" w:bidi="ar-SA"/>
              </w:rPr>
              <w:t>126530元（大写：壹拾贰万陆仟伍佰叁拾元）</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1.2其他</w:t>
      </w:r>
      <w:r>
        <w:rPr>
          <w:rFonts w:hint="eastAsia" w:ascii="仿宋" w:hAnsi="仿宋" w:eastAsia="仿宋" w:cs="仿宋"/>
          <w:sz w:val="28"/>
          <w:szCs w:val="28"/>
          <w:highlight w:val="none"/>
          <w:lang w:val="zh-CN"/>
        </w:rPr>
        <w:t>部分：供应商按照遴选文件要求做出的技术、</w:t>
      </w:r>
      <w:r>
        <w:rPr>
          <w:rFonts w:hint="eastAsia" w:ascii="仿宋" w:hAnsi="仿宋" w:eastAsia="仿宋" w:cs="仿宋"/>
          <w:sz w:val="28"/>
          <w:szCs w:val="28"/>
          <w:highlight w:val="none"/>
        </w:rPr>
        <w:t>服务、商务要求，</w:t>
      </w:r>
      <w:r>
        <w:rPr>
          <w:rFonts w:hint="eastAsia" w:ascii="仿宋" w:hAnsi="仿宋" w:eastAsia="仿宋" w:cs="仿宋"/>
          <w:sz w:val="28"/>
          <w:szCs w:val="28"/>
          <w:highlight w:val="none"/>
          <w:lang w:val="zh-CN"/>
        </w:rPr>
        <w:t>应答、</w:t>
      </w:r>
      <w:r>
        <w:rPr>
          <w:rFonts w:hint="eastAsia" w:ascii="仿宋" w:hAnsi="仿宋" w:eastAsia="仿宋" w:cs="仿宋"/>
          <w:sz w:val="28"/>
          <w:szCs w:val="28"/>
          <w:highlight w:val="none"/>
        </w:rPr>
        <w:t>承诺等</w:t>
      </w:r>
      <w:r>
        <w:rPr>
          <w:rFonts w:hint="eastAsia" w:ascii="仿宋" w:hAnsi="仿宋" w:eastAsia="仿宋" w:cs="仿宋"/>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8"/>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4"/>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5919"/>
      <w:bookmarkStart w:id="13" w:name="_Toc193106176"/>
      <w:bookmarkStart w:id="14" w:name="_Toc193106065"/>
      <w:bookmarkStart w:id="15" w:name="_Toc192318708"/>
      <w:bookmarkStart w:id="16" w:name="_Toc192318461"/>
      <w:bookmarkStart w:id="17" w:name="_Toc350864517"/>
      <w:bookmarkStart w:id="18" w:name="_Toc192318381"/>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00D20471">
      <w:pPr>
        <w:pStyle w:val="35"/>
        <w:spacing w:line="360" w:lineRule="auto"/>
        <w:ind w:firstLine="0" w:firstLineChars="0"/>
        <w:jc w:val="center"/>
        <w:rPr>
          <w:rFonts w:hint="eastAsia" w:ascii="仿宋" w:hAnsi="仿宋" w:eastAsia="仿宋" w:cs="仿宋"/>
          <w:b/>
          <w:kern w:val="0"/>
          <w:sz w:val="32"/>
          <w:szCs w:val="32"/>
          <w:highlight w:val="none"/>
          <w:lang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58786FE1">
      <w:pPr>
        <w:spacing w:line="360" w:lineRule="auto"/>
        <w:jc w:val="center"/>
        <w:rPr>
          <w:rFonts w:hint="eastAsia" w:ascii="仿宋" w:hAnsi="仿宋" w:eastAsia="仿宋" w:cs="仿宋"/>
          <w:b/>
          <w:bCs/>
          <w:kern w:val="2"/>
          <w:sz w:val="28"/>
          <w:szCs w:val="28"/>
          <w:lang w:val="en-US" w:eastAsia="zh-CN" w:bidi="ar-SA"/>
        </w:rPr>
      </w:pPr>
      <w:r>
        <w:rPr>
          <w:rFonts w:hint="eastAsia" w:ascii="仿宋" w:hAnsi="仿宋" w:eastAsia="仿宋" w:cs="仿宋"/>
          <w:b/>
          <w:kern w:val="0"/>
          <w:sz w:val="32"/>
          <w:szCs w:val="32"/>
          <w:highlight w:val="none"/>
          <w:lang w:eastAsia="zh-CN"/>
        </w:rPr>
        <w:t>大竹县人民医院门诊排队叫号系统软硬件升级院内自主采购项目</w:t>
      </w:r>
      <w:r>
        <w:rPr>
          <w:rFonts w:hint="eastAsia" w:ascii="仿宋" w:hAnsi="仿宋" w:eastAsia="仿宋" w:cs="仿宋"/>
          <w:b/>
          <w:kern w:val="0"/>
          <w:sz w:val="36"/>
          <w:szCs w:val="36"/>
          <w:highlight w:val="none"/>
          <w:lang w:eastAsia="zh-CN"/>
        </w:rPr>
        <w:t xml:space="preserve"> </w:t>
      </w:r>
    </w:p>
    <w:p w14:paraId="2E817548">
      <w:pPr>
        <w:spacing w:line="360" w:lineRule="auto"/>
        <w:jc w:val="both"/>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一、采购标的（技术要求）</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
        <w:gridCol w:w="743"/>
        <w:gridCol w:w="1160"/>
        <w:gridCol w:w="387"/>
        <w:gridCol w:w="6374"/>
        <w:gridCol w:w="701"/>
        <w:gridCol w:w="570"/>
        <w:gridCol w:w="12"/>
      </w:tblGrid>
      <w:tr w14:paraId="5FE3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7D0B85">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76"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32FC847">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项目内容</w:t>
            </w:r>
          </w:p>
        </w:tc>
        <w:tc>
          <w:tcPr>
            <w:tcW w:w="319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233943">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内容说明</w:t>
            </w:r>
          </w:p>
        </w:tc>
        <w:tc>
          <w:tcPr>
            <w:tcW w:w="35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158A7A4">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291"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24126D">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单位</w:t>
            </w:r>
          </w:p>
        </w:tc>
      </w:tr>
      <w:tr w14:paraId="6F2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A06A0A2">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76" w:type="pct"/>
            <w:gridSpan w:val="2"/>
            <w:tcBorders>
              <w:top w:val="single" w:color="auto" w:sz="4" w:space="0"/>
              <w:left w:val="single" w:color="auto" w:sz="4" w:space="0"/>
              <w:right w:val="single" w:color="auto" w:sz="4" w:space="0"/>
            </w:tcBorders>
            <w:vAlign w:val="center"/>
          </w:tcPr>
          <w:p w14:paraId="2B4D48EF">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分诊排队叫号系统</w:t>
            </w:r>
          </w:p>
        </w:tc>
        <w:tc>
          <w:tcPr>
            <w:tcW w:w="3199" w:type="pct"/>
            <w:tcBorders>
              <w:top w:val="single" w:color="auto" w:sz="4" w:space="0"/>
              <w:left w:val="single" w:color="auto" w:sz="4" w:space="0"/>
              <w:bottom w:val="single" w:color="auto" w:sz="4" w:space="0"/>
              <w:right w:val="single" w:color="auto" w:sz="4" w:space="0"/>
            </w:tcBorders>
            <w:vAlign w:val="center"/>
          </w:tcPr>
          <w:p w14:paraId="4EF3C9BF">
            <w:pPr>
              <w:spacing w:line="240" w:lineRule="auto"/>
              <w:rPr>
                <w:rFonts w:hint="eastAsia" w:ascii="仿宋" w:hAnsi="仿宋" w:eastAsia="仿宋" w:cs="仿宋"/>
                <w:sz w:val="28"/>
                <w:szCs w:val="28"/>
              </w:rPr>
            </w:pPr>
            <w:r>
              <w:rPr>
                <w:rFonts w:hint="eastAsia" w:ascii="仿宋" w:hAnsi="仿宋" w:eastAsia="仿宋" w:cs="仿宋"/>
                <w:sz w:val="28"/>
                <w:szCs w:val="28"/>
              </w:rPr>
              <w:t>平台包含医生工作站虚拟叫号系统、护士台分诊管理系统、分诊导引基础平台，对门诊综合科室、检验化验科室、医技检查科室、药房等场景进行智能排队叫号，对患者进行有效的分诊导引，优化就诊秩序，支持线上、自助机、窗口等全渠道号源获取。</w:t>
            </w:r>
          </w:p>
        </w:tc>
        <w:tc>
          <w:tcPr>
            <w:tcW w:w="352" w:type="pct"/>
            <w:tcBorders>
              <w:top w:val="single" w:color="auto" w:sz="4" w:space="0"/>
              <w:left w:val="single" w:color="auto" w:sz="4" w:space="0"/>
              <w:bottom w:val="single" w:color="auto" w:sz="4" w:space="0"/>
              <w:right w:val="single" w:color="auto" w:sz="4" w:space="0"/>
            </w:tcBorders>
            <w:vAlign w:val="center"/>
          </w:tcPr>
          <w:p w14:paraId="798F84D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11E73D5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套</w:t>
            </w:r>
          </w:p>
        </w:tc>
      </w:tr>
      <w:tr w14:paraId="3F4E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4A75452">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76" w:type="pct"/>
            <w:gridSpan w:val="2"/>
            <w:tcBorders>
              <w:top w:val="single" w:color="auto" w:sz="4" w:space="0"/>
              <w:left w:val="single" w:color="auto" w:sz="4" w:space="0"/>
              <w:right w:val="single" w:color="auto" w:sz="4" w:space="0"/>
            </w:tcBorders>
            <w:vAlign w:val="center"/>
          </w:tcPr>
          <w:p w14:paraId="125A8E75">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分诊设备管理平台</w:t>
            </w:r>
          </w:p>
        </w:tc>
        <w:tc>
          <w:tcPr>
            <w:tcW w:w="3199" w:type="pct"/>
            <w:tcBorders>
              <w:top w:val="single" w:color="auto" w:sz="4" w:space="0"/>
              <w:left w:val="single" w:color="auto" w:sz="4" w:space="0"/>
              <w:bottom w:val="single" w:color="auto" w:sz="4" w:space="0"/>
              <w:right w:val="single" w:color="auto" w:sz="4" w:space="0"/>
            </w:tcBorders>
            <w:vAlign w:val="center"/>
          </w:tcPr>
          <w:p w14:paraId="3717C89D">
            <w:pPr>
              <w:spacing w:line="240" w:lineRule="auto"/>
              <w:rPr>
                <w:rFonts w:hint="eastAsia" w:ascii="仿宋" w:hAnsi="仿宋" w:eastAsia="仿宋" w:cs="仿宋"/>
                <w:sz w:val="28"/>
                <w:szCs w:val="28"/>
              </w:rPr>
            </w:pPr>
            <w:r>
              <w:rPr>
                <w:rFonts w:hint="eastAsia" w:ascii="仿宋" w:hAnsi="仿宋" w:eastAsia="仿宋" w:cs="仿宋"/>
                <w:sz w:val="28"/>
                <w:szCs w:val="28"/>
              </w:rPr>
              <w:t>平台包含按诊区配置分诊大屏，分诊屏等终端设备的统一管理与配置。</w:t>
            </w:r>
          </w:p>
        </w:tc>
        <w:tc>
          <w:tcPr>
            <w:tcW w:w="352" w:type="pct"/>
            <w:tcBorders>
              <w:top w:val="single" w:color="auto" w:sz="4" w:space="0"/>
              <w:left w:val="single" w:color="auto" w:sz="4" w:space="0"/>
              <w:bottom w:val="single" w:color="auto" w:sz="4" w:space="0"/>
              <w:right w:val="single" w:color="auto" w:sz="4" w:space="0"/>
            </w:tcBorders>
            <w:vAlign w:val="center"/>
          </w:tcPr>
          <w:p w14:paraId="26780C06">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6672059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套</w:t>
            </w:r>
          </w:p>
        </w:tc>
      </w:tr>
      <w:tr w14:paraId="1C23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899907E">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776" w:type="pct"/>
            <w:gridSpan w:val="2"/>
            <w:tcBorders>
              <w:left w:val="single" w:color="auto" w:sz="4" w:space="0"/>
              <w:right w:val="single" w:color="auto" w:sz="4" w:space="0"/>
            </w:tcBorders>
            <w:vAlign w:val="center"/>
          </w:tcPr>
          <w:p w14:paraId="7649031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21.5寸分诊屏利旧改造</w:t>
            </w:r>
          </w:p>
        </w:tc>
        <w:tc>
          <w:tcPr>
            <w:tcW w:w="3199" w:type="pct"/>
            <w:tcBorders>
              <w:top w:val="single" w:color="auto" w:sz="4" w:space="0"/>
              <w:left w:val="single" w:color="auto" w:sz="4" w:space="0"/>
              <w:bottom w:val="single" w:color="auto" w:sz="4" w:space="0"/>
              <w:right w:val="single" w:color="auto" w:sz="4" w:space="0"/>
            </w:tcBorders>
            <w:vAlign w:val="center"/>
          </w:tcPr>
          <w:p w14:paraId="6A07A673">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医院原有分诊屏利旧，升级改造并进行系统调试，通过后可接入</w:t>
            </w:r>
            <w:r>
              <w:rPr>
                <w:rFonts w:hint="eastAsia" w:ascii="仿宋" w:hAnsi="仿宋" w:eastAsia="仿宋" w:cs="仿宋"/>
                <w:color w:val="000000" w:themeColor="text1"/>
                <w:sz w:val="28"/>
                <w:szCs w:val="28"/>
                <w14:textFill>
                  <w14:solidFill>
                    <w14:schemeClr w14:val="tx1"/>
                  </w14:solidFill>
                </w14:textFill>
              </w:rPr>
              <w:t>分诊排队叫号系统</w:t>
            </w:r>
            <w:r>
              <w:rPr>
                <w:rFonts w:hint="eastAsia" w:ascii="仿宋" w:hAnsi="仿宋" w:eastAsia="仿宋" w:cs="仿宋"/>
                <w:sz w:val="28"/>
                <w:szCs w:val="28"/>
              </w:rPr>
              <w:t>。</w:t>
            </w:r>
          </w:p>
        </w:tc>
        <w:tc>
          <w:tcPr>
            <w:tcW w:w="352" w:type="pct"/>
            <w:tcBorders>
              <w:top w:val="single" w:color="auto" w:sz="4" w:space="0"/>
              <w:left w:val="single" w:color="auto" w:sz="4" w:space="0"/>
              <w:bottom w:val="single" w:color="auto" w:sz="4" w:space="0"/>
              <w:right w:val="single" w:color="auto" w:sz="4" w:space="0"/>
            </w:tcBorders>
            <w:vAlign w:val="center"/>
          </w:tcPr>
          <w:p w14:paraId="42896C9C">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2D18668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61F9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07AF3606">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76" w:type="pct"/>
            <w:gridSpan w:val="2"/>
            <w:tcBorders>
              <w:left w:val="single" w:color="auto" w:sz="4" w:space="0"/>
              <w:bottom w:val="single" w:color="auto" w:sz="4" w:space="0"/>
              <w:right w:val="single" w:color="auto" w:sz="4" w:space="0"/>
            </w:tcBorders>
            <w:vAlign w:val="center"/>
          </w:tcPr>
          <w:p w14:paraId="67B828F8">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分诊大屏利旧改造</w:t>
            </w:r>
          </w:p>
        </w:tc>
        <w:tc>
          <w:tcPr>
            <w:tcW w:w="3199" w:type="pct"/>
            <w:tcBorders>
              <w:top w:val="single" w:color="auto" w:sz="4" w:space="0"/>
              <w:left w:val="single" w:color="auto" w:sz="4" w:space="0"/>
              <w:bottom w:val="single" w:color="auto" w:sz="4" w:space="0"/>
              <w:right w:val="single" w:color="auto" w:sz="4" w:space="0"/>
            </w:tcBorders>
            <w:vAlign w:val="center"/>
          </w:tcPr>
          <w:p w14:paraId="1F08930E">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医院原有显示大屏利旧，升级改造并进行系统调试，通过后可接入</w:t>
            </w:r>
            <w:r>
              <w:rPr>
                <w:rFonts w:hint="eastAsia" w:ascii="仿宋" w:hAnsi="仿宋" w:eastAsia="仿宋" w:cs="仿宋"/>
                <w:color w:val="000000" w:themeColor="text1"/>
                <w:sz w:val="28"/>
                <w:szCs w:val="28"/>
                <w14:textFill>
                  <w14:solidFill>
                    <w14:schemeClr w14:val="tx1"/>
                  </w14:solidFill>
                </w14:textFill>
              </w:rPr>
              <w:t>分诊排队叫号系统</w:t>
            </w:r>
            <w:r>
              <w:rPr>
                <w:rFonts w:hint="eastAsia" w:ascii="仿宋" w:hAnsi="仿宋" w:eastAsia="仿宋" w:cs="仿宋"/>
                <w:sz w:val="28"/>
                <w:szCs w:val="28"/>
              </w:rPr>
              <w:t>。</w:t>
            </w:r>
          </w:p>
        </w:tc>
        <w:tc>
          <w:tcPr>
            <w:tcW w:w="352" w:type="pct"/>
            <w:tcBorders>
              <w:top w:val="single" w:color="auto" w:sz="4" w:space="0"/>
              <w:left w:val="single" w:color="auto" w:sz="4" w:space="0"/>
              <w:bottom w:val="single" w:color="auto" w:sz="4" w:space="0"/>
              <w:right w:val="single" w:color="auto" w:sz="4" w:space="0"/>
            </w:tcBorders>
            <w:vAlign w:val="center"/>
          </w:tcPr>
          <w:p w14:paraId="26FE3536">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014C2A25">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5A97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9ABA1E0">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5</w:t>
            </w:r>
          </w:p>
        </w:tc>
        <w:tc>
          <w:tcPr>
            <w:tcW w:w="776" w:type="pct"/>
            <w:gridSpan w:val="2"/>
            <w:tcBorders>
              <w:left w:val="single" w:color="auto" w:sz="4" w:space="0"/>
              <w:bottom w:val="single" w:color="auto" w:sz="4" w:space="0"/>
              <w:right w:val="single" w:color="auto" w:sz="4" w:space="0"/>
            </w:tcBorders>
          </w:tcPr>
          <w:p w14:paraId="086DE4D9">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电源适配器</w:t>
            </w:r>
          </w:p>
        </w:tc>
        <w:tc>
          <w:tcPr>
            <w:tcW w:w="3199" w:type="pct"/>
            <w:tcBorders>
              <w:top w:val="single" w:color="auto" w:sz="4" w:space="0"/>
              <w:left w:val="single" w:color="auto" w:sz="4" w:space="0"/>
              <w:bottom w:val="single" w:color="auto" w:sz="4" w:space="0"/>
              <w:right w:val="single" w:color="auto" w:sz="4" w:space="0"/>
            </w:tcBorders>
            <w:vAlign w:val="center"/>
          </w:tcPr>
          <w:p w14:paraId="7AF0FD78">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52" w:type="pct"/>
            <w:tcBorders>
              <w:top w:val="single" w:color="auto" w:sz="4" w:space="0"/>
              <w:left w:val="single" w:color="auto" w:sz="4" w:space="0"/>
              <w:bottom w:val="single" w:color="auto" w:sz="4" w:space="0"/>
              <w:right w:val="single" w:color="auto" w:sz="4" w:space="0"/>
            </w:tcBorders>
            <w:vAlign w:val="center"/>
          </w:tcPr>
          <w:p w14:paraId="0A38DDFB">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42A8A38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件</w:t>
            </w:r>
          </w:p>
        </w:tc>
      </w:tr>
      <w:tr w14:paraId="72C5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740C9121">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6</w:t>
            </w:r>
          </w:p>
        </w:tc>
        <w:tc>
          <w:tcPr>
            <w:tcW w:w="776" w:type="pct"/>
            <w:gridSpan w:val="2"/>
            <w:tcBorders>
              <w:left w:val="single" w:color="auto" w:sz="4" w:space="0"/>
              <w:right w:val="single" w:color="auto" w:sz="4" w:space="0"/>
            </w:tcBorders>
          </w:tcPr>
          <w:p w14:paraId="21289EAB">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主板转接线</w:t>
            </w:r>
          </w:p>
        </w:tc>
        <w:tc>
          <w:tcPr>
            <w:tcW w:w="3199" w:type="pct"/>
            <w:tcBorders>
              <w:top w:val="single" w:color="auto" w:sz="4" w:space="0"/>
              <w:left w:val="single" w:color="auto" w:sz="4" w:space="0"/>
              <w:bottom w:val="single" w:color="auto" w:sz="4" w:space="0"/>
              <w:right w:val="single" w:color="auto" w:sz="4" w:space="0"/>
            </w:tcBorders>
            <w:vAlign w:val="center"/>
          </w:tcPr>
          <w:p w14:paraId="2E5BCD6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52" w:type="pct"/>
            <w:tcBorders>
              <w:top w:val="single" w:color="auto" w:sz="4" w:space="0"/>
              <w:left w:val="single" w:color="auto" w:sz="4" w:space="0"/>
              <w:bottom w:val="single" w:color="auto" w:sz="4" w:space="0"/>
              <w:right w:val="single" w:color="auto" w:sz="4" w:space="0"/>
            </w:tcBorders>
            <w:vAlign w:val="center"/>
          </w:tcPr>
          <w:p w14:paraId="12E2D21D">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22A36E24">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条</w:t>
            </w:r>
          </w:p>
        </w:tc>
      </w:tr>
      <w:tr w14:paraId="65BD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E6CB14A">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系统软件</w:t>
            </w:r>
          </w:p>
        </w:tc>
        <w:tc>
          <w:tcPr>
            <w:tcW w:w="4031" w:type="pct"/>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DA45AA">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功能要求</w:t>
            </w:r>
          </w:p>
        </w:tc>
      </w:tr>
      <w:tr w14:paraId="515D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right w:val="single" w:color="auto" w:sz="4" w:space="0"/>
            </w:tcBorders>
            <w:vAlign w:val="center"/>
          </w:tcPr>
          <w:p w14:paraId="0D8AC378">
            <w:pPr>
              <w:spacing w:before="0" w:after="0"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分诊排队叫号系统</w:t>
            </w:r>
          </w:p>
        </w:tc>
        <w:tc>
          <w:tcPr>
            <w:tcW w:w="4031" w:type="pct"/>
            <w:gridSpan w:val="4"/>
            <w:tcBorders>
              <w:top w:val="single" w:color="auto" w:sz="4" w:space="0"/>
              <w:left w:val="single" w:color="auto" w:sz="4" w:space="0"/>
              <w:bottom w:val="single" w:color="auto" w:sz="4" w:space="0"/>
              <w:right w:val="single" w:color="auto" w:sz="4" w:space="0"/>
            </w:tcBorders>
            <w:vAlign w:val="center"/>
          </w:tcPr>
          <w:p w14:paraId="1F798ED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包含医生工作站虚拟叫号系统、护士台分诊管理系统、分诊导引基础平台。</w:t>
            </w:r>
          </w:p>
          <w:p w14:paraId="15698315">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对门诊综合科室、检验化验科室、医技检查科室、药房等场景进行智能排队叫号，对患者进行有效的分诊导引，优化就诊秩序。</w:t>
            </w:r>
          </w:p>
          <w:p w14:paraId="0BD68038">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支持线上、自助机、窗口等全渠道号源获取。</w:t>
            </w:r>
          </w:p>
          <w:p w14:paraId="3F0191A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1.分诊导引基础平台：</w:t>
            </w:r>
          </w:p>
          <w:p w14:paraId="3A3E6F9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1）诊区诊室管理</w:t>
            </w:r>
          </w:p>
          <w:p w14:paraId="084ADFBA">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诊区管理：添加删除诊区。</w:t>
            </w:r>
          </w:p>
          <w:p w14:paraId="3B759213">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诊室管理：在诊区下配置诊室信息。</w:t>
            </w:r>
          </w:p>
          <w:p w14:paraId="2871C2E3">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2）队列管理</w:t>
            </w:r>
          </w:p>
          <w:p w14:paraId="2F4E4C18">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队列所属诊区管理：对不同诊区配置相应的队列。</w:t>
            </w:r>
          </w:p>
          <w:p w14:paraId="69C9EF1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队列参数配置：配置队列属性，包括叫号规则、人员优先级等属性。</w:t>
            </w:r>
          </w:p>
          <w:p w14:paraId="02E60BF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3）数据统计</w:t>
            </w:r>
          </w:p>
          <w:p w14:paraId="4E64D412">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提供患者挂号信息、患者就诊/复诊信息的查询功能以及按科室、诊室、医生为口径的统计分析功能。</w:t>
            </w:r>
          </w:p>
          <w:p w14:paraId="0D28A73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2.医生工作站虚拟叫号系统（根据不同场景适配相应的功能）：</w:t>
            </w:r>
          </w:p>
          <w:p w14:paraId="6BA47A7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1）登录登出</w:t>
            </w:r>
          </w:p>
          <w:p w14:paraId="1FFB26FC">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登录：医生通过输入工号和密码登录叫号软件</w:t>
            </w:r>
          </w:p>
          <w:p w14:paraId="01135FDA">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登出：医生退出虚拟叫号软件</w:t>
            </w:r>
          </w:p>
          <w:p w14:paraId="5F50DA8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2）门诊叫号</w:t>
            </w:r>
          </w:p>
          <w:p w14:paraId="3BDD4172">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顺呼：医生按队列顺序呼叫下一位患者</w:t>
            </w:r>
          </w:p>
          <w:p w14:paraId="322478C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选呼：医生选择队列中某一位患者进行呼叫</w:t>
            </w:r>
          </w:p>
          <w:p w14:paraId="3C3A0CE9">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过号：医生对未及时就诊患者进行过号操作</w:t>
            </w:r>
          </w:p>
          <w:p w14:paraId="1A0E1D57">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转诊：医生对患者执行转诊操作</w:t>
            </w:r>
          </w:p>
          <w:p w14:paraId="2A884C2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3）药房叫号</w:t>
            </w:r>
          </w:p>
          <w:p w14:paraId="49DE3AD3">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叫号：药房叫号系统从医院的系统读取已付费病人的号码，把它们自动分配到各个取药窗口，通过叫号系统并在显示屏上显示出来；</w:t>
            </w:r>
          </w:p>
          <w:p w14:paraId="6D83958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4）功能科室叫号</w:t>
            </w:r>
          </w:p>
          <w:p w14:paraId="6C0B626F">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叫号：功能科室叫号一般包括CT室，化验室，病理，心电图，B超，内镜检查等。</w:t>
            </w:r>
          </w:p>
          <w:p w14:paraId="0BCC1DCF">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5）队列</w:t>
            </w:r>
          </w:p>
          <w:p w14:paraId="30A04DD1">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等待就诊信息：显示当前正在等候的患者排队信息。</w:t>
            </w:r>
          </w:p>
          <w:p w14:paraId="10D60692">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3.护士台分诊管理系统</w:t>
            </w:r>
          </w:p>
          <w:p w14:paraId="7DC6D8F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1）队列管理</w:t>
            </w:r>
          </w:p>
          <w:p w14:paraId="507F6CD4">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队列监控：显示本诊区每个科室的排队患者信息及次序</w:t>
            </w:r>
          </w:p>
          <w:p w14:paraId="437ED1DD">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暂停队列：对某科室队列设置停诊状态</w:t>
            </w:r>
          </w:p>
          <w:p w14:paraId="7345E4BF">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诊区转移：对某科室队列中的患者转移至其他队列</w:t>
            </w:r>
          </w:p>
          <w:p w14:paraId="5B656EF1">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队列设置：可设置本诊区队列属性，医生工号，医生属性，优先级设置，呼叫器设置，显示器设置，语音设置。</w:t>
            </w:r>
          </w:p>
          <w:p w14:paraId="5D5E019E">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2）患者操作</w:t>
            </w:r>
          </w:p>
          <w:p w14:paraId="7A710414">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患者签到：根据患者需求将患者安排到患者指定的医生队列中</w:t>
            </w:r>
          </w:p>
          <w:p w14:paraId="5CB672DE">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复诊处理：将做完检查或其他项目后的患者安排到原来就诊的医生队列中</w:t>
            </w:r>
          </w:p>
          <w:p w14:paraId="5E619560">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特殊病人优先：针对老年人，残疾人等特殊病人可安排提前数位优先就诊</w:t>
            </w:r>
          </w:p>
          <w:p w14:paraId="60AC5ED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过号重排：对过号患者前来就诊时，将患者按过号规则重新加入队列中</w:t>
            </w:r>
          </w:p>
          <w:p w14:paraId="4FBF253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病人转移：对需要换科室的病人进行转移队列</w:t>
            </w:r>
          </w:p>
          <w:p w14:paraId="730370EA">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3）数据统计</w:t>
            </w:r>
          </w:p>
          <w:p w14:paraId="660FBB37">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就诊人数统计：可统计当前诊区各诊室的诊治人数，平均就诊时间等。</w:t>
            </w:r>
          </w:p>
        </w:tc>
      </w:tr>
      <w:tr w14:paraId="6C87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bottom w:val="single" w:color="auto" w:sz="4" w:space="0"/>
              <w:right w:val="single" w:color="auto" w:sz="4" w:space="0"/>
            </w:tcBorders>
            <w:vAlign w:val="center"/>
          </w:tcPr>
          <w:p w14:paraId="0CB6C878">
            <w:pPr>
              <w:spacing w:before="0" w:after="0"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分诊设备管理平台</w:t>
            </w:r>
          </w:p>
        </w:tc>
        <w:tc>
          <w:tcPr>
            <w:tcW w:w="4031" w:type="pct"/>
            <w:gridSpan w:val="4"/>
            <w:tcBorders>
              <w:top w:val="single" w:color="auto" w:sz="4" w:space="0"/>
              <w:left w:val="single" w:color="auto" w:sz="4" w:space="0"/>
              <w:bottom w:val="single" w:color="auto" w:sz="4" w:space="0"/>
              <w:right w:val="single" w:color="auto" w:sz="4" w:space="0"/>
            </w:tcBorders>
            <w:vAlign w:val="center"/>
          </w:tcPr>
          <w:p w14:paraId="5B356AD9">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平台包含按诊区配置分诊大屏，分诊屏等终端设备的统一管理与配置。</w:t>
            </w:r>
          </w:p>
          <w:p w14:paraId="2B50FD12">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1.终端设置管理：平台具备高度灵活的终端配置功能，能够根据不同诊区的具体需求，配置分诊大屏、分诊屏等各类终端设备的详细信息。确保管理员能获得直观、清晰的信息。</w:t>
            </w:r>
          </w:p>
          <w:p w14:paraId="5D096724">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终端监控管理：为了保障平台运行的高效与稳定，系统集成了全面的终端监控管理模块。该模块不仅涵盖了医生工作站、护士服务台、自助服务终端等关键设备的远程管理，还支持实时监控设备状态、自动报警与故障诊断，确保任何异常情况都能被迅速响应并处理。此外，管理员可通过此模块轻松进行设备显示模板的个性化设置，以及语音播报内容的调整，以满足不同场景下的信息传达需求，提升患者就医体验。</w:t>
            </w:r>
          </w:p>
          <w:p w14:paraId="4CC6B47B">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3.显示设置管理：可根据实际需要，自由配置分诊大屏和分诊屏的显示模板，包括色彩搭配、字体大小、布局结构等，确保信息显示既美观又易于理解。</w:t>
            </w:r>
          </w:p>
        </w:tc>
      </w:tr>
      <w:tr w14:paraId="2C41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1087" w:hRule="atLeast"/>
          <w:jc w:val="center"/>
        </w:trPr>
        <w:tc>
          <w:tcPr>
            <w:tcW w:w="4986" w:type="pct"/>
            <w:gridSpan w:val="6"/>
            <w:tcBorders>
              <w:top w:val="single" w:color="auto" w:sz="4" w:space="0"/>
              <w:left w:val="single" w:color="auto" w:sz="4" w:space="0"/>
              <w:right w:val="single" w:color="auto" w:sz="4" w:space="0"/>
            </w:tcBorders>
            <w:vAlign w:val="center"/>
          </w:tcPr>
          <w:p w14:paraId="35A8EAB6">
            <w:pPr>
              <w:spacing w:before="0" w:after="0" w:line="240" w:lineRule="auto"/>
              <w:jc w:val="center"/>
              <w:rPr>
                <w:rFonts w:hint="eastAsia" w:ascii="仿宋" w:hAnsi="仿宋" w:eastAsia="仿宋" w:cs="仿宋"/>
                <w:sz w:val="28"/>
                <w:szCs w:val="28"/>
              </w:rPr>
            </w:pPr>
            <w:r>
              <w:rPr>
                <w:rFonts w:hint="eastAsia" w:ascii="仿宋" w:hAnsi="仿宋" w:eastAsia="仿宋" w:cs="仿宋"/>
                <w:b/>
                <w:bCs/>
                <w:color w:val="000000" w:themeColor="text1"/>
                <w:sz w:val="28"/>
                <w:szCs w:val="28"/>
                <w:u w:val="single"/>
                <w:lang w:val="en-US" w:eastAsia="zh-CN"/>
                <w14:textFill>
                  <w14:solidFill>
                    <w14:schemeClr w14:val="tx1"/>
                  </w14:solidFill>
                </w14:textFill>
              </w:rPr>
              <w:t>备注：</w:t>
            </w:r>
            <w:r>
              <w:rPr>
                <w:rFonts w:hint="eastAsia" w:ascii="仿宋" w:hAnsi="仿宋" w:eastAsia="仿宋" w:cs="仿宋"/>
                <w:b/>
                <w:bCs/>
                <w:color w:val="000000" w:themeColor="text1"/>
                <w:sz w:val="28"/>
                <w:szCs w:val="28"/>
                <w:u w:val="single"/>
                <w14:textFill>
                  <w14:solidFill>
                    <w14:schemeClr w14:val="tx1"/>
                  </w14:solidFill>
                </w14:textFill>
              </w:rPr>
              <w:t>上述系统与医院HIS系统、公众号、支付宝以及院内自助终端等系统对接所需接口费由</w:t>
            </w:r>
            <w:r>
              <w:rPr>
                <w:rFonts w:hint="eastAsia" w:ascii="仿宋" w:hAnsi="仿宋" w:eastAsia="仿宋" w:cs="仿宋"/>
                <w:b/>
                <w:bCs/>
                <w:color w:val="000000" w:themeColor="text1"/>
                <w:sz w:val="28"/>
                <w:szCs w:val="28"/>
                <w:u w:val="single"/>
                <w:lang w:eastAsia="zh-CN"/>
                <w14:textFill>
                  <w14:solidFill>
                    <w14:schemeClr w14:val="tx1"/>
                  </w14:solidFill>
                </w14:textFill>
              </w:rPr>
              <w:t>成交供应商</w:t>
            </w:r>
            <w:r>
              <w:rPr>
                <w:rFonts w:hint="eastAsia" w:ascii="仿宋" w:hAnsi="仿宋" w:eastAsia="仿宋" w:cs="仿宋"/>
                <w:b/>
                <w:bCs/>
                <w:color w:val="000000" w:themeColor="text1"/>
                <w:sz w:val="28"/>
                <w:szCs w:val="28"/>
                <w:u w:val="single"/>
                <w14:textFill>
                  <w14:solidFill>
                    <w14:schemeClr w14:val="tx1"/>
                  </w14:solidFill>
                </w14:textFill>
              </w:rPr>
              <w:t>承担。</w:t>
            </w:r>
          </w:p>
        </w:tc>
      </w:tr>
    </w:tbl>
    <w:p w14:paraId="572DC46C">
      <w:pPr>
        <w:rPr>
          <w:rFonts w:hint="eastAsia" w:ascii="仿宋" w:hAnsi="仿宋" w:eastAsia="仿宋" w:cs="仿宋"/>
          <w:sz w:val="28"/>
          <w:szCs w:val="28"/>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5980"/>
        <w:gridCol w:w="779"/>
        <w:gridCol w:w="648"/>
      </w:tblGrid>
      <w:tr w14:paraId="1296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4"/>
            <w:tcBorders>
              <w:left w:val="single" w:color="auto" w:sz="4" w:space="0"/>
              <w:right w:val="single" w:color="auto" w:sz="4" w:space="0"/>
            </w:tcBorders>
            <w:vAlign w:val="center"/>
          </w:tcPr>
          <w:p w14:paraId="20EF2CC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2.硬件升级改造技术参数</w:t>
            </w:r>
            <w:r>
              <w:rPr>
                <w:rFonts w:hint="eastAsia" w:ascii="仿宋" w:hAnsi="仿宋" w:eastAsia="仿宋" w:cs="仿宋"/>
                <w:b/>
                <w:bCs/>
                <w:color w:val="auto"/>
                <w:sz w:val="28"/>
                <w:szCs w:val="28"/>
              </w:rPr>
              <w:t>（可优于此要求，不得低于此要求）</w:t>
            </w:r>
          </w:p>
        </w:tc>
      </w:tr>
      <w:tr w14:paraId="0A72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right w:val="single" w:color="auto" w:sz="4" w:space="0"/>
            </w:tcBorders>
            <w:vAlign w:val="center"/>
          </w:tcPr>
          <w:p w14:paraId="308316EA">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21.5寸分诊屏利旧改造</w:t>
            </w:r>
          </w:p>
        </w:tc>
        <w:tc>
          <w:tcPr>
            <w:tcW w:w="3001" w:type="pct"/>
            <w:tcBorders>
              <w:top w:val="single" w:color="auto" w:sz="4" w:space="0"/>
              <w:left w:val="single" w:color="auto" w:sz="4" w:space="0"/>
              <w:bottom w:val="single" w:color="auto" w:sz="4" w:space="0"/>
              <w:right w:val="single" w:color="auto" w:sz="4" w:space="0"/>
            </w:tcBorders>
            <w:vAlign w:val="center"/>
          </w:tcPr>
          <w:p w14:paraId="3012DC1C">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升级改造处理器配置：</w:t>
            </w:r>
          </w:p>
          <w:p w14:paraId="5E92F47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CPU：≥四核Cortex-A17 主频≥2.2GHz + GPU: Mali-T764，内存：≥2G ，存储容量：≥16G。</w:t>
            </w:r>
          </w:p>
          <w:p w14:paraId="46BA42D7">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升级改造并进行系统调试，通过后可接入分诊排队叫号系统。</w:t>
            </w:r>
          </w:p>
        </w:tc>
        <w:tc>
          <w:tcPr>
            <w:tcW w:w="391" w:type="pct"/>
            <w:tcBorders>
              <w:top w:val="single" w:color="auto" w:sz="4" w:space="0"/>
              <w:left w:val="single" w:color="auto" w:sz="4" w:space="0"/>
              <w:bottom w:val="single" w:color="auto" w:sz="4" w:space="0"/>
              <w:right w:val="single" w:color="auto" w:sz="4" w:space="0"/>
            </w:tcBorders>
            <w:vAlign w:val="center"/>
          </w:tcPr>
          <w:p w14:paraId="72A30D5E">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w:t>
            </w:r>
          </w:p>
        </w:tc>
        <w:tc>
          <w:tcPr>
            <w:tcW w:w="323" w:type="pct"/>
            <w:tcBorders>
              <w:top w:val="single" w:color="auto" w:sz="4" w:space="0"/>
              <w:left w:val="single" w:color="auto" w:sz="4" w:space="0"/>
              <w:bottom w:val="single" w:color="auto" w:sz="4" w:space="0"/>
              <w:right w:val="single" w:color="auto" w:sz="4" w:space="0"/>
            </w:tcBorders>
            <w:vAlign w:val="center"/>
          </w:tcPr>
          <w:p w14:paraId="7444B220">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412D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bottom w:val="single" w:color="auto" w:sz="4" w:space="0"/>
              <w:right w:val="single" w:color="auto" w:sz="4" w:space="0"/>
            </w:tcBorders>
            <w:vAlign w:val="center"/>
          </w:tcPr>
          <w:p w14:paraId="63D45B1F">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分诊大屏利旧改造</w:t>
            </w:r>
          </w:p>
        </w:tc>
        <w:tc>
          <w:tcPr>
            <w:tcW w:w="3001" w:type="pct"/>
            <w:tcBorders>
              <w:top w:val="single" w:color="auto" w:sz="4" w:space="0"/>
              <w:left w:val="single" w:color="auto" w:sz="4" w:space="0"/>
              <w:bottom w:val="single" w:color="auto" w:sz="4" w:space="0"/>
              <w:right w:val="single" w:color="auto" w:sz="4" w:space="0"/>
            </w:tcBorders>
            <w:vAlign w:val="center"/>
          </w:tcPr>
          <w:p w14:paraId="64B8B30A">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升级改造处理器配置：</w:t>
            </w:r>
          </w:p>
          <w:p w14:paraId="1CB96D5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CPU：≥四核Cortex-A17 主频≥2.2GHz + GPU: Mali-T764，内存：≥2G ，存储容量：≥16G。</w:t>
            </w:r>
          </w:p>
          <w:p w14:paraId="10A53D63">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升级改造并进行系统调试，通过后可接入分诊排队叫号系统。</w:t>
            </w:r>
          </w:p>
        </w:tc>
        <w:tc>
          <w:tcPr>
            <w:tcW w:w="391" w:type="pct"/>
            <w:tcBorders>
              <w:top w:val="single" w:color="auto" w:sz="4" w:space="0"/>
              <w:left w:val="single" w:color="auto" w:sz="4" w:space="0"/>
              <w:bottom w:val="single" w:color="auto" w:sz="4" w:space="0"/>
              <w:right w:val="single" w:color="auto" w:sz="4" w:space="0"/>
            </w:tcBorders>
            <w:vAlign w:val="center"/>
          </w:tcPr>
          <w:p w14:paraId="2E30C613">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w:t>
            </w:r>
          </w:p>
        </w:tc>
        <w:tc>
          <w:tcPr>
            <w:tcW w:w="323" w:type="pct"/>
            <w:tcBorders>
              <w:top w:val="single" w:color="auto" w:sz="4" w:space="0"/>
              <w:left w:val="single" w:color="auto" w:sz="4" w:space="0"/>
              <w:bottom w:val="single" w:color="auto" w:sz="4" w:space="0"/>
              <w:right w:val="single" w:color="auto" w:sz="4" w:space="0"/>
            </w:tcBorders>
            <w:vAlign w:val="center"/>
          </w:tcPr>
          <w:p w14:paraId="202B88D7">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4E8A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bottom w:val="single" w:color="auto" w:sz="4" w:space="0"/>
              <w:right w:val="single" w:color="auto" w:sz="4" w:space="0"/>
            </w:tcBorders>
          </w:tcPr>
          <w:p w14:paraId="07C614F0">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电源适配器</w:t>
            </w:r>
          </w:p>
        </w:tc>
        <w:tc>
          <w:tcPr>
            <w:tcW w:w="3001" w:type="pct"/>
            <w:tcBorders>
              <w:top w:val="single" w:color="auto" w:sz="4" w:space="0"/>
              <w:left w:val="single" w:color="auto" w:sz="4" w:space="0"/>
              <w:bottom w:val="single" w:color="auto" w:sz="4" w:space="0"/>
              <w:right w:val="single" w:color="auto" w:sz="4" w:space="0"/>
            </w:tcBorders>
            <w:vAlign w:val="center"/>
          </w:tcPr>
          <w:p w14:paraId="551DDEA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91" w:type="pct"/>
            <w:tcBorders>
              <w:top w:val="single" w:color="auto" w:sz="4" w:space="0"/>
              <w:left w:val="single" w:color="auto" w:sz="4" w:space="0"/>
              <w:bottom w:val="single" w:color="auto" w:sz="4" w:space="0"/>
              <w:right w:val="single" w:color="auto" w:sz="4" w:space="0"/>
            </w:tcBorders>
            <w:vAlign w:val="center"/>
          </w:tcPr>
          <w:p w14:paraId="75F29D1A">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w:t>
            </w:r>
          </w:p>
        </w:tc>
        <w:tc>
          <w:tcPr>
            <w:tcW w:w="323" w:type="pct"/>
            <w:tcBorders>
              <w:top w:val="single" w:color="auto" w:sz="4" w:space="0"/>
              <w:left w:val="single" w:color="auto" w:sz="4" w:space="0"/>
              <w:bottom w:val="single" w:color="auto" w:sz="4" w:space="0"/>
              <w:right w:val="single" w:color="auto" w:sz="4" w:space="0"/>
            </w:tcBorders>
            <w:vAlign w:val="center"/>
          </w:tcPr>
          <w:p w14:paraId="7781EDBF">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件</w:t>
            </w:r>
          </w:p>
        </w:tc>
      </w:tr>
      <w:tr w14:paraId="37B9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right w:val="single" w:color="auto" w:sz="4" w:space="0"/>
            </w:tcBorders>
          </w:tcPr>
          <w:p w14:paraId="38996478">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主板转接线</w:t>
            </w:r>
          </w:p>
        </w:tc>
        <w:tc>
          <w:tcPr>
            <w:tcW w:w="3001" w:type="pct"/>
            <w:tcBorders>
              <w:top w:val="single" w:color="auto" w:sz="4" w:space="0"/>
              <w:left w:val="single" w:color="auto" w:sz="4" w:space="0"/>
              <w:bottom w:val="single" w:color="auto" w:sz="4" w:space="0"/>
              <w:right w:val="single" w:color="auto" w:sz="4" w:space="0"/>
            </w:tcBorders>
            <w:vAlign w:val="center"/>
          </w:tcPr>
          <w:p w14:paraId="6FB01C2B">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91" w:type="pct"/>
            <w:tcBorders>
              <w:top w:val="single" w:color="auto" w:sz="4" w:space="0"/>
              <w:left w:val="single" w:color="auto" w:sz="4" w:space="0"/>
              <w:bottom w:val="single" w:color="auto" w:sz="4" w:space="0"/>
              <w:right w:val="single" w:color="auto" w:sz="4" w:space="0"/>
            </w:tcBorders>
            <w:vAlign w:val="center"/>
          </w:tcPr>
          <w:p w14:paraId="52358FE3">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w:t>
            </w:r>
          </w:p>
        </w:tc>
        <w:tc>
          <w:tcPr>
            <w:tcW w:w="323" w:type="pct"/>
            <w:tcBorders>
              <w:top w:val="single" w:color="auto" w:sz="4" w:space="0"/>
              <w:left w:val="single" w:color="auto" w:sz="4" w:space="0"/>
              <w:bottom w:val="single" w:color="auto" w:sz="4" w:space="0"/>
              <w:right w:val="single" w:color="auto" w:sz="4" w:space="0"/>
            </w:tcBorders>
            <w:vAlign w:val="center"/>
          </w:tcPr>
          <w:p w14:paraId="6BDDD174">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条</w:t>
            </w:r>
          </w:p>
        </w:tc>
      </w:tr>
    </w:tbl>
    <w:p w14:paraId="1EA390DF">
      <w:pPr>
        <w:widowControl/>
        <w:spacing w:before="0" w:after="0" w:line="240" w:lineRule="auto"/>
        <w:jc w:val="left"/>
        <w:rPr>
          <w:rFonts w:hint="eastAsia" w:ascii="仿宋" w:hAnsi="仿宋" w:eastAsia="仿宋" w:cs="仿宋"/>
          <w:b/>
          <w:bCs/>
          <w:sz w:val="28"/>
          <w:szCs w:val="28"/>
          <w:lang w:val="zh-CN"/>
        </w:rPr>
      </w:pPr>
    </w:p>
    <w:p w14:paraId="5F0CE5A6">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kern w:val="2"/>
          <w:sz w:val="28"/>
          <w:szCs w:val="28"/>
          <w:lang w:val="zh-CN" w:eastAsia="zh-CN" w:bidi="ar-SA"/>
        </w:rPr>
        <w:t>售后服务要求</w:t>
      </w:r>
      <w:r>
        <w:rPr>
          <w:rFonts w:hint="eastAsia" w:ascii="仿宋" w:hAnsi="仿宋" w:eastAsia="仿宋" w:cs="仿宋"/>
          <w:b/>
          <w:bCs/>
          <w:kern w:val="2"/>
          <w:sz w:val="28"/>
          <w:szCs w:val="28"/>
          <w:lang w:val="en-US" w:eastAsia="zh-CN" w:bidi="ar-SA"/>
        </w:rPr>
        <w:t>及商务要求</w:t>
      </w:r>
      <w:r>
        <w:rPr>
          <w:rFonts w:hint="eastAsia" w:ascii="仿宋" w:hAnsi="仿宋" w:eastAsia="仿宋" w:cs="仿宋"/>
          <w:b/>
          <w:bCs/>
          <w:kern w:val="2"/>
          <w:sz w:val="28"/>
          <w:szCs w:val="28"/>
          <w:lang w:val="zh-CN" w:eastAsia="zh-CN" w:bidi="ar-SA"/>
        </w:rPr>
        <w:t>：</w:t>
      </w:r>
    </w:p>
    <w:p w14:paraId="0CD2EC7F">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1、自本项目验收合格之日起开始计算，成交供应商需提供系统软件和硬件主板1年免费质保服务，并应在报价时提交超出保修期后的维护保障方案及其相应的收费标准。</w:t>
      </w:r>
    </w:p>
    <w:p w14:paraId="12C779CA">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质保期内，成交供应商应负责硬件设备的安全稳定运行，包括主板维修、软件升级、版本更新、补丁程序、系统维护等。并需负责本次建设系统与原有自助服务系统间实现业务协作。</w:t>
      </w:r>
    </w:p>
    <w:p w14:paraId="0997EFF6">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2、需提供7×24小时全天候服务热线、远程技术支持和现场维护服务要求：</w:t>
      </w:r>
    </w:p>
    <w:p w14:paraId="24DD5EF9">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成交供应商提供负责本项目工程师应24小时保持手机通讯畅通，保证及时接听用户服务请求。接到故障报修通知后，在2小时内响应，进行远程故障处理，协助用户快速诊断及时解决软硬件问题。若无法远程排除故障，在8小时内到达故障现场进行处理，自接到采购人通知后48小时之内排除故障，确保设备正常运行。</w:t>
      </w:r>
    </w:p>
    <w:p w14:paraId="5B914F8C">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3、需提供每季度一次的全面巡检服务要求：</w:t>
      </w:r>
    </w:p>
    <w:p w14:paraId="70A58692">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在质保期内，成交供应商应委派负责本项目工程师每季度进行一次全面巡检。巡检内容包括：设备运行情况、电源、网络及系统运行情况等。</w:t>
      </w:r>
    </w:p>
    <w:p w14:paraId="192891A4">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4、需提供培训及技术咨询服务要求：</w:t>
      </w:r>
    </w:p>
    <w:p w14:paraId="44680B22">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成交供应商应提供集体培训（由采购人组织，成交供应商需派专业人员授课），并在系统安装完成时现场提供软硬件使用培训。同时提供电话培训服务，即时回答设备使用人员在使用过程中提出的与设备和软件相关的问题，如电话中无法解决的还需提供视频或现场指导。</w:t>
      </w:r>
    </w:p>
    <w:p w14:paraId="667FE6EC">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b/>
          <w:bCs/>
          <w:kern w:val="2"/>
          <w:sz w:val="28"/>
          <w:szCs w:val="28"/>
          <w:lang w:val="zh-CN" w:eastAsia="zh-CN" w:bidi="ar-SA"/>
        </w:rPr>
        <w:t>5.安装要求：</w:t>
      </w:r>
    </w:p>
    <w:p w14:paraId="76AB7BE3">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成交供应商需负责上述硬件的运输、安装、调试，并辅导使用单位实施、对使用单位相关人员进行软件操作和维护方面的培训。   </w:t>
      </w:r>
    </w:p>
    <w:p w14:paraId="28D17A3F">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6.</w:t>
      </w:r>
      <w:r>
        <w:rPr>
          <w:rFonts w:hint="eastAsia" w:ascii="仿宋" w:hAnsi="仿宋" w:eastAsia="仿宋" w:cs="仿宋"/>
          <w:b/>
          <w:bCs/>
          <w:kern w:val="2"/>
          <w:sz w:val="28"/>
          <w:szCs w:val="28"/>
          <w:lang w:val="zh-CN" w:eastAsia="zh-CN" w:bidi="ar-SA"/>
        </w:rPr>
        <w:t>付款方式</w:t>
      </w:r>
    </w:p>
    <w:p w14:paraId="5E8FE00D">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1、采购人付款采用银行转账支付方式，采购人付款前，成交供应商必须出具有效的足额发票，否则采购人有权拒绝付款。</w:t>
      </w:r>
    </w:p>
    <w:p w14:paraId="703B7EFF">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2、采购人与成交供应商双方签订合同生效后，成交供应商在十五日内向采购人交接货物并完成</w:t>
      </w:r>
      <w:r>
        <w:rPr>
          <w:rFonts w:hint="eastAsia" w:ascii="仿宋" w:hAnsi="仿宋" w:eastAsia="仿宋" w:cs="仿宋"/>
          <w:color w:val="auto"/>
          <w:sz w:val="28"/>
          <w:szCs w:val="28"/>
          <w:highlight w:val="none"/>
          <w:lang w:val="en-US" w:eastAsia="zh-CN"/>
        </w:rPr>
        <w:t>项目所有</w:t>
      </w:r>
      <w:r>
        <w:rPr>
          <w:rFonts w:hint="eastAsia" w:ascii="仿宋" w:hAnsi="仿宋" w:eastAsia="仿宋" w:cs="仿宋"/>
          <w:color w:val="auto"/>
          <w:sz w:val="28"/>
          <w:szCs w:val="28"/>
          <w:highlight w:val="none"/>
          <w:lang w:val="zh-CN"/>
        </w:rPr>
        <w:t>工作，项目履约验收合格后，采购人在收到成交供应商有效发票后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日内转账支付成交供应商成交合同总金额的</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%；剩余合同总金额的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%，在</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val="zh-CN"/>
        </w:rPr>
        <w:t>正常运行满一年后，采购人在收到成交供应商付款函件后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日内将合同剩余总金额的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%转账无息支付给成交供应商。</w:t>
      </w:r>
    </w:p>
    <w:p w14:paraId="06FC8AB6">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7.</w:t>
      </w:r>
      <w:r>
        <w:rPr>
          <w:rFonts w:hint="eastAsia" w:ascii="仿宋" w:hAnsi="仿宋" w:eastAsia="仿宋" w:cs="仿宋"/>
          <w:b/>
          <w:bCs/>
          <w:kern w:val="2"/>
          <w:sz w:val="28"/>
          <w:szCs w:val="28"/>
          <w:lang w:val="zh-CN" w:eastAsia="zh-CN" w:bidi="ar-SA"/>
        </w:rPr>
        <w:t>项目履行期限</w:t>
      </w:r>
    </w:p>
    <w:p w14:paraId="281A63D4">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自双方签订采购合同生效之日起，成交供应商在十五日内完成</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lang w:val="zh-CN"/>
        </w:rPr>
        <w:t>。因成交供应商自身问题造成的延期，成交供应商承担违约责任，由此引发的一切经济损失由成交供应商承担。</w:t>
      </w:r>
    </w:p>
    <w:p w14:paraId="05508F65">
      <w:pPr>
        <w:pStyle w:val="35"/>
        <w:spacing w:line="360" w:lineRule="auto"/>
        <w:ind w:firstLine="560"/>
        <w:rPr>
          <w:rFonts w:hint="eastAsia" w:ascii="仿宋" w:hAnsi="仿宋" w:eastAsia="仿宋" w:cs="仿宋"/>
          <w:color w:val="auto"/>
          <w:sz w:val="28"/>
          <w:szCs w:val="28"/>
          <w:highlight w:val="none"/>
          <w:lang w:val="zh-CN" w:eastAsia="zh-CN"/>
        </w:rPr>
      </w:pPr>
      <w:r>
        <w:rPr>
          <w:rFonts w:hint="eastAsia" w:ascii="仿宋" w:hAnsi="仿宋" w:eastAsia="仿宋" w:cs="仿宋"/>
          <w:b/>
          <w:bCs/>
          <w:kern w:val="2"/>
          <w:sz w:val="28"/>
          <w:szCs w:val="28"/>
          <w:lang w:val="en-US" w:eastAsia="zh-CN" w:bidi="ar-SA"/>
        </w:rPr>
        <w:t>8.</w:t>
      </w:r>
      <w:r>
        <w:rPr>
          <w:rFonts w:hint="eastAsia" w:ascii="仿宋" w:hAnsi="仿宋" w:eastAsia="仿宋" w:cs="仿宋"/>
          <w:b/>
          <w:bCs/>
          <w:kern w:val="2"/>
          <w:sz w:val="28"/>
          <w:szCs w:val="28"/>
          <w:lang w:val="zh-CN" w:eastAsia="zh-CN" w:bidi="ar-SA"/>
        </w:rPr>
        <w:t>项目履行地点</w:t>
      </w:r>
    </w:p>
    <w:p w14:paraId="50954360">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大竹县人民医院院区内指定地点。标的物在供应商运送至采购人院内指定地点交付给采购人前，标的物损毁、灭失的风险由供应商承担。</w:t>
      </w:r>
    </w:p>
    <w:p w14:paraId="1BDC1444">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9.</w:t>
      </w:r>
      <w:r>
        <w:rPr>
          <w:rFonts w:hint="eastAsia" w:ascii="仿宋" w:hAnsi="仿宋" w:eastAsia="仿宋" w:cs="仿宋"/>
          <w:b/>
          <w:bCs/>
          <w:kern w:val="2"/>
          <w:sz w:val="28"/>
          <w:szCs w:val="28"/>
          <w:lang w:val="zh-CN" w:eastAsia="zh-CN" w:bidi="ar-SA"/>
        </w:rPr>
        <w:t>验收</w:t>
      </w:r>
    </w:p>
    <w:p w14:paraId="34162285">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1、按照国家采购相关履约验收政策的要求组织验收。</w:t>
      </w:r>
    </w:p>
    <w:p w14:paraId="53CAE830">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2、验收时采购人有权对货物进行测试，若测试结果未达到本项目的技术、服务要求，采购人有权</w:t>
      </w:r>
      <w:r>
        <w:rPr>
          <w:rFonts w:hint="eastAsia" w:ascii="仿宋" w:hAnsi="仿宋" w:eastAsia="仿宋" w:cs="仿宋"/>
          <w:color w:val="auto"/>
          <w:sz w:val="28"/>
          <w:szCs w:val="28"/>
          <w:highlight w:val="none"/>
          <w:lang w:val="en-US" w:eastAsia="zh-CN"/>
        </w:rPr>
        <w:t>拒付项目费用</w:t>
      </w:r>
      <w:r>
        <w:rPr>
          <w:rFonts w:hint="eastAsia" w:ascii="仿宋" w:hAnsi="仿宋" w:eastAsia="仿宋" w:cs="仿宋"/>
          <w:color w:val="auto"/>
          <w:sz w:val="28"/>
          <w:szCs w:val="28"/>
          <w:highlight w:val="none"/>
          <w:lang w:val="zh-CN"/>
        </w:rPr>
        <w:t>并追究供应商违约责任，供应商自行拆除全部货物退场并赔偿采购人项目延误造成的经济损失。</w:t>
      </w:r>
    </w:p>
    <w:p w14:paraId="7B653375">
      <w:pPr>
        <w:pStyle w:val="35"/>
        <w:spacing w:line="360" w:lineRule="auto"/>
        <w:ind w:firstLine="56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w:t>
      </w:r>
      <w:r>
        <w:rPr>
          <w:rFonts w:hint="default" w:ascii="仿宋" w:hAnsi="仿宋" w:eastAsia="仿宋" w:cs="仿宋"/>
          <w:b/>
          <w:bCs/>
          <w:kern w:val="2"/>
          <w:sz w:val="28"/>
          <w:szCs w:val="28"/>
          <w:lang w:val="en-US" w:eastAsia="zh-CN" w:bidi="ar-SA"/>
        </w:rPr>
        <w:t>违约责任</w:t>
      </w:r>
    </w:p>
    <w:p w14:paraId="6EF0999D">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1、供应商必须严格按照国家相关法律法规和本</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要求及供应商提交的响应文件约定履行合同，按时全面履行本项目的各项义务，供应商不履行本项目义务或瑕疵履行本项目义务或延迟履行本项目义务或履行合同义务不能实现合同目的的，则成交供应商违约。</w:t>
      </w:r>
    </w:p>
    <w:p w14:paraId="6A26CA8D">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有下列情形之一的成交供应商违约行为，采购人可以解除合同，并要求成交供应商承担相应违约责任并支付相应金额的违约金。采购人有权直接从成交供应商的履约保证金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政府采购合同为止：</w:t>
      </w:r>
    </w:p>
    <w:p w14:paraId="3B244CBC">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2.1、项目履行期限内，成交供应商明确表示或者以自己的行为表明不履行本项目合同的主要义务，则成交供应商违约，成交供应商应向采购人支付合同总价款10%的违约金。</w:t>
      </w:r>
    </w:p>
    <w:p w14:paraId="5C3CB4C8">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2.2、成交供应商履行本项目的主要义务但不能实现合同目的的，则成交供应商违约，成交供应商应向采购人支付合同总价款10%的违约金。</w:t>
      </w:r>
    </w:p>
    <w:p w14:paraId="41EDE2B9">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2.3、成交供应商应保证供给采购人的货物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的权利无瑕疵，包括货物所有权及知识产权等权利无瑕疵。如任何第三方经法院（或仲裁机构）裁决有权对上述货物主张权利或国家机关依法对货物进行没收查处的，则成交供应商违约，成交供应商除应向采购人返还已收款项外，成交供应商应向采购人支付合同总价款5%的违约金。</w:t>
      </w:r>
    </w:p>
    <w:p w14:paraId="72664992">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2.4、每次下列违约行为发生后，由成交供应商承担违约责任，向采购人支付相应金额的违约金。同时采购人可以选择退货，直接在</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中扣减该批不符合要求的货物</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。或限期由成交供应商进行更换货物，对更换符合约定的货物，方可重新验收入库。 更换货物产生的所有费用由成交供应商承担。</w:t>
      </w:r>
    </w:p>
    <w:p w14:paraId="0A38CE68">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2.4.1.成交供应商提供的货物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出现假冒伪劣产品或以次充好或负偏离约定的质量功能性能要求或不符合国家相关法律法规要求的，则成交供应商违约，采购人有权每次扣除成交供应商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RMB 1000元，</w:t>
      </w:r>
      <w:r>
        <w:rPr>
          <w:rFonts w:hint="eastAsia" w:ascii="仿宋" w:hAnsi="仿宋" w:eastAsia="仿宋" w:cs="仿宋"/>
          <w:color w:val="auto"/>
          <w:sz w:val="28"/>
          <w:szCs w:val="28"/>
          <w:highlight w:val="none"/>
          <w:lang w:val="en-US" w:eastAsia="zh-CN"/>
        </w:rPr>
        <w:t>合同履行期内</w:t>
      </w:r>
      <w:r>
        <w:rPr>
          <w:rFonts w:hint="default" w:ascii="仿宋" w:hAnsi="仿宋" w:eastAsia="仿宋" w:cs="仿宋"/>
          <w:color w:val="auto"/>
          <w:sz w:val="28"/>
          <w:szCs w:val="28"/>
          <w:highlight w:val="none"/>
          <w:lang w:val="en-US" w:eastAsia="zh-CN"/>
        </w:rPr>
        <w:t>成交供应商出现3次本款所列违约行为，成交供应商应向采购人支付合同总价款5%的违约金。</w:t>
      </w:r>
    </w:p>
    <w:p w14:paraId="08DB88B9">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2.4.2.成交供应商所供的货物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品名、数量、规格、货物包装、标识等方面与</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要求或合同约定或采购人采购需求不符的，则成交供应商违约，采购人有权每次扣除成交供应商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 xml:space="preserve">RMB </w:t>
      </w: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61E140B8">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2.5.成交供应商未按</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要求或合同约定或采购人采购需求提供服务的，则成交供应商违约，采购人有权每次扣除成交供应商</w:t>
      </w:r>
      <w:r>
        <w:rPr>
          <w:rFonts w:hint="eastAsia" w:ascii="仿宋" w:hAnsi="仿宋" w:eastAsia="仿宋" w:cs="仿宋"/>
          <w:color w:val="auto"/>
          <w:sz w:val="28"/>
          <w:szCs w:val="28"/>
          <w:highlight w:val="none"/>
          <w:lang w:val="en-US" w:eastAsia="zh-CN"/>
        </w:rPr>
        <w:t>合同总支付金额</w:t>
      </w:r>
      <w:r>
        <w:rPr>
          <w:rFonts w:hint="default" w:ascii="仿宋" w:hAnsi="仿宋" w:eastAsia="仿宋" w:cs="仿宋"/>
          <w:color w:val="auto"/>
          <w:sz w:val="28"/>
          <w:szCs w:val="28"/>
          <w:highlight w:val="none"/>
          <w:lang w:val="en-US" w:eastAsia="zh-CN"/>
        </w:rPr>
        <w:t xml:space="preserve">RMB </w:t>
      </w: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5102F3E0">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6</w:t>
      </w:r>
      <w:r>
        <w:rPr>
          <w:rFonts w:hint="default" w:ascii="仿宋" w:hAnsi="仿宋" w:eastAsia="仿宋" w:cs="仿宋"/>
          <w:color w:val="auto"/>
          <w:sz w:val="28"/>
          <w:szCs w:val="28"/>
          <w:highlight w:val="none"/>
          <w:lang w:val="en-US" w:eastAsia="zh-CN"/>
        </w:rPr>
        <w:t>.采购人发出采购需求后，成交供应商未按时送货或未按时到场提供服务或未送货到指定地点的，则成交供应商违约，采购人有权每次扣除成交供应商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RMB 500元，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47CC63D1">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2.8.因成交供应商所供货物未提供合格证等资料，或未按要求随货附送销售单据，或未按要求提供发票、货物会计数据统计的电子文档，或影响采购人账务管理的，则成交供应商违约，采购人有权每次扣除成交供应商结算款RMB 200元，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内成交供应商出现5次本款所列违约行为，成交供应商应向采购人支付合同总价款5%的违约金。</w:t>
      </w:r>
    </w:p>
    <w:p w14:paraId="737695A8">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587681F">
      <w:pPr>
        <w:pStyle w:val="35"/>
        <w:spacing w:line="360" w:lineRule="auto"/>
        <w:ind w:firstLine="560"/>
        <w:rPr>
          <w:rFonts w:hint="eastAsia" w:ascii="仿宋" w:hAnsi="仿宋" w:eastAsia="仿宋" w:cs="仿宋"/>
          <w:color w:val="auto"/>
          <w:sz w:val="28"/>
          <w:szCs w:val="28"/>
          <w:highlight w:val="none"/>
          <w:lang w:val="zh-CN"/>
        </w:rPr>
      </w:pPr>
      <w:bookmarkStart w:id="21" w:name="EB43c53e641d4b44f7a21c91dd14912275"/>
    </w:p>
    <w:bookmarkEnd w:id="21"/>
    <w:p w14:paraId="420B0B2B">
      <w:pPr>
        <w:pStyle w:val="35"/>
        <w:spacing w:line="360" w:lineRule="auto"/>
        <w:ind w:firstLine="560"/>
        <w:rPr>
          <w:rFonts w:hint="eastAsia" w:ascii="仿宋" w:hAnsi="仿宋" w:eastAsia="仿宋" w:cs="仿宋"/>
          <w:color w:val="auto"/>
          <w:sz w:val="28"/>
          <w:szCs w:val="28"/>
          <w:highlight w:val="none"/>
          <w:lang w:val="zh-CN"/>
        </w:rPr>
      </w:pPr>
    </w:p>
    <w:p w14:paraId="42420CEB">
      <w:pPr>
        <w:pStyle w:val="35"/>
        <w:spacing w:line="360" w:lineRule="auto"/>
        <w:ind w:firstLine="560"/>
        <w:rPr>
          <w:rFonts w:hint="eastAsia" w:ascii="仿宋" w:hAnsi="仿宋" w:eastAsia="仿宋" w:cs="仿宋"/>
          <w:color w:val="auto"/>
          <w:sz w:val="28"/>
          <w:szCs w:val="28"/>
          <w:highlight w:val="none"/>
          <w:lang w:val="zh-CN"/>
        </w:rPr>
      </w:pPr>
    </w:p>
    <w:p w14:paraId="56185835">
      <w:pPr>
        <w:pStyle w:val="35"/>
        <w:spacing w:line="360" w:lineRule="auto"/>
        <w:ind w:left="0" w:leftChars="0" w:firstLine="0" w:firstLineChars="0"/>
        <w:jc w:val="center"/>
        <w:rPr>
          <w:rFonts w:hint="eastAsia" w:ascii="仿宋" w:hAnsi="仿宋" w:eastAsia="仿宋" w:cs="仿宋"/>
          <w:b/>
          <w:sz w:val="28"/>
          <w:szCs w:val="28"/>
          <w:highlight w:val="none"/>
        </w:rPr>
      </w:pPr>
    </w:p>
    <w:p w14:paraId="0473BD3D">
      <w:pPr>
        <w:pStyle w:val="35"/>
        <w:spacing w:line="360" w:lineRule="auto"/>
        <w:ind w:left="0" w:leftChars="0" w:firstLine="0" w:firstLineChars="0"/>
        <w:jc w:val="both"/>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27FC3A1F">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7DD6C7F0">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555"/>
        <w:gridCol w:w="1145"/>
        <w:gridCol w:w="1773"/>
        <w:gridCol w:w="1717"/>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555"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highlight w:val="none"/>
              </w:rPr>
            </w:pPr>
            <w:bookmarkStart w:id="22" w:name="_Toc50711557"/>
            <w:r>
              <w:rPr>
                <w:rFonts w:hint="eastAsia" w:ascii="仿宋" w:hAnsi="仿宋" w:eastAsia="仿宋" w:cs="仿宋"/>
                <w:color w:val="FF0000"/>
                <w:sz w:val="24"/>
                <w:szCs w:val="24"/>
                <w:highlight w:val="none"/>
              </w:rPr>
              <w:t>产品制造商家、品牌及</w:t>
            </w:r>
            <w:bookmarkEnd w:id="22"/>
            <w:bookmarkStart w:id="23" w:name="_Toc50711558"/>
            <w:r>
              <w:rPr>
                <w:rFonts w:hint="eastAsia" w:ascii="仿宋" w:hAnsi="仿宋" w:eastAsia="仿宋" w:cs="仿宋"/>
                <w:color w:val="FF0000"/>
                <w:sz w:val="24"/>
                <w:szCs w:val="24"/>
                <w:highlight w:val="none"/>
              </w:rPr>
              <w:t>规格型号</w:t>
            </w:r>
            <w:r>
              <w:rPr>
                <w:rFonts w:hint="eastAsia" w:ascii="仿宋" w:hAnsi="仿宋" w:eastAsia="仿宋" w:cs="仿宋"/>
                <w:b/>
                <w:bCs/>
                <w:color w:val="FF0000"/>
                <w:sz w:val="24"/>
                <w:szCs w:val="24"/>
                <w:highlight w:val="none"/>
              </w:rPr>
              <w:t>（如涉及）</w:t>
            </w:r>
            <w:bookmarkEnd w:id="23"/>
          </w:p>
        </w:tc>
        <w:tc>
          <w:tcPr>
            <w:tcW w:w="1145"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hint="eastAsia" w:ascii="仿宋" w:hAnsi="仿宋" w:eastAsia="仿宋" w:cs="仿宋"/>
                <w:b/>
                <w:color w:val="FF0000"/>
                <w:sz w:val="24"/>
                <w:szCs w:val="24"/>
                <w:highlight w:val="none"/>
                <w:lang w:eastAsia="zh-CN"/>
              </w:rPr>
            </w:pPr>
            <w:r>
              <w:rPr>
                <w:rFonts w:hint="eastAsia" w:ascii="仿宋" w:hAnsi="仿宋" w:eastAsia="仿宋" w:cs="仿宋"/>
                <w:b/>
                <w:color w:val="FF0000"/>
                <w:sz w:val="24"/>
                <w:szCs w:val="24"/>
                <w:highlight w:val="none"/>
                <w:lang w:val="en-US" w:eastAsia="zh-CN"/>
              </w:rPr>
              <w:t>数量</w:t>
            </w:r>
          </w:p>
        </w:tc>
        <w:tc>
          <w:tcPr>
            <w:tcW w:w="1773" w:type="dxa"/>
            <w:tcBorders>
              <w:top w:val="single" w:color="auto" w:sz="4" w:space="0"/>
              <w:left w:val="single" w:color="auto" w:sz="4" w:space="0"/>
              <w:bottom w:val="single" w:color="auto" w:sz="4" w:space="0"/>
              <w:right w:val="single" w:color="auto" w:sz="4" w:space="0"/>
            </w:tcBorders>
            <w:noWrap/>
            <w:vAlign w:val="center"/>
          </w:tcPr>
          <w:p w14:paraId="5EFCBBEA">
            <w:pPr>
              <w:snapToGrid w:val="0"/>
              <w:spacing w:line="360" w:lineRule="auto"/>
              <w:rPr>
                <w:rFonts w:hint="eastAsia" w:ascii="仿宋" w:hAnsi="仿宋" w:eastAsia="仿宋" w:cs="仿宋"/>
                <w:b/>
                <w:color w:val="FF0000"/>
                <w:sz w:val="24"/>
                <w:szCs w:val="24"/>
                <w:highlight w:val="none"/>
              </w:rPr>
            </w:pPr>
          </w:p>
          <w:p w14:paraId="761EAB7E">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w:t>
            </w:r>
          </w:p>
          <w:p w14:paraId="1AB2FFDA">
            <w:pPr>
              <w:snapToGrid w:val="0"/>
              <w:spacing w:line="360" w:lineRule="auto"/>
              <w:jc w:val="center"/>
              <w:rPr>
                <w:rFonts w:ascii="仿宋" w:hAnsi="仿宋" w:eastAsia="仿宋" w:cs="仿宋"/>
                <w:b/>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单项合计价格</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highlight w:val="none"/>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highlight w:val="none"/>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highlight w:val="none"/>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highlight w:val="none"/>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highlight w:val="none"/>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highlight w:val="none"/>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highlight w:val="none"/>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highlight w:val="none"/>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5"/>
              <w:spacing w:line="360" w:lineRule="auto"/>
              <w:jc w:val="left"/>
              <w:rPr>
                <w:rFonts w:ascii="仿宋" w:hAnsi="仿宋" w:eastAsia="仿宋" w:cs="仿宋"/>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none"/>
              </w:rPr>
            </w:pPr>
          </w:p>
        </w:tc>
      </w:tr>
    </w:tbl>
    <w:p w14:paraId="3F3992D4">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DF3E4F1">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4"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32F014-F6F5-4C62-81BA-0D4569A3F5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B40466E7-BA6C-4670-8C60-FD263D6126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10"/>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10"/>
      <w:framePr w:wrap="around" w:vAnchor="text" w:hAnchor="margin" w:xAlign="center" w:y="1"/>
      <w:rPr>
        <w:rStyle w:val="19"/>
      </w:rPr>
    </w:pPr>
    <w:r>
      <w:fldChar w:fldCharType="begin"/>
    </w:r>
    <w:r>
      <w:rPr>
        <w:rStyle w:val="19"/>
      </w:rPr>
      <w:instrText xml:space="preserve">PAGE  </w:instrText>
    </w:r>
    <w:r>
      <w:fldChar w:fldCharType="end"/>
    </w:r>
  </w:p>
  <w:p w14:paraId="3EC8C5D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10E16B8A"/>
    <w:rsid w:val="11692E07"/>
    <w:rsid w:val="13502D0A"/>
    <w:rsid w:val="13C479B3"/>
    <w:rsid w:val="14081913"/>
    <w:rsid w:val="152534E9"/>
    <w:rsid w:val="155F532E"/>
    <w:rsid w:val="16EB3B9B"/>
    <w:rsid w:val="17081A00"/>
    <w:rsid w:val="190A1374"/>
    <w:rsid w:val="19377C8F"/>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D740D4"/>
    <w:rsid w:val="25075CAA"/>
    <w:rsid w:val="25B17454"/>
    <w:rsid w:val="29D11F74"/>
    <w:rsid w:val="29E351DD"/>
    <w:rsid w:val="2BFF1D42"/>
    <w:rsid w:val="2C33078A"/>
    <w:rsid w:val="2C84328E"/>
    <w:rsid w:val="2CA42DE1"/>
    <w:rsid w:val="2D1542AF"/>
    <w:rsid w:val="2D520CBF"/>
    <w:rsid w:val="2D5C161A"/>
    <w:rsid w:val="2E274D7B"/>
    <w:rsid w:val="2EE21121"/>
    <w:rsid w:val="2FE45165"/>
    <w:rsid w:val="309B2467"/>
    <w:rsid w:val="31010479"/>
    <w:rsid w:val="31091496"/>
    <w:rsid w:val="314B4C91"/>
    <w:rsid w:val="32CD2A10"/>
    <w:rsid w:val="33DC5895"/>
    <w:rsid w:val="35CE3363"/>
    <w:rsid w:val="37491522"/>
    <w:rsid w:val="3A5A3BAD"/>
    <w:rsid w:val="3A826D1A"/>
    <w:rsid w:val="3BE21884"/>
    <w:rsid w:val="3C557122"/>
    <w:rsid w:val="3CC54F57"/>
    <w:rsid w:val="40112809"/>
    <w:rsid w:val="4065532C"/>
    <w:rsid w:val="41623A80"/>
    <w:rsid w:val="41BE23E1"/>
    <w:rsid w:val="420D14D6"/>
    <w:rsid w:val="423A5D5C"/>
    <w:rsid w:val="431B32FE"/>
    <w:rsid w:val="431D73DC"/>
    <w:rsid w:val="434A6B0B"/>
    <w:rsid w:val="451A208F"/>
    <w:rsid w:val="45AA61B4"/>
    <w:rsid w:val="462F56C6"/>
    <w:rsid w:val="46FC2990"/>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17E212C"/>
    <w:rsid w:val="54111726"/>
    <w:rsid w:val="542E6249"/>
    <w:rsid w:val="55711EBB"/>
    <w:rsid w:val="55D55BA4"/>
    <w:rsid w:val="55E9251C"/>
    <w:rsid w:val="58A65CBC"/>
    <w:rsid w:val="58F6310D"/>
    <w:rsid w:val="5914654F"/>
    <w:rsid w:val="5A3115B5"/>
    <w:rsid w:val="5CA72002"/>
    <w:rsid w:val="5D1D4073"/>
    <w:rsid w:val="5D526A35"/>
    <w:rsid w:val="5D8A720C"/>
    <w:rsid w:val="5FED5F7E"/>
    <w:rsid w:val="62175DE5"/>
    <w:rsid w:val="62180C9A"/>
    <w:rsid w:val="62C326D2"/>
    <w:rsid w:val="64223473"/>
    <w:rsid w:val="6505667C"/>
    <w:rsid w:val="653D52B2"/>
    <w:rsid w:val="664C4B1D"/>
    <w:rsid w:val="664F0CB2"/>
    <w:rsid w:val="66DB4D83"/>
    <w:rsid w:val="67E71264"/>
    <w:rsid w:val="696F05B5"/>
    <w:rsid w:val="69C405B3"/>
    <w:rsid w:val="6A9D0B41"/>
    <w:rsid w:val="6C371961"/>
    <w:rsid w:val="6D2825EA"/>
    <w:rsid w:val="6D594018"/>
    <w:rsid w:val="6EA6211A"/>
    <w:rsid w:val="6F601F1C"/>
    <w:rsid w:val="70666005"/>
    <w:rsid w:val="72B7769C"/>
    <w:rsid w:val="73322077"/>
    <w:rsid w:val="748C1DB2"/>
    <w:rsid w:val="763B6C8C"/>
    <w:rsid w:val="769E3AC5"/>
    <w:rsid w:val="76AE2E69"/>
    <w:rsid w:val="76E54993"/>
    <w:rsid w:val="78E71CAD"/>
    <w:rsid w:val="792B78C2"/>
    <w:rsid w:val="797D43BF"/>
    <w:rsid w:val="7AEC49C8"/>
    <w:rsid w:val="7B191EC6"/>
    <w:rsid w:val="7B7D5A51"/>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spacing w:after="120"/>
    </w:pPr>
  </w:style>
  <w:style w:type="paragraph" w:styleId="3">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2"/>
    <w:autoRedefine/>
    <w:unhideWhenUsed/>
    <w:qFormat/>
    <w:uiPriority w:val="0"/>
    <w:pPr>
      <w:jc w:val="left"/>
    </w:pPr>
    <w:rPr>
      <w:rFonts w:ascii="宋体"/>
      <w:kern w:val="0"/>
      <w:sz w:val="34"/>
      <w:szCs w:val="22"/>
    </w:rPr>
  </w:style>
  <w:style w:type="paragraph" w:styleId="8">
    <w:name w:val="Body Text Indent"/>
    <w:basedOn w:val="1"/>
    <w:link w:val="33"/>
    <w:autoRedefine/>
    <w:qFormat/>
    <w:uiPriority w:val="0"/>
    <w:pPr>
      <w:ind w:firstLine="630"/>
    </w:pPr>
    <w:rPr>
      <w:sz w:val="32"/>
    </w:rPr>
  </w:style>
  <w:style w:type="paragraph" w:styleId="9">
    <w:name w:val="Balloon Text"/>
    <w:basedOn w:val="1"/>
    <w:link w:val="34"/>
    <w:autoRedefine/>
    <w:qFormat/>
    <w:uiPriority w:val="0"/>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1"/>
    <w:autoRedefine/>
    <w:semiHidden/>
    <w:qFormat/>
    <w:uiPriority w:val="99"/>
    <w:rPr>
      <w:sz w:val="18"/>
      <w:szCs w:val="18"/>
    </w:rPr>
  </w:style>
  <w:style w:type="character" w:customStyle="1" w:styleId="28">
    <w:name w:val="页脚 Char"/>
    <w:basedOn w:val="17"/>
    <w:link w:val="10"/>
    <w:autoRedefine/>
    <w:semiHidden/>
    <w:qFormat/>
    <w:uiPriority w:val="99"/>
    <w:rPr>
      <w:sz w:val="18"/>
      <w:szCs w:val="18"/>
    </w:rPr>
  </w:style>
  <w:style w:type="character" w:customStyle="1" w:styleId="29">
    <w:name w:val="标题 1 Char"/>
    <w:basedOn w:val="17"/>
    <w:link w:val="4"/>
    <w:autoRedefine/>
    <w:qFormat/>
    <w:uiPriority w:val="0"/>
    <w:rPr>
      <w:rFonts w:ascii="黑体" w:hAnsi="黑体" w:eastAsia="黑体" w:cs="Times New Roman"/>
      <w:b/>
      <w:kern w:val="44"/>
      <w:sz w:val="32"/>
      <w:szCs w:val="32"/>
    </w:rPr>
  </w:style>
  <w:style w:type="character" w:customStyle="1" w:styleId="30">
    <w:name w:val="标题 2 Char"/>
    <w:basedOn w:val="17"/>
    <w:link w:val="5"/>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7"/>
    <w:autoRedefine/>
    <w:qFormat/>
    <w:uiPriority w:val="99"/>
    <w:rPr>
      <w:rFonts w:ascii="宋体" w:hAnsi="Times New Roman" w:eastAsia="宋体" w:cs="Times New Roman"/>
      <w:kern w:val="0"/>
      <w:sz w:val="34"/>
    </w:rPr>
  </w:style>
  <w:style w:type="character" w:customStyle="1" w:styleId="33">
    <w:name w:val="正文文本缩进 Char"/>
    <w:basedOn w:val="17"/>
    <w:link w:val="8"/>
    <w:autoRedefine/>
    <w:qFormat/>
    <w:uiPriority w:val="0"/>
    <w:rPr>
      <w:rFonts w:ascii="Times New Roman" w:hAnsi="Times New Roman" w:eastAsia="宋体" w:cs="Times New Roman"/>
      <w:sz w:val="32"/>
      <w:szCs w:val="20"/>
    </w:rPr>
  </w:style>
  <w:style w:type="character" w:customStyle="1" w:styleId="34">
    <w:name w:val="批注框文本 Char"/>
    <w:basedOn w:val="17"/>
    <w:link w:val="9"/>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6"/>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3"/>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8006</Words>
  <Characters>8181</Characters>
  <Lines>129</Lines>
  <Paragraphs>36</Paragraphs>
  <TotalTime>27</TotalTime>
  <ScaleCrop>false</ScaleCrop>
  <LinksUpToDate>false</LinksUpToDate>
  <CharactersWithSpaces>8593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2024-12-03T06:48:19Z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ABD4243711FC4EFEAAB2683CCD056AB5_13</vt:lpwstr>
  </property>
</Properties>
</file>