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560" w:lineRule="exact"/>
        <w:ind w:firstLine="560"/>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大竹县人民医院污水在线监测系统运行维护服务项目</w:t>
      </w:r>
    </w:p>
    <w:p>
      <w:pPr>
        <w:pStyle w:val="21"/>
        <w:spacing w:line="560" w:lineRule="exact"/>
        <w:ind w:firstLine="560"/>
        <w:jc w:val="center"/>
        <w:rPr>
          <w:rFonts w:hint="eastAsia" w:ascii="方正公文小标宋" w:hAnsi="方正公文小标宋" w:eastAsia="方正公文小标宋" w:cs="方正公文小标宋"/>
          <w:color w:val="auto"/>
          <w:sz w:val="32"/>
          <w:szCs w:val="32"/>
          <w:lang w:eastAsia="zh-CN"/>
        </w:rPr>
      </w:pPr>
      <w:r>
        <w:rPr>
          <w:rFonts w:hint="eastAsia" w:ascii="方正公文小标宋" w:hAnsi="方正公文小标宋" w:eastAsia="方正公文小标宋" w:cs="方正公文小标宋"/>
          <w:color w:val="auto"/>
          <w:sz w:val="32"/>
          <w:szCs w:val="32"/>
          <w:lang w:eastAsia="zh-CN"/>
        </w:rPr>
        <w:t>现场报价文件</w:t>
      </w:r>
    </w:p>
    <w:p>
      <w:pPr>
        <w:pStyle w:val="21"/>
        <w:spacing w:line="560" w:lineRule="exact"/>
        <w:ind w:left="0" w:leftChars="0" w:firstLine="0" w:firstLineChars="0"/>
        <w:jc w:val="both"/>
        <w:rPr>
          <w:rFonts w:hint="eastAsia" w:ascii="仿宋" w:hAnsi="仿宋" w:eastAsia="仿宋" w:cs="仿宋"/>
          <w:color w:val="auto"/>
          <w:sz w:val="28"/>
          <w:szCs w:val="28"/>
          <w:lang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eastAsia="zh-CN"/>
        </w:rPr>
        <w:t>大竹县人民医院污水在线监测系统运行维护服务项目</w:t>
      </w:r>
    </w:p>
    <w:p>
      <w:pPr>
        <w:pStyle w:val="21"/>
        <w:spacing w:line="560" w:lineRule="exact"/>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采购项目编号</w:t>
      </w:r>
      <w:r>
        <w:rPr>
          <w:rFonts w:hint="eastAsia" w:ascii="仿宋" w:hAnsi="仿宋" w:eastAsia="仿宋" w:cs="仿宋"/>
          <w:sz w:val="28"/>
          <w:szCs w:val="28"/>
          <w:lang w:val="en-US" w:eastAsia="zh-CN"/>
        </w:rPr>
        <w:t>：</w:t>
      </w:r>
      <w:r>
        <w:rPr>
          <w:rFonts w:hint="eastAsia" w:ascii="仿宋" w:hAnsi="仿宋" w:eastAsia="仿宋" w:cs="仿宋"/>
          <w:b w:val="0"/>
          <w:bCs w:val="0"/>
          <w:sz w:val="28"/>
          <w:szCs w:val="28"/>
          <w:lang w:val="en-US" w:eastAsia="zh-CN"/>
        </w:rPr>
        <w:t>竹医总采（询）【 2024-8-13</w:t>
      </w:r>
      <w:bookmarkStart w:id="4" w:name="_GoBack"/>
      <w:bookmarkEnd w:id="4"/>
      <w:r>
        <w:rPr>
          <w:rFonts w:hint="eastAsia" w:ascii="仿宋" w:hAnsi="仿宋" w:eastAsia="仿宋" w:cs="仿宋"/>
          <w:b w:val="0"/>
          <w:bCs w:val="0"/>
          <w:sz w:val="28"/>
          <w:szCs w:val="28"/>
          <w:lang w:val="en-US" w:eastAsia="zh-CN"/>
        </w:rPr>
        <w:t xml:space="preserve">】号 </w:t>
      </w:r>
      <w:r>
        <w:rPr>
          <w:rFonts w:hint="eastAsia" w:ascii="仿宋" w:hAnsi="仿宋" w:eastAsia="仿宋" w:cs="仿宋"/>
          <w:sz w:val="28"/>
          <w:szCs w:val="28"/>
          <w:lang w:val="en-US" w:eastAsia="zh-CN"/>
        </w:rPr>
        <w:t xml:space="preserve"> </w:t>
      </w:r>
    </w:p>
    <w:p>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21"/>
        <w:spacing w:line="560" w:lineRule="exact"/>
        <w:ind w:left="0" w:leftChars="0" w:firstLine="0" w:firstLineChars="0"/>
        <w:jc w:val="both"/>
        <w:rPr>
          <w:rFonts w:hint="eastAsia"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pPr>
        <w:pStyle w:val="21"/>
        <w:spacing w:line="560" w:lineRule="exact"/>
        <w:ind w:left="0" w:leftChars="0" w:firstLine="0" w:firstLineChars="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成交规则：供应商报出一次不可更改的价格，满足本文件要求且报价最低者为成交供应商。</w:t>
      </w:r>
    </w:p>
    <w:p>
      <w:pPr>
        <w:pStyle w:val="21"/>
        <w:spacing w:line="560" w:lineRule="exact"/>
        <w:ind w:left="0" w:leftChars="0" w:firstLine="0" w:firstLineChars="0"/>
        <w:jc w:val="left"/>
        <w:rPr>
          <w:rFonts w:hint="eastAsia" w:ascii="黑体" w:hAnsi="黑体" w:eastAsia="黑体" w:cs="黑体"/>
          <w:sz w:val="28"/>
          <w:szCs w:val="28"/>
          <w:lang w:val="en-US" w:eastAsia="zh-CN"/>
        </w:rPr>
      </w:pPr>
    </w:p>
    <w:p>
      <w:pPr>
        <w:pStyle w:val="21"/>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p>
    <w:bookmarkEnd w:id="0"/>
    <w:p>
      <w:pPr>
        <w:pStyle w:val="13"/>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pPr>
        <w:pStyle w:val="2"/>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本项目采购总预算为：</w:t>
      </w:r>
      <w:r>
        <w:rPr>
          <w:rFonts w:hint="eastAsia" w:ascii="仿宋" w:hAnsi="仿宋" w:eastAsia="仿宋" w:cs="仿宋"/>
          <w:sz w:val="28"/>
          <w:szCs w:val="28"/>
          <w:lang w:val="en-US" w:eastAsia="zh-CN"/>
        </w:rPr>
        <w:t>72000元/2年</w:t>
      </w:r>
      <w:r>
        <w:rPr>
          <w:rFonts w:hint="eastAsia" w:ascii="仿宋" w:hAnsi="仿宋" w:eastAsia="仿宋" w:cs="仿宋"/>
          <w:color w:val="auto"/>
          <w:sz w:val="28"/>
          <w:szCs w:val="28"/>
        </w:rPr>
        <w:t>（大写：人民币</w:t>
      </w:r>
      <w:r>
        <w:rPr>
          <w:rFonts w:hint="eastAsia" w:ascii="仿宋" w:hAnsi="仿宋" w:eastAsia="仿宋" w:cs="仿宋"/>
          <w:color w:val="auto"/>
          <w:sz w:val="28"/>
          <w:szCs w:val="28"/>
          <w:lang w:val="en-US" w:eastAsia="zh-CN"/>
        </w:rPr>
        <w:t>柒万贰仟元</w:t>
      </w:r>
      <w:r>
        <w:rPr>
          <w:rFonts w:hint="eastAsia" w:ascii="仿宋" w:hAnsi="仿宋" w:eastAsia="仿宋" w:cs="仿宋"/>
          <w:color w:val="auto"/>
          <w:sz w:val="28"/>
          <w:szCs w:val="28"/>
        </w:rPr>
        <w:t>整</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pPr>
        <w:pStyle w:val="2"/>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供应商报价超过</w:t>
      </w:r>
      <w:r>
        <w:rPr>
          <w:rFonts w:hint="eastAsia" w:ascii="仿宋" w:hAnsi="仿宋" w:eastAsia="仿宋" w:cs="仿宋"/>
          <w:color w:val="auto"/>
          <w:sz w:val="28"/>
          <w:szCs w:val="28"/>
        </w:rPr>
        <w:t>采购总预算</w:t>
      </w:r>
      <w:r>
        <w:rPr>
          <w:rFonts w:hint="eastAsia" w:ascii="仿宋" w:hAnsi="仿宋" w:eastAsia="仿宋" w:cs="仿宋"/>
          <w:color w:val="auto"/>
          <w:sz w:val="28"/>
          <w:szCs w:val="28"/>
          <w:lang w:val="en-US" w:eastAsia="zh-CN"/>
        </w:rPr>
        <w:t>金额的为无效报价。</w:t>
      </w:r>
    </w:p>
    <w:p>
      <w:pPr>
        <w:pStyle w:val="2"/>
        <w:spacing w:line="360" w:lineRule="auto"/>
        <w:ind w:firstLine="560" w:firstLineChars="200"/>
        <w:rPr>
          <w:rFonts w:hint="eastAsia" w:ascii="仿宋" w:hAnsi="仿宋" w:eastAsia="仿宋" w:cs="仿宋"/>
          <w:kern w:val="0"/>
          <w:sz w:val="28"/>
          <w:szCs w:val="28"/>
        </w:rPr>
      </w:pP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应是完成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污水在线监测系统服务费为技术服务和设备的维修服务费的包干含税价格，服务费含人工安装调试费用和设备材料配件更换、试剂更换费用等运行维护费、耗材费、设备配件费、人工费用、运输费、搬运费、运损费、税费等满足本项目需求的全部费用。）和拟获得的利润。供应商报价应充分考虑合同履行期内各种费用、市场风险、价格波动、承担义务和付款条件等。</w:t>
      </w:r>
    </w:p>
    <w:p>
      <w:pPr>
        <w:numPr>
          <w:ilvl w:val="0"/>
          <w:numId w:val="2"/>
        </w:num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采购标的及要求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将</w:t>
      </w:r>
      <w:r>
        <w:rPr>
          <w:rFonts w:hint="eastAsia" w:ascii="仿宋" w:hAnsi="仿宋" w:eastAsia="仿宋" w:cs="仿宋"/>
          <w:color w:val="auto"/>
          <w:sz w:val="28"/>
          <w:szCs w:val="28"/>
          <w:lang w:val="en-US" w:eastAsia="zh-CN"/>
        </w:rPr>
        <w:t>下表中</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污水</w:t>
      </w:r>
      <w:r>
        <w:rPr>
          <w:rFonts w:hint="eastAsia" w:ascii="仿宋" w:hAnsi="仿宋" w:eastAsia="仿宋" w:cs="仿宋"/>
          <w:color w:val="auto"/>
          <w:sz w:val="28"/>
          <w:szCs w:val="28"/>
        </w:rPr>
        <w:t>在线监测系统交给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运行</w:t>
      </w:r>
      <w:r>
        <w:rPr>
          <w:rFonts w:hint="eastAsia" w:ascii="仿宋" w:hAnsi="仿宋" w:eastAsia="仿宋" w:cs="仿宋"/>
          <w:color w:val="auto"/>
          <w:sz w:val="28"/>
          <w:szCs w:val="28"/>
        </w:rPr>
        <w:t>维护，由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lang w:val="en-US" w:eastAsia="zh-CN"/>
        </w:rPr>
        <w:t>负责</w:t>
      </w:r>
      <w:r>
        <w:rPr>
          <w:rFonts w:hint="eastAsia" w:ascii="仿宋" w:hAnsi="仿宋" w:eastAsia="仿宋" w:cs="仿宋"/>
          <w:color w:val="auto"/>
          <w:sz w:val="28"/>
          <w:szCs w:val="28"/>
        </w:rPr>
        <w:t>提供</w:t>
      </w:r>
      <w:r>
        <w:rPr>
          <w:rFonts w:hint="eastAsia" w:ascii="仿宋" w:hAnsi="仿宋" w:eastAsia="仿宋" w:cs="仿宋"/>
          <w:color w:val="auto"/>
          <w:sz w:val="28"/>
          <w:szCs w:val="28"/>
          <w:lang w:val="en-US" w:eastAsia="zh-CN"/>
        </w:rPr>
        <w:t>每周</w:t>
      </w:r>
      <w:r>
        <w:rPr>
          <w:rFonts w:hint="eastAsia" w:ascii="仿宋" w:hAnsi="仿宋" w:eastAsia="仿宋" w:cs="仿宋"/>
          <w:color w:val="auto"/>
          <w:sz w:val="28"/>
          <w:szCs w:val="28"/>
        </w:rPr>
        <w:t>上门服务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供应商应遵守我国相关法律法规和行业标准，确保采购人污水在线监测系统正常运行，各项检测设备检测标准和数值准确正常，且按时向环保行政部门正常上传数据。</w:t>
      </w:r>
    </w:p>
    <w:p>
      <w:pPr>
        <w:pStyle w:val="3"/>
        <w:keepNext w:val="0"/>
        <w:keepLines w:val="0"/>
        <w:pageBreakBefore w:val="0"/>
        <w:kinsoku/>
        <w:overflowPunct/>
        <w:topLinePunct w:val="0"/>
        <w:autoSpaceDE/>
        <w:autoSpaceDN/>
        <w:bidi w:val="0"/>
        <w:snapToGrid/>
        <w:spacing w:line="560" w:lineRule="exac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（一）污水在线监测系统维护设备清单</w:t>
      </w:r>
    </w:p>
    <w:tbl>
      <w:tblPr>
        <w:tblStyle w:val="10"/>
        <w:tblW w:w="8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305"/>
        <w:gridCol w:w="3264"/>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设备名称</w:t>
            </w:r>
          </w:p>
        </w:tc>
        <w:tc>
          <w:tcPr>
            <w:tcW w:w="3264"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规格型号</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氨氮在线</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自动监测仪</w:t>
            </w:r>
          </w:p>
        </w:tc>
        <w:tc>
          <w:tcPr>
            <w:tcW w:w="3264"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山东龙发环保</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设备型号：LFH2013</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数据采集</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传输仪</w:t>
            </w:r>
          </w:p>
        </w:tc>
        <w:tc>
          <w:tcPr>
            <w:tcW w:w="3264"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广州博控自动化技术有限公司</w:t>
            </w:r>
            <w:r>
              <w:rPr>
                <w:rFonts w:hint="eastAsia" w:ascii="仿宋" w:hAnsi="仿宋" w:eastAsia="仿宋" w:cs="仿宋"/>
                <w:color w:val="auto"/>
                <w:kern w:val="0"/>
                <w:sz w:val="28"/>
                <w:szCs w:val="28"/>
              </w:rPr>
              <w:t>设备型号：</w:t>
            </w:r>
            <w:r>
              <w:rPr>
                <w:rFonts w:hint="eastAsia" w:ascii="仿宋" w:hAnsi="仿宋" w:eastAsia="仿宋" w:cs="仿宋"/>
                <w:color w:val="auto"/>
                <w:kern w:val="0"/>
                <w:sz w:val="28"/>
                <w:szCs w:val="28"/>
                <w:lang w:val="en-US" w:eastAsia="zh-CN"/>
              </w:rPr>
              <w:t>K37A</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3</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COD在线水质</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分析仪</w:t>
            </w:r>
          </w:p>
        </w:tc>
        <w:tc>
          <w:tcPr>
            <w:tcW w:w="3264"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山东龙发环保</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设备型号：LFH2001</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4</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明渠流量计</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（含巴歇尔槽）</w:t>
            </w:r>
          </w:p>
        </w:tc>
        <w:tc>
          <w:tcPr>
            <w:tcW w:w="3264"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北京九波声迪</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WL-1A1</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5</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PH在线监测仪</w:t>
            </w:r>
          </w:p>
        </w:tc>
        <w:tc>
          <w:tcPr>
            <w:tcW w:w="3264"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米科传感</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科技有限公司</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设备型号：</w:t>
            </w:r>
          </w:p>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MIK-PH1800</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6</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sz w:val="28"/>
                <w:szCs w:val="28"/>
              </w:rPr>
              <w:t>余氯</w:t>
            </w:r>
            <w:r>
              <w:rPr>
                <w:rFonts w:hint="eastAsia" w:ascii="仿宋" w:hAnsi="仿宋" w:eastAsia="仿宋" w:cs="仿宋"/>
                <w:color w:val="auto"/>
                <w:sz w:val="28"/>
                <w:szCs w:val="28"/>
                <w:lang w:val="en-US" w:eastAsia="zh-CN"/>
              </w:rPr>
              <w:t>监测仪器</w:t>
            </w:r>
          </w:p>
        </w:tc>
        <w:tc>
          <w:tcPr>
            <w:tcW w:w="3264" w:type="dxa"/>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型号：RMD-Y1000</w:t>
            </w:r>
          </w:p>
          <w:p>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kern w:val="0"/>
                <w:sz w:val="28"/>
                <w:szCs w:val="28"/>
              </w:rPr>
            </w:pPr>
            <w:r>
              <w:rPr>
                <w:rFonts w:hint="eastAsia" w:ascii="仿宋" w:hAnsi="仿宋" w:eastAsia="仿宋" w:cs="仿宋"/>
                <w:color w:val="auto"/>
                <w:sz w:val="28"/>
                <w:szCs w:val="28"/>
              </w:rPr>
              <w:t>上海蓝长自动化科技有限公司</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7</w:t>
            </w:r>
          </w:p>
        </w:tc>
        <w:tc>
          <w:tcPr>
            <w:tcW w:w="2305"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水样自动采集仪</w:t>
            </w:r>
          </w:p>
        </w:tc>
        <w:tc>
          <w:tcPr>
            <w:tcW w:w="3264" w:type="dxa"/>
            <w:noWrap w:val="0"/>
            <w:vAlign w:val="center"/>
          </w:tcPr>
          <w:p>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型号：ZSC-VIB</w:t>
            </w:r>
          </w:p>
          <w:p>
            <w:pPr>
              <w:keepNext w:val="0"/>
              <w:keepLines w:val="0"/>
              <w:pageBreakBefore w:val="0"/>
              <w:kinsoku/>
              <w:overflowPunct/>
              <w:topLinePunct w:val="0"/>
              <w:autoSpaceDE/>
              <w:autoSpaceDN/>
              <w:bidi w:val="0"/>
              <w:snapToGrid/>
              <w:spacing w:line="24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浙江恒达仪器仪表股份有限公司</w:t>
            </w:r>
          </w:p>
        </w:tc>
        <w:tc>
          <w:tcPr>
            <w:tcW w:w="1788" w:type="dxa"/>
            <w:noWrap w:val="0"/>
            <w:vAlign w:val="center"/>
          </w:tcPr>
          <w:p>
            <w:pPr>
              <w:keepNext w:val="0"/>
              <w:keepLines w:val="0"/>
              <w:pageBreakBefore w:val="0"/>
              <w:kinsoku/>
              <w:overflowPunct/>
              <w:topLinePunct w:val="0"/>
              <w:autoSpaceDE/>
              <w:autoSpaceDN/>
              <w:bidi w:val="0"/>
              <w:snapToGrid/>
              <w:spacing w:line="240" w:lineRule="auto"/>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1套</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供应商提供的污水在线监测系统</w:t>
      </w:r>
      <w:r>
        <w:rPr>
          <w:rFonts w:hint="eastAsia" w:ascii="仿宋" w:hAnsi="仿宋" w:eastAsia="仿宋" w:cs="仿宋"/>
          <w:b/>
          <w:bCs/>
          <w:color w:val="000000"/>
          <w:sz w:val="28"/>
          <w:szCs w:val="28"/>
        </w:rPr>
        <w:t>上门</w:t>
      </w:r>
      <w:r>
        <w:rPr>
          <w:rFonts w:hint="eastAsia" w:ascii="仿宋" w:hAnsi="仿宋" w:eastAsia="仿宋" w:cs="仿宋"/>
          <w:b/>
          <w:bCs/>
          <w:color w:val="000000"/>
          <w:sz w:val="28"/>
          <w:szCs w:val="28"/>
          <w:lang w:val="en-US" w:eastAsia="zh-CN"/>
        </w:rPr>
        <w:t>维护</w:t>
      </w:r>
      <w:r>
        <w:rPr>
          <w:rFonts w:hint="eastAsia" w:ascii="仿宋" w:hAnsi="仿宋" w:eastAsia="仿宋" w:cs="仿宋"/>
          <w:b/>
          <w:bCs/>
          <w:color w:val="000000"/>
          <w:sz w:val="28"/>
          <w:szCs w:val="28"/>
        </w:rPr>
        <w:t>服务</w:t>
      </w:r>
      <w:r>
        <w:rPr>
          <w:rFonts w:hint="eastAsia" w:ascii="仿宋" w:hAnsi="仿宋" w:eastAsia="仿宋" w:cs="仿宋"/>
          <w:b/>
          <w:bCs/>
          <w:color w:val="000000"/>
          <w:sz w:val="28"/>
          <w:szCs w:val="28"/>
          <w:lang w:val="en-US" w:eastAsia="zh-CN"/>
        </w:rPr>
        <w:t>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供应商负责对采购人的污水在线监测系统提供技术支持服务，负责协助采购人对上述设备的各类故障向环保部门进行情况说明。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供应商需严格按照《水污染源在线监测系统（CODCr、NH3-N 等）运行技术规范》（标准号：HJ 355-2019）等相关法律法规，对采购人的污水在线监测系统进行运营维护工作，其运行维护内容如下：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1、</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w:t>
      </w:r>
      <w:r>
        <w:rPr>
          <w:rFonts w:hint="eastAsia" w:ascii="仿宋" w:hAnsi="仿宋" w:eastAsia="仿宋" w:cs="仿宋"/>
          <w:b w:val="0"/>
          <w:bCs w:val="0"/>
          <w:color w:val="000000"/>
          <w:sz w:val="28"/>
          <w:szCs w:val="28"/>
          <w:lang w:val="en-US" w:eastAsia="zh-CN"/>
        </w:rPr>
        <w:t>的</w:t>
      </w:r>
      <w:r>
        <w:rPr>
          <w:rFonts w:hint="eastAsia" w:ascii="仿宋" w:hAnsi="仿宋" w:eastAsia="仿宋" w:cs="仿宋"/>
          <w:b w:val="0"/>
          <w:bCs w:val="0"/>
          <w:color w:val="000000"/>
          <w:sz w:val="28"/>
          <w:szCs w:val="28"/>
        </w:rPr>
        <w:t>各类故障检修</w:t>
      </w:r>
      <w:r>
        <w:rPr>
          <w:rFonts w:hint="eastAsia" w:ascii="仿宋" w:hAnsi="仿宋" w:eastAsia="仿宋" w:cs="仿宋"/>
          <w:b w:val="0"/>
          <w:bCs w:val="0"/>
          <w:color w:val="000000"/>
          <w:sz w:val="28"/>
          <w:szCs w:val="28"/>
          <w:lang w:val="en-US" w:eastAsia="zh-CN"/>
        </w:rPr>
        <w:t>和接采购人通知的应急维修</w:t>
      </w:r>
      <w:r>
        <w:rPr>
          <w:rFonts w:hint="eastAsia" w:ascii="仿宋" w:hAnsi="仿宋" w:eastAsia="仿宋" w:cs="仿宋"/>
          <w:b w:val="0"/>
          <w:bCs w:val="0"/>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2、</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设备软件升级；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3、</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培训</w:t>
      </w:r>
      <w:r>
        <w:rPr>
          <w:rFonts w:hint="eastAsia" w:ascii="仿宋" w:hAnsi="仿宋" w:eastAsia="仿宋" w:cs="仿宋"/>
          <w:b w:val="0"/>
          <w:bCs w:val="0"/>
          <w:color w:val="000000"/>
          <w:sz w:val="28"/>
          <w:szCs w:val="28"/>
          <w:lang w:val="en-US" w:eastAsia="zh-CN"/>
        </w:rPr>
        <w:t>采购人</w:t>
      </w:r>
      <w:r>
        <w:rPr>
          <w:rFonts w:hint="eastAsia" w:ascii="仿宋" w:hAnsi="仿宋" w:eastAsia="仿宋" w:cs="仿宋"/>
          <w:b w:val="0"/>
          <w:bCs w:val="0"/>
          <w:color w:val="000000"/>
          <w:sz w:val="28"/>
          <w:szCs w:val="28"/>
        </w:rPr>
        <w:t>相关人员；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4、</w:t>
      </w:r>
      <w:r>
        <w:rPr>
          <w:rFonts w:hint="eastAsia" w:ascii="仿宋" w:hAnsi="仿宋" w:eastAsia="仿宋" w:cs="仿宋"/>
          <w:b w:val="0"/>
          <w:bCs w:val="0"/>
          <w:color w:val="000000"/>
          <w:sz w:val="28"/>
          <w:szCs w:val="28"/>
          <w:u w:val="single"/>
        </w:rPr>
        <w:t>每星期</w:t>
      </w:r>
      <w:r>
        <w:rPr>
          <w:rFonts w:hint="eastAsia" w:ascii="仿宋" w:hAnsi="仿宋" w:eastAsia="仿宋" w:cs="仿宋"/>
          <w:b w:val="0"/>
          <w:bCs w:val="0"/>
          <w:color w:val="000000"/>
          <w:sz w:val="28"/>
          <w:szCs w:val="28"/>
          <w:u w:val="single"/>
          <w:lang w:val="en-US" w:eastAsia="zh-CN"/>
        </w:rPr>
        <w:t>到采购人处实地</w:t>
      </w:r>
      <w:r>
        <w:rPr>
          <w:rFonts w:hint="eastAsia" w:ascii="仿宋" w:hAnsi="仿宋" w:eastAsia="仿宋" w:cs="仿宋"/>
          <w:b w:val="0"/>
          <w:bCs w:val="0"/>
          <w:color w:val="000000"/>
          <w:sz w:val="28"/>
          <w:szCs w:val="28"/>
          <w:u w:val="single"/>
        </w:rPr>
        <w:t>巡检一次</w:t>
      </w:r>
      <w:r>
        <w:rPr>
          <w:rFonts w:hint="eastAsia" w:ascii="仿宋" w:hAnsi="仿宋" w:eastAsia="仿宋" w:cs="仿宋"/>
          <w:b w:val="0"/>
          <w:bCs w:val="0"/>
          <w:color w:val="000000"/>
          <w:sz w:val="28"/>
          <w:szCs w:val="28"/>
          <w:u w:val="single"/>
          <w:lang w:eastAsia="zh-CN"/>
        </w:rPr>
        <w:t>，</w:t>
      </w:r>
      <w:r>
        <w:rPr>
          <w:rFonts w:hint="eastAsia" w:ascii="仿宋" w:hAnsi="仿宋" w:eastAsia="仿宋" w:cs="仿宋"/>
          <w:b w:val="0"/>
          <w:bCs w:val="0"/>
          <w:color w:val="000000"/>
          <w:sz w:val="28"/>
          <w:szCs w:val="28"/>
          <w:u w:val="single"/>
          <w:lang w:val="en-US" w:eastAsia="zh-CN"/>
        </w:rPr>
        <w:t>并做好各项巡检记录</w:t>
      </w:r>
      <w:r>
        <w:rPr>
          <w:rFonts w:hint="eastAsia" w:ascii="仿宋" w:hAnsi="仿宋" w:eastAsia="仿宋" w:cs="仿宋"/>
          <w:b w:val="0"/>
          <w:bCs w:val="0"/>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5、</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设备更换试剂；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rPr>
        <w:t>6、</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为</w:t>
      </w:r>
      <w:r>
        <w:rPr>
          <w:rFonts w:hint="eastAsia" w:ascii="仿宋" w:hAnsi="仿宋" w:eastAsia="仿宋" w:cs="仿宋"/>
          <w:b w:val="0"/>
          <w:bCs w:val="0"/>
          <w:color w:val="000000"/>
          <w:sz w:val="28"/>
          <w:szCs w:val="28"/>
          <w:lang w:val="en-US" w:eastAsia="zh-CN"/>
        </w:rPr>
        <w:t>所有污水在线监测系统</w:t>
      </w:r>
      <w:r>
        <w:rPr>
          <w:rFonts w:hint="eastAsia" w:ascii="仿宋" w:hAnsi="仿宋" w:eastAsia="仿宋" w:cs="仿宋"/>
          <w:b w:val="0"/>
          <w:bCs w:val="0"/>
          <w:color w:val="000000"/>
          <w:sz w:val="28"/>
          <w:szCs w:val="28"/>
        </w:rPr>
        <w:t>设备更换配件</w:t>
      </w:r>
      <w:r>
        <w:rPr>
          <w:rFonts w:hint="eastAsia" w:ascii="仿宋" w:hAnsi="仿宋" w:eastAsia="仿宋" w:cs="仿宋"/>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7、供应商对所有污水在线监测系统</w:t>
      </w:r>
      <w:r>
        <w:rPr>
          <w:rFonts w:hint="eastAsia" w:ascii="仿宋" w:hAnsi="仿宋" w:eastAsia="仿宋" w:cs="仿宋"/>
          <w:b w:val="0"/>
          <w:bCs w:val="0"/>
          <w:color w:val="000000"/>
          <w:sz w:val="28"/>
          <w:szCs w:val="28"/>
        </w:rPr>
        <w:t>设备</w:t>
      </w:r>
      <w:r>
        <w:rPr>
          <w:rFonts w:hint="eastAsia" w:ascii="仿宋" w:hAnsi="仿宋" w:eastAsia="仿宋" w:cs="仿宋"/>
          <w:b w:val="0"/>
          <w:bCs w:val="0"/>
          <w:color w:val="000000"/>
          <w:sz w:val="28"/>
          <w:szCs w:val="28"/>
          <w:lang w:val="en-US" w:eastAsia="zh-CN"/>
        </w:rPr>
        <w:t>的详细运行维护内容如下：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1、COD在线监测系统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更换试剂，每周巡检</w:t>
      </w:r>
      <w:r>
        <w:rPr>
          <w:rFonts w:hint="eastAsia" w:ascii="仿宋" w:hAnsi="仿宋" w:eastAsia="仿宋" w:cs="仿宋"/>
          <w:b w:val="0"/>
          <w:bCs w:val="0"/>
          <w:color w:val="000000"/>
          <w:sz w:val="28"/>
          <w:szCs w:val="28"/>
          <w:lang w:val="en-US" w:eastAsia="zh-CN"/>
        </w:rPr>
        <w:t xml:space="preserve">检查设备运行情况 </w:t>
      </w:r>
      <w:r>
        <w:rPr>
          <w:rFonts w:hint="eastAsia" w:ascii="仿宋" w:hAnsi="仿宋" w:eastAsia="仿宋" w:cs="仿宋"/>
          <w:b w:val="0"/>
          <w:bCs w:val="0"/>
          <w:color w:val="000000"/>
          <w:sz w:val="28"/>
          <w:szCs w:val="28"/>
        </w:rPr>
        <w:t>，每</w:t>
      </w:r>
      <w:r>
        <w:rPr>
          <w:rFonts w:hint="eastAsia" w:ascii="仿宋" w:hAnsi="仿宋" w:eastAsia="仿宋" w:cs="仿宋"/>
          <w:b w:val="0"/>
          <w:bCs w:val="0"/>
          <w:color w:val="000000"/>
          <w:sz w:val="28"/>
          <w:szCs w:val="28"/>
          <w:lang w:val="en-US" w:eastAsia="zh-CN"/>
        </w:rPr>
        <w:t>天用标液核查设备保证设备的准确度，每周对设备进行</w:t>
      </w:r>
      <w:r>
        <w:rPr>
          <w:rFonts w:hint="eastAsia" w:ascii="仿宋" w:hAnsi="仿宋" w:eastAsia="仿宋" w:cs="仿宋"/>
          <w:b w:val="0"/>
          <w:bCs w:val="0"/>
          <w:color w:val="000000"/>
          <w:sz w:val="28"/>
          <w:szCs w:val="28"/>
        </w:rPr>
        <w:t>校对</w:t>
      </w:r>
      <w:r>
        <w:rPr>
          <w:rFonts w:hint="eastAsia" w:ascii="仿宋" w:hAnsi="仿宋" w:eastAsia="仿宋" w:cs="仿宋"/>
          <w:b w:val="0"/>
          <w:bCs w:val="0"/>
          <w:color w:val="000000"/>
          <w:sz w:val="28"/>
          <w:szCs w:val="28"/>
          <w:lang w:val="en-US" w:eastAsia="zh-CN"/>
        </w:rPr>
        <w:t>保证设备的精准度；做好相关的巡检记录。</w:t>
      </w:r>
      <w:r>
        <w:rPr>
          <w:rFonts w:hint="eastAsia" w:ascii="仿宋" w:hAnsi="仿宋" w:eastAsia="仿宋" w:cs="仿宋"/>
          <w:b w:val="0"/>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7.2</w:t>
      </w:r>
      <w:r>
        <w:rPr>
          <w:rFonts w:hint="eastAsia" w:ascii="仿宋" w:hAnsi="仿宋" w:eastAsia="仿宋" w:cs="仿宋"/>
          <w:b w:val="0"/>
          <w:bCs w:val="0"/>
          <w:color w:val="000000"/>
          <w:sz w:val="28"/>
          <w:szCs w:val="28"/>
        </w:rPr>
        <w:t>、氨氮在线监测系统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更换试剂，每周巡检</w:t>
      </w:r>
      <w:r>
        <w:rPr>
          <w:rFonts w:hint="eastAsia" w:ascii="仿宋" w:hAnsi="仿宋" w:eastAsia="仿宋" w:cs="仿宋"/>
          <w:b w:val="0"/>
          <w:bCs w:val="0"/>
          <w:color w:val="000000"/>
          <w:sz w:val="28"/>
          <w:szCs w:val="28"/>
          <w:lang w:val="en-US" w:eastAsia="zh-CN"/>
        </w:rPr>
        <w:t xml:space="preserve">检查设备运行情况 </w:t>
      </w:r>
      <w:r>
        <w:rPr>
          <w:rFonts w:hint="eastAsia" w:ascii="仿宋" w:hAnsi="仿宋" w:eastAsia="仿宋" w:cs="仿宋"/>
          <w:b w:val="0"/>
          <w:bCs w:val="0"/>
          <w:color w:val="000000"/>
          <w:sz w:val="28"/>
          <w:szCs w:val="28"/>
        </w:rPr>
        <w:t>，每</w:t>
      </w:r>
      <w:r>
        <w:rPr>
          <w:rFonts w:hint="eastAsia" w:ascii="仿宋" w:hAnsi="仿宋" w:eastAsia="仿宋" w:cs="仿宋"/>
          <w:b w:val="0"/>
          <w:bCs w:val="0"/>
          <w:color w:val="000000"/>
          <w:sz w:val="28"/>
          <w:szCs w:val="28"/>
          <w:lang w:val="en-US" w:eastAsia="zh-CN"/>
        </w:rPr>
        <w:t>天用标液核查设备保证设备的准确度，每周对设备进行</w:t>
      </w:r>
      <w:r>
        <w:rPr>
          <w:rFonts w:hint="eastAsia" w:ascii="仿宋" w:hAnsi="仿宋" w:eastAsia="仿宋" w:cs="仿宋"/>
          <w:b w:val="0"/>
          <w:bCs w:val="0"/>
          <w:color w:val="000000"/>
          <w:sz w:val="28"/>
          <w:szCs w:val="28"/>
        </w:rPr>
        <w:t>校对</w:t>
      </w:r>
      <w:r>
        <w:rPr>
          <w:rFonts w:hint="eastAsia" w:ascii="仿宋" w:hAnsi="仿宋" w:eastAsia="仿宋" w:cs="仿宋"/>
          <w:b w:val="0"/>
          <w:bCs w:val="0"/>
          <w:color w:val="000000"/>
          <w:sz w:val="28"/>
          <w:szCs w:val="28"/>
          <w:lang w:val="en-US" w:eastAsia="zh-CN"/>
        </w:rPr>
        <w:t>保证设备的精准度</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val="en-US" w:eastAsia="zh-CN"/>
        </w:rPr>
        <w:t>做好相关的巡检记录。</w:t>
      </w:r>
      <w:r>
        <w:rPr>
          <w:rFonts w:hint="eastAsia" w:ascii="仿宋" w:hAnsi="仿宋" w:eastAsia="仿宋" w:cs="仿宋"/>
          <w:b w:val="0"/>
          <w:bCs w:val="0"/>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3、PH在线监测系统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4、余氯在线监测系统。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5、流量计在线监测系统。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w:t>
      </w:r>
      <w:r>
        <w:rPr>
          <w:rFonts w:hint="eastAsia" w:ascii="仿宋" w:hAnsi="仿宋" w:eastAsia="仿宋" w:cs="仿宋"/>
          <w:b w:val="0"/>
          <w:bCs w:val="0"/>
          <w:color w:val="000000"/>
          <w:sz w:val="28"/>
          <w:szCs w:val="28"/>
        </w:rPr>
        <w:t>6、数据采集仪在线监测系统。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更换配件，每周巡检，每季度校对。（不含上网费用）；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7.7水质自动采集仪</w:t>
      </w:r>
      <w:r>
        <w:rPr>
          <w:rFonts w:hint="eastAsia" w:ascii="仿宋" w:hAnsi="仿宋" w:eastAsia="仿宋" w:cs="仿宋"/>
          <w:b w:val="0"/>
          <w:bCs w:val="0"/>
          <w:color w:val="000000"/>
          <w:sz w:val="28"/>
          <w:szCs w:val="28"/>
        </w:rPr>
        <w:t>在线监测系统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服务项目：</w:t>
      </w:r>
      <w:r>
        <w:rPr>
          <w:rFonts w:hint="eastAsia" w:ascii="仿宋" w:hAnsi="仿宋" w:eastAsia="仿宋" w:cs="仿宋"/>
          <w:b w:val="0"/>
          <w:bCs w:val="0"/>
          <w:color w:val="000000"/>
          <w:sz w:val="28"/>
          <w:szCs w:val="28"/>
          <w:lang w:eastAsia="zh-CN"/>
        </w:rPr>
        <w:t>负责</w:t>
      </w:r>
      <w:r>
        <w:rPr>
          <w:rFonts w:hint="eastAsia" w:ascii="仿宋" w:hAnsi="仿宋" w:eastAsia="仿宋" w:cs="仿宋"/>
          <w:b w:val="0"/>
          <w:bCs w:val="0"/>
          <w:color w:val="000000"/>
          <w:sz w:val="28"/>
          <w:szCs w:val="28"/>
        </w:rPr>
        <w:t>更换配件，每周巡检，</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8、</w:t>
      </w:r>
      <w:r>
        <w:rPr>
          <w:rFonts w:hint="eastAsia" w:ascii="仿宋" w:hAnsi="仿宋" w:eastAsia="仿宋" w:cs="仿宋"/>
          <w:b w:val="0"/>
          <w:bCs w:val="0"/>
          <w:color w:val="000000"/>
          <w:sz w:val="28"/>
          <w:szCs w:val="28"/>
          <w:lang w:eastAsia="zh-CN"/>
        </w:rPr>
        <w:t>供应商</w:t>
      </w:r>
      <w:r>
        <w:rPr>
          <w:rFonts w:hint="eastAsia" w:ascii="仿宋" w:hAnsi="仿宋" w:eastAsia="仿宋" w:cs="仿宋"/>
          <w:b w:val="0"/>
          <w:bCs w:val="0"/>
          <w:color w:val="000000"/>
          <w:sz w:val="28"/>
          <w:szCs w:val="28"/>
        </w:rPr>
        <w:t>不对以下人为或不可抗力的自然原因而造成</w:t>
      </w:r>
      <w:r>
        <w:rPr>
          <w:rFonts w:hint="eastAsia" w:ascii="仿宋" w:hAnsi="仿宋" w:eastAsia="仿宋" w:cs="仿宋"/>
          <w:b w:val="0"/>
          <w:bCs w:val="0"/>
          <w:color w:val="000000"/>
          <w:sz w:val="28"/>
          <w:szCs w:val="28"/>
          <w:lang w:eastAsia="zh-CN"/>
        </w:rPr>
        <w:t>采购人</w:t>
      </w:r>
      <w:r>
        <w:rPr>
          <w:rFonts w:hint="eastAsia" w:ascii="仿宋" w:hAnsi="仿宋" w:eastAsia="仿宋" w:cs="仿宋"/>
          <w:b w:val="0"/>
          <w:bCs w:val="0"/>
          <w:color w:val="000000"/>
          <w:sz w:val="28"/>
          <w:szCs w:val="28"/>
        </w:rPr>
        <w:t>设备的损坏负责，如需</w:t>
      </w:r>
      <w:r>
        <w:rPr>
          <w:rFonts w:hint="eastAsia" w:ascii="仿宋" w:hAnsi="仿宋" w:eastAsia="仿宋" w:cs="仿宋"/>
          <w:b w:val="0"/>
          <w:bCs w:val="0"/>
          <w:color w:val="000000"/>
          <w:sz w:val="28"/>
          <w:szCs w:val="28"/>
          <w:lang w:eastAsia="zh-CN"/>
        </w:rPr>
        <w:t>供应商</w:t>
      </w:r>
      <w:r>
        <w:rPr>
          <w:rFonts w:hint="eastAsia" w:ascii="仿宋" w:hAnsi="仿宋" w:eastAsia="仿宋" w:cs="仿宋"/>
          <w:b w:val="0"/>
          <w:bCs w:val="0"/>
          <w:color w:val="000000"/>
          <w:sz w:val="28"/>
          <w:szCs w:val="28"/>
        </w:rPr>
        <w:t>修理，应另行支付服务费用（费用由双方协商）：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lang w:val="en-US" w:eastAsia="zh-CN"/>
        </w:rPr>
        <w:t>1</w:t>
      </w:r>
      <w:r>
        <w:rPr>
          <w:rFonts w:hint="eastAsia" w:ascii="仿宋" w:hAnsi="仿宋" w:eastAsia="仿宋" w:cs="仿宋"/>
          <w:b w:val="0"/>
          <w:bCs w:val="0"/>
          <w:color w:val="000000"/>
          <w:sz w:val="28"/>
          <w:szCs w:val="28"/>
        </w:rPr>
        <w:t>、</w:t>
      </w:r>
      <w:r>
        <w:rPr>
          <w:rFonts w:hint="eastAsia" w:ascii="仿宋" w:hAnsi="仿宋" w:eastAsia="仿宋" w:cs="仿宋"/>
          <w:b w:val="0"/>
          <w:bCs w:val="0"/>
          <w:color w:val="000000"/>
          <w:sz w:val="28"/>
          <w:szCs w:val="28"/>
          <w:lang w:eastAsia="zh-CN"/>
        </w:rPr>
        <w:t>采购人</w:t>
      </w:r>
      <w:r>
        <w:rPr>
          <w:rFonts w:hint="eastAsia" w:ascii="仿宋" w:hAnsi="仿宋" w:eastAsia="仿宋" w:cs="仿宋"/>
          <w:b w:val="0"/>
          <w:bCs w:val="0"/>
          <w:color w:val="000000"/>
          <w:sz w:val="28"/>
          <w:szCs w:val="28"/>
        </w:rPr>
        <w:t>设备使用人不按正常操作程序、自行拆机或委任他人维修而造成的设备损坏；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2</w:t>
      </w:r>
      <w:r>
        <w:rPr>
          <w:rFonts w:hint="eastAsia" w:ascii="仿宋" w:hAnsi="仿宋" w:eastAsia="仿宋" w:cs="仿宋"/>
          <w:b w:val="0"/>
          <w:bCs w:val="0"/>
          <w:color w:val="000000"/>
          <w:sz w:val="28"/>
          <w:szCs w:val="28"/>
        </w:rPr>
        <w:t>、因不可抗力所造成的损坏</w:t>
      </w:r>
      <w:r>
        <w:rPr>
          <w:rFonts w:hint="eastAsia" w:ascii="仿宋" w:hAnsi="仿宋" w:eastAsia="仿宋" w:cs="仿宋"/>
          <w:b w:val="0"/>
          <w:bCs w:val="0"/>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三</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供应商</w:t>
      </w:r>
      <w:r>
        <w:rPr>
          <w:rFonts w:hint="eastAsia" w:ascii="仿宋" w:hAnsi="仿宋" w:eastAsia="仿宋" w:cs="仿宋"/>
          <w:b/>
          <w:bCs/>
          <w:color w:val="000000"/>
          <w:sz w:val="28"/>
          <w:szCs w:val="28"/>
        </w:rPr>
        <w:t>服务响应时间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lang w:eastAsia="zh-CN"/>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应当在</w:t>
      </w:r>
      <w:r>
        <w:rPr>
          <w:rFonts w:hint="eastAsia" w:ascii="仿宋" w:hAnsi="仿宋" w:eastAsia="仿宋" w:cs="仿宋"/>
          <w:color w:val="000000"/>
          <w:sz w:val="28"/>
          <w:szCs w:val="28"/>
          <w:lang w:val="en-US" w:eastAsia="zh-CN"/>
        </w:rPr>
        <w:t>接到采购人电话或</w:t>
      </w:r>
      <w:r>
        <w:rPr>
          <w:rFonts w:hint="eastAsia" w:ascii="仿宋" w:hAnsi="仿宋" w:eastAsia="仿宋" w:cs="仿宋"/>
          <w:color w:val="000000"/>
          <w:sz w:val="28"/>
          <w:szCs w:val="28"/>
        </w:rPr>
        <w:t>收到</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lang w:val="en-US" w:eastAsia="zh-CN"/>
        </w:rPr>
        <w:t>通知</w:t>
      </w:r>
      <w:r>
        <w:rPr>
          <w:rFonts w:hint="eastAsia" w:ascii="仿宋" w:hAnsi="仿宋" w:eastAsia="仿宋" w:cs="仿宋"/>
          <w:color w:val="000000"/>
          <w:sz w:val="28"/>
          <w:szCs w:val="28"/>
        </w:rPr>
        <w:t>要求排除故障后</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小时内完成故障排除工作。如无法在规定时间内排除故障应配合</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向环保</w:t>
      </w:r>
      <w:r>
        <w:rPr>
          <w:rFonts w:hint="eastAsia" w:ascii="仿宋" w:hAnsi="仿宋" w:eastAsia="仿宋" w:cs="仿宋"/>
          <w:color w:val="000000"/>
          <w:sz w:val="28"/>
          <w:szCs w:val="28"/>
          <w:lang w:val="en-US" w:eastAsia="zh-CN"/>
        </w:rPr>
        <w:t>部门</w:t>
      </w:r>
      <w:r>
        <w:rPr>
          <w:rFonts w:hint="eastAsia" w:ascii="仿宋" w:hAnsi="仿宋" w:eastAsia="仿宋" w:cs="仿宋"/>
          <w:color w:val="000000"/>
          <w:sz w:val="28"/>
          <w:szCs w:val="28"/>
        </w:rPr>
        <w:t>报告。</w:t>
      </w:r>
    </w:p>
    <w:p>
      <w:pPr>
        <w:pStyle w:val="18"/>
        <w:widowControl/>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由此而导致的采购人对任何第三方的法律责任等，供应商对此均应承担全部的赔偿责任和法律责任。</w:t>
      </w:r>
    </w:p>
    <w:p>
      <w:pPr>
        <w:pStyle w:val="17"/>
        <w:spacing w:line="360" w:lineRule="auto"/>
        <w:ind w:left="420" w:leftChars="200" w:firstLine="281" w:firstLineChars="100"/>
        <w:rPr>
          <w:rFonts w:hint="eastAsia" w:ascii="仿宋" w:hAnsi="仿宋" w:eastAsia="仿宋" w:cs="仿宋"/>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、商务要求</w:t>
      </w:r>
    </w:p>
    <w:p>
      <w:pPr>
        <w:pStyle w:val="21"/>
        <w:pageBreakBefore w:val="0"/>
        <w:kinsoku/>
        <w:wordWrap/>
        <w:overflowPunct/>
        <w:topLinePunct w:val="0"/>
        <w:bidi w:val="0"/>
        <w:snapToGrid/>
        <w:spacing w:line="360" w:lineRule="auto"/>
        <w:ind w:firstLine="56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（一）合同的履行期限</w:t>
      </w:r>
    </w:p>
    <w:p>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1、双方签订采购合同生效之日起两年</w:t>
      </w:r>
      <w:r>
        <w:rPr>
          <w:rFonts w:hint="eastAsia" w:ascii="仿宋" w:hAnsi="仿宋" w:eastAsia="仿宋" w:cs="仿宋"/>
          <w:color w:val="auto"/>
          <w:sz w:val="28"/>
          <w:szCs w:val="28"/>
        </w:rPr>
        <w:t>。</w:t>
      </w:r>
    </w:p>
    <w:p>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21"/>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pPr>
        <w:pStyle w:val="18"/>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（二）项目履行地点</w:t>
      </w:r>
      <w:r>
        <w:rPr>
          <w:rFonts w:hint="eastAsia" w:ascii="仿宋" w:hAnsi="仿宋" w:eastAsia="仿宋" w:cs="仿宋"/>
          <w:color w:val="auto"/>
          <w:sz w:val="28"/>
          <w:szCs w:val="28"/>
        </w:rPr>
        <w:t>：大竹县人民医院院内指定地点。</w:t>
      </w:r>
    </w:p>
    <w:p>
      <w:pPr>
        <w:pStyle w:val="13"/>
        <w:pageBreakBefore w:val="0"/>
        <w:kinsoku/>
        <w:wordWrap/>
        <w:overflowPunct/>
        <w:topLinePunct w:val="0"/>
        <w:bidi w:val="0"/>
        <w:snapToGrid/>
        <w:spacing w:line="360" w:lineRule="auto"/>
        <w:ind w:left="630" w:leftChars="3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（三）项目付款方式</w:t>
      </w:r>
      <w:r>
        <w:rPr>
          <w:rFonts w:hint="eastAsia" w:ascii="仿宋" w:hAnsi="仿宋" w:eastAsia="仿宋" w:cs="仿宋"/>
          <w:b/>
          <w:bCs/>
          <w:color w:val="auto"/>
          <w:sz w:val="28"/>
          <w:szCs w:val="28"/>
          <w:lang w:val="en-US" w:eastAsia="zh-CN"/>
        </w:rPr>
        <w:t>及验收方式</w:t>
      </w:r>
    </w:p>
    <w:p>
      <w:pPr>
        <w:pStyle w:val="18"/>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、采购人采用银行转账方式付款，采购人付款前，成交供应商必须出具国家认可的足额有效发票，否则采购人有权拒绝付款。</w:t>
      </w:r>
    </w:p>
    <w:p>
      <w:pPr>
        <w:pStyle w:val="13"/>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整个合同履行期内，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共支付</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次服务费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每次支付成交总额的四分之一。</w:t>
      </w:r>
    </w:p>
    <w:p>
      <w:pPr>
        <w:pStyle w:val="14"/>
        <w:ind w:firstLine="560" w:firstLineChars="200"/>
        <w:rPr>
          <w:rFonts w:hint="eastAsia" w:eastAsia="仿宋"/>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双方签订合同后，</w:t>
      </w:r>
      <w:r>
        <w:rPr>
          <w:rFonts w:hint="eastAsia" w:ascii="仿宋" w:hAnsi="仿宋" w:eastAsia="仿宋" w:cs="仿宋"/>
          <w:color w:val="auto"/>
          <w:sz w:val="28"/>
          <w:szCs w:val="28"/>
          <w:lang w:val="en-US" w:eastAsia="zh-CN"/>
        </w:rPr>
        <w:t>供应商正常提供服务后，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在收到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有效发票后</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0天内，向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转账支付</w:t>
      </w:r>
      <w:r>
        <w:rPr>
          <w:rFonts w:hint="eastAsia" w:ascii="仿宋" w:hAnsi="仿宋" w:eastAsia="仿宋" w:cs="仿宋"/>
          <w:color w:val="auto"/>
          <w:sz w:val="28"/>
          <w:szCs w:val="28"/>
          <w:lang w:val="en-US" w:eastAsia="zh-CN"/>
        </w:rPr>
        <w:t>成交总额的四分之一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之后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正常维护情况下</w:t>
      </w:r>
      <w:r>
        <w:rPr>
          <w:rFonts w:hint="eastAsia" w:ascii="仿宋" w:hAnsi="仿宋" w:eastAsia="仿宋" w:cs="仿宋"/>
          <w:color w:val="auto"/>
          <w:sz w:val="28"/>
          <w:szCs w:val="28"/>
          <w:lang w:val="en-US" w:eastAsia="zh-CN"/>
        </w:rPr>
        <w:t>且如实提供付款佐证资料后</w:t>
      </w:r>
      <w:r>
        <w:rPr>
          <w:rFonts w:hint="eastAsia" w:ascii="仿宋" w:hAnsi="仿宋" w:eastAsia="仿宋" w:cs="仿宋"/>
          <w:color w:val="auto"/>
          <w:sz w:val="28"/>
          <w:szCs w:val="28"/>
        </w:rPr>
        <w:t>，每半年</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在收到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有效发票后</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0天内，向</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转账支付</w:t>
      </w:r>
      <w:r>
        <w:rPr>
          <w:rFonts w:hint="eastAsia" w:ascii="仿宋" w:hAnsi="仿宋" w:eastAsia="仿宋" w:cs="仿宋"/>
          <w:color w:val="auto"/>
          <w:sz w:val="28"/>
          <w:szCs w:val="28"/>
          <w:lang w:val="en-US" w:eastAsia="zh-CN"/>
        </w:rPr>
        <w:t>成交总额的四分之一。</w:t>
      </w:r>
    </w:p>
    <w:p>
      <w:pPr>
        <w:pStyle w:val="21"/>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）违约责任</w:t>
      </w:r>
    </w:p>
    <w:p>
      <w:pPr>
        <w:pStyle w:val="13"/>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 w:val="0"/>
          <w:bCs/>
          <w:color w:val="auto"/>
          <w:sz w:val="28"/>
          <w:szCs w:val="28"/>
        </w:rPr>
        <w:t>1、</w:t>
      </w:r>
      <w:r>
        <w:rPr>
          <w:rFonts w:hint="eastAsia" w:ascii="仿宋" w:hAnsi="仿宋" w:eastAsia="仿宋" w:cs="仿宋"/>
          <w:bCs/>
          <w:color w:val="auto"/>
          <w:sz w:val="28"/>
          <w:szCs w:val="28"/>
        </w:rPr>
        <w:t>供应商必须严格按照国家相关法律法规和</w:t>
      </w:r>
      <w:r>
        <w:rPr>
          <w:rFonts w:hint="eastAsia" w:ascii="仿宋" w:hAnsi="仿宋" w:eastAsia="仿宋" w:cs="仿宋"/>
          <w:bCs/>
          <w:color w:val="auto"/>
          <w:sz w:val="28"/>
          <w:szCs w:val="28"/>
          <w:lang w:eastAsia="zh-CN"/>
        </w:rPr>
        <w:t>本文件</w:t>
      </w:r>
      <w:r>
        <w:rPr>
          <w:rFonts w:hint="eastAsia" w:ascii="仿宋" w:hAnsi="仿宋" w:eastAsia="仿宋" w:cs="仿宋"/>
          <w:bCs/>
          <w:color w:val="auto"/>
          <w:sz w:val="28"/>
          <w:szCs w:val="28"/>
        </w:rPr>
        <w:t>约定履行合同，按时全面履行本项目的各项义务，供应商不履行本项目义务或瑕疵履行本项目义务或延迟履行本项目义务或履行合同义务不符合合同约定的，则成交供应商违约。</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w:t>
      </w:r>
      <w:r>
        <w:rPr>
          <w:rFonts w:hint="eastAsia" w:ascii="仿宋" w:hAnsi="仿宋" w:eastAsia="仿宋" w:cs="仿宋"/>
          <w:color w:val="auto"/>
          <w:sz w:val="28"/>
          <w:szCs w:val="28"/>
          <w:lang w:val="en-US" w:eastAsia="zh-CN"/>
        </w:rPr>
        <w:t>费用</w:t>
      </w:r>
      <w:r>
        <w:rPr>
          <w:rFonts w:hint="eastAsia" w:ascii="仿宋" w:hAnsi="仿宋" w:eastAsia="仿宋" w:cs="仿宋"/>
          <w:color w:val="auto"/>
          <w:sz w:val="28"/>
          <w:szCs w:val="28"/>
        </w:rPr>
        <w:t>中扣除违约金，成交供应商因违约行为偿付的违约金不足以弥补采购人损失的，还应按采购人损失尚未弥补的部分，支付赔偿金全额赔偿采购人损失。</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有下列情形之一行为视为供应商违约，采购人有权按照以下条款要求成交供应商承担违约金及违约责任：</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（2）成交供应商提供的服务根本违约，致使合同的目的不能实现的，成交供应商应向采购人缴纳合同总价款20%的违约金，同时采购人有权解除合同。</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成交供应商延迟履约，即成交供应商应向采购人提供的服务未按合同约定时间达成的，成交供应商每有一次违约行为，采购人将扣除成交供应商当月结算货款200元，供应商经采购人催告后应继续按合同约定履行合同。若供应商</w:t>
      </w:r>
      <w:r>
        <w:rPr>
          <w:rFonts w:hint="eastAsia" w:ascii="仿宋" w:hAnsi="仿宋" w:eastAsia="仿宋" w:cs="仿宋"/>
          <w:color w:val="auto"/>
          <w:sz w:val="28"/>
          <w:szCs w:val="28"/>
          <w:lang w:val="en-US" w:eastAsia="zh-CN"/>
        </w:rPr>
        <w:t>一年内3次延迟履约</w:t>
      </w:r>
      <w:r>
        <w:rPr>
          <w:rFonts w:hint="eastAsia" w:ascii="仿宋" w:hAnsi="仿宋" w:eastAsia="仿宋" w:cs="仿宋"/>
          <w:color w:val="auto"/>
          <w:sz w:val="28"/>
          <w:szCs w:val="28"/>
        </w:rPr>
        <w:t>，则成交供应商应向采购人缴纳合同总价款5%的违约金，同时采购人有权解除合同。</w:t>
      </w:r>
    </w:p>
    <w:p>
      <w:pPr>
        <w:pStyle w:val="13"/>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）成交供应商</w:t>
      </w:r>
      <w:r>
        <w:rPr>
          <w:rFonts w:hint="eastAsia" w:ascii="仿宋" w:hAnsi="仿宋" w:eastAsia="仿宋" w:cs="仿宋"/>
          <w:color w:val="auto"/>
          <w:sz w:val="28"/>
          <w:szCs w:val="28"/>
          <w:lang w:val="en-US" w:eastAsia="zh-CN"/>
        </w:rPr>
        <w:t>少服务一次</w:t>
      </w:r>
      <w:r>
        <w:rPr>
          <w:rFonts w:hint="eastAsia" w:ascii="仿宋" w:hAnsi="仿宋" w:eastAsia="仿宋" w:cs="仿宋"/>
          <w:color w:val="auto"/>
          <w:sz w:val="28"/>
          <w:szCs w:val="28"/>
        </w:rPr>
        <w:t>，承担500元/天的违约金，供应商经采购人催告后应继续按合同约定履行合同。若供应商</w:t>
      </w:r>
      <w:r>
        <w:rPr>
          <w:rFonts w:hint="eastAsia" w:ascii="仿宋" w:hAnsi="仿宋" w:eastAsia="仿宋" w:cs="仿宋"/>
          <w:color w:val="auto"/>
          <w:sz w:val="28"/>
          <w:szCs w:val="28"/>
          <w:lang w:val="en-US" w:eastAsia="zh-CN"/>
        </w:rPr>
        <w:t>一年内3次违约行为</w:t>
      </w:r>
      <w:r>
        <w:rPr>
          <w:rFonts w:hint="eastAsia" w:ascii="仿宋" w:hAnsi="仿宋" w:eastAsia="仿宋" w:cs="仿宋"/>
          <w:color w:val="auto"/>
          <w:sz w:val="28"/>
          <w:szCs w:val="28"/>
        </w:rPr>
        <w:t>，则成交供应商应向采购人缴纳合同总价款5%的违约金，同时采购人有权解除合同。</w:t>
      </w:r>
    </w:p>
    <w:p>
      <w:pPr>
        <w:pStyle w:val="13"/>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）成交供应商所供的服务瑕疵违约，与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要求或采购人采购需求不符的，成交供应商应承担</w:t>
      </w:r>
      <w:r>
        <w:rPr>
          <w:rFonts w:hint="eastAsia" w:ascii="仿宋" w:hAnsi="仿宋" w:eastAsia="仿宋" w:cs="仿宋"/>
          <w:color w:val="auto"/>
          <w:sz w:val="28"/>
          <w:szCs w:val="28"/>
          <w:lang w:val="en-US" w:eastAsia="zh-CN"/>
        </w:rPr>
        <w:t>及时补救</w:t>
      </w:r>
      <w:r>
        <w:rPr>
          <w:rFonts w:hint="eastAsia" w:ascii="仿宋" w:hAnsi="仿宋" w:eastAsia="仿宋" w:cs="仿宋"/>
          <w:color w:val="auto"/>
          <w:sz w:val="28"/>
          <w:szCs w:val="28"/>
        </w:rPr>
        <w:t>或者</w:t>
      </w:r>
      <w:r>
        <w:rPr>
          <w:rFonts w:hint="eastAsia" w:ascii="仿宋" w:hAnsi="仿宋" w:eastAsia="仿宋" w:cs="仿宋"/>
          <w:color w:val="auto"/>
          <w:sz w:val="28"/>
          <w:szCs w:val="28"/>
          <w:lang w:val="en-US" w:eastAsia="zh-CN"/>
        </w:rPr>
        <w:t>减少</w:t>
      </w:r>
      <w:r>
        <w:rPr>
          <w:rFonts w:hint="eastAsia" w:ascii="仿宋" w:hAnsi="仿宋" w:eastAsia="仿宋" w:cs="仿宋"/>
          <w:color w:val="auto"/>
          <w:sz w:val="28"/>
          <w:szCs w:val="28"/>
        </w:rPr>
        <w:t>报酬等违约责任。同时成交供应商每有一次违约行为，采购人将扣除成交供应商当月结算货款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%的违约金，同时采购人有权解除合同。经采购人同意后，供应商更正瑕疵违约行为后，可以继续按合同约定履行合同。</w:t>
      </w:r>
    </w:p>
    <w:p>
      <w:pPr>
        <w:pStyle w:val="21"/>
        <w:spacing w:line="360" w:lineRule="auto"/>
        <w:ind w:firstLine="560"/>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bookmarkStart w:id="2" w:name="★4.4_违约处理"/>
      <w:bookmarkEnd w:id="2"/>
      <w:r>
        <w:rPr>
          <w:rFonts w:hint="eastAsia" w:ascii="仿宋" w:hAnsi="仿宋" w:eastAsia="仿宋" w:cs="仿宋"/>
          <w:color w:val="auto"/>
          <w:sz w:val="28"/>
          <w:szCs w:val="28"/>
        </w:rPr>
        <w:t>合同履行过程中由供应商及员工原因造成的一切安全事故、人身伤亡、经济损失均由供应商自行负责承担，其责任与采购人无关。</w:t>
      </w:r>
      <w:bookmarkStart w:id="3" w:name="★4.4 违约处理"/>
      <w:bookmarkEnd w:id="3"/>
      <w:r>
        <w:rPr>
          <w:rFonts w:hint="eastAsia" w:ascii="仿宋" w:hAnsi="仿宋" w:eastAsia="仿宋" w:cs="仿宋"/>
          <w:color w:val="auto"/>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pPr>
        <w:pStyle w:val="21"/>
        <w:spacing w:line="360" w:lineRule="auto"/>
        <w:ind w:firstLine="560"/>
        <w:rPr>
          <w:rFonts w:hint="eastAsia" w:ascii="仿宋" w:hAnsi="仿宋" w:eastAsia="仿宋" w:cs="仿宋"/>
          <w:b/>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sz w:val="28"/>
          <w:szCs w:val="28"/>
          <w:lang w:val="en-US" w:eastAsia="zh-CN"/>
        </w:rPr>
        <w:t>供应商报价</w:t>
      </w:r>
    </w:p>
    <w:tbl>
      <w:tblPr>
        <w:tblStyle w:val="9"/>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11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exact"/>
          <w:jc w:val="center"/>
        </w:trPr>
        <w:tc>
          <w:tcPr>
            <w:tcW w:w="107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rPr>
              <w:t>序号</w:t>
            </w:r>
          </w:p>
        </w:tc>
        <w:tc>
          <w:tcPr>
            <w:tcW w:w="311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项目名称</w:t>
            </w:r>
          </w:p>
        </w:tc>
        <w:tc>
          <w:tcPr>
            <w:tcW w:w="52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供应商完成本项目的包干价</w:t>
            </w:r>
          </w:p>
          <w:p>
            <w:pPr>
              <w:widowControl/>
              <w:spacing w:line="360" w:lineRule="auto"/>
              <w:jc w:val="center"/>
              <w:outlineLvl w:val="1"/>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val="0"/>
                <w:color w:val="000000" w:themeColor="text1"/>
                <w:sz w:val="28"/>
                <w:szCs w:val="28"/>
                <w:highlight w:val="none"/>
                <w:lang w:val="en-US" w:eastAsia="zh-CN"/>
                <w14:textFill>
                  <w14:solidFill>
                    <w14:schemeClr w14:val="tx1"/>
                  </w14:solidFill>
                </w14:textFill>
              </w:rPr>
              <w:t>（计价单位：人民币元）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7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110" w:type="dxa"/>
            <w:tcBorders>
              <w:top w:val="single" w:color="auto" w:sz="4" w:space="0"/>
              <w:left w:val="single" w:color="auto" w:sz="4" w:space="0"/>
              <w:bottom w:val="single" w:color="auto" w:sz="4" w:space="0"/>
              <w:right w:val="single" w:color="auto" w:sz="4" w:space="0"/>
            </w:tcBorders>
            <w:noWrap/>
            <w:vAlign w:val="center"/>
          </w:tcPr>
          <w:p>
            <w:pPr>
              <w:pStyle w:val="21"/>
              <w:spacing w:line="360" w:lineRule="auto"/>
              <w:ind w:firstLine="56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大竹县人民医院污水在线监测系统运行维护服务项目</w:t>
            </w:r>
          </w:p>
          <w:p>
            <w:pPr>
              <w:spacing w:line="36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 xml:space="preserve">竹医总采（询）【 】号 </w:t>
            </w:r>
            <w:r>
              <w:rPr>
                <w:rFonts w:hint="eastAsia" w:ascii="仿宋" w:hAnsi="仿宋" w:eastAsia="仿宋" w:cs="仿宋"/>
                <w:sz w:val="28"/>
                <w:szCs w:val="28"/>
                <w:lang w:val="en-US" w:eastAsia="zh-CN"/>
              </w:rPr>
              <w:t xml:space="preserve"> </w:t>
            </w:r>
          </w:p>
        </w:tc>
        <w:tc>
          <w:tcPr>
            <w:tcW w:w="525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元/2年。</w:t>
            </w:r>
          </w:p>
          <w:p>
            <w:pPr>
              <w:spacing w:line="360" w:lineRule="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32" w:type="dxa"/>
            <w:gridSpan w:val="3"/>
            <w:tcBorders>
              <w:top w:val="single" w:color="auto" w:sz="4" w:space="0"/>
              <w:left w:val="single" w:color="auto" w:sz="4" w:space="0"/>
              <w:bottom w:val="single" w:color="auto" w:sz="4" w:space="0"/>
              <w:right w:val="single" w:color="auto" w:sz="4" w:space="0"/>
            </w:tcBorders>
            <w:noWrap/>
            <w:vAlign w:val="center"/>
          </w:tcPr>
          <w:p>
            <w:pPr>
              <w:pStyle w:val="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color w:val="auto"/>
                <w:sz w:val="28"/>
                <w:szCs w:val="28"/>
                <w:lang w:val="en-US" w:eastAsia="zh-CN"/>
              </w:rPr>
              <w:t>供应商报价为包干价，</w:t>
            </w:r>
            <w:r>
              <w:rPr>
                <w:rFonts w:hint="eastAsia" w:ascii="仿宋" w:hAnsi="仿宋" w:eastAsia="仿宋" w:cs="仿宋"/>
                <w:kern w:val="0"/>
                <w:sz w:val="28"/>
                <w:szCs w:val="28"/>
              </w:rPr>
              <w:t>是完成</w:t>
            </w:r>
            <w:r>
              <w:rPr>
                <w:rFonts w:hint="eastAsia" w:ascii="仿宋" w:hAnsi="仿宋" w:eastAsia="仿宋" w:cs="仿宋"/>
                <w:kern w:val="0"/>
                <w:sz w:val="28"/>
                <w:szCs w:val="28"/>
                <w:lang w:val="en-US" w:eastAsia="zh-CN"/>
              </w:rPr>
              <w:t>本</w:t>
            </w:r>
            <w:r>
              <w:rPr>
                <w:rFonts w:hint="eastAsia" w:ascii="仿宋" w:hAnsi="仿宋" w:eastAsia="仿宋" w:cs="仿宋"/>
                <w:kern w:val="0"/>
                <w:sz w:val="28"/>
                <w:szCs w:val="28"/>
              </w:rPr>
              <w:t>项目的全部内容的价格体现。应包括供应商为完成本项目的全部工作须支付或发生的一切所需费用和拟获得的利润。供应商报价应充分考虑合同履行期内各种费用、市场风险、价格波动、承担义务和付款条件等。</w:t>
            </w:r>
          </w:p>
        </w:tc>
      </w:tr>
    </w:tbl>
    <w:p>
      <w:pPr>
        <w:spacing w:line="360" w:lineRule="auto"/>
        <w:rPr>
          <w:rFonts w:hint="eastAsia" w:ascii="仿宋" w:hAnsi="仿宋" w:eastAsia="仿宋" w:cs="仿宋"/>
          <w:sz w:val="28"/>
          <w:szCs w:val="28"/>
        </w:rPr>
      </w:pP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本文件共8页，供应商已阅读全部内容，并清楚知晓其含义且无异议，供应商同意遵守本文件所有内容，并签字盖章进行报价。</w:t>
      </w:r>
    </w:p>
    <w:p>
      <w:pPr>
        <w:pStyle w:val="2"/>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lang w:val="en-US" w:eastAsia="zh-CN"/>
        </w:rPr>
      </w:pPr>
    </w:p>
    <w:p>
      <w:pPr>
        <w:pStyle w:val="21"/>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”项目遴选活动的合法代表，以我方名义全权处理该项目有关报价、签订合同以及执行合同等一切事宜。</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21"/>
        <w:spacing w:line="360" w:lineRule="auto"/>
        <w:ind w:firstLine="560"/>
        <w:rPr>
          <w:rFonts w:ascii="仿宋" w:hAnsi="仿宋" w:eastAsia="仿宋" w:cs="仿宋"/>
          <w:sz w:val="28"/>
          <w:szCs w:val="28"/>
        </w:rPr>
      </w:pP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21"/>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21"/>
        <w:spacing w:line="360" w:lineRule="auto"/>
        <w:ind w:firstLine="562"/>
        <w:rPr>
          <w:rFonts w:ascii="仿宋" w:hAnsi="仿宋" w:eastAsia="仿宋" w:cs="仿宋"/>
          <w:b/>
          <w:bCs/>
          <w:sz w:val="28"/>
          <w:szCs w:val="28"/>
        </w:rPr>
      </w:pPr>
    </w:p>
    <w:p>
      <w:pPr>
        <w:pStyle w:val="21"/>
        <w:spacing w:line="360" w:lineRule="auto"/>
        <w:ind w:left="0" w:leftChars="0" w:firstLine="0" w:firstLineChars="0"/>
        <w:rPr>
          <w:rFonts w:ascii="仿宋" w:hAnsi="仿宋" w:eastAsia="仿宋" w:cs="仿宋"/>
          <w:b/>
          <w:bCs/>
          <w:sz w:val="28"/>
          <w:szCs w:val="28"/>
        </w:rPr>
      </w:pPr>
    </w:p>
    <w:p>
      <w:pPr>
        <w:pStyle w:val="21"/>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21"/>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C015F8-D1D4-4523-83DA-741C79BB24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2B1F9A0-4559-4097-9825-5811CB02F03A}"/>
  </w:font>
  <w:font w:name="方正公文小标宋">
    <w:panose1 w:val="02000500000000000000"/>
    <w:charset w:val="86"/>
    <w:family w:val="auto"/>
    <w:pitch w:val="default"/>
    <w:sig w:usb0="A00002BF" w:usb1="38CF7CFA" w:usb2="00000016" w:usb3="00000000" w:csb0="00040001" w:csb1="00000000"/>
    <w:embedRegular r:id="rId3" w:fontKey="{948137F1-799C-4537-82C7-4C92E82CF0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F534A"/>
    <w:multiLevelType w:val="singleLevel"/>
    <w:tmpl w:val="E26F534A"/>
    <w:lvl w:ilvl="0" w:tentative="0">
      <w:start w:val="3"/>
      <w:numFmt w:val="chineseCounting"/>
      <w:suff w:val="nothing"/>
      <w:lvlText w:val="%1、"/>
      <w:lvlJc w:val="left"/>
      <w:rPr>
        <w:rFonts w:hint="eastAsia"/>
      </w:rPr>
    </w:lvl>
  </w:abstractNum>
  <w:abstractNum w:abstractNumId="1">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000000"/>
    <w:rsid w:val="013144B8"/>
    <w:rsid w:val="05CE4006"/>
    <w:rsid w:val="07CA0363"/>
    <w:rsid w:val="08F33D56"/>
    <w:rsid w:val="0ECD1690"/>
    <w:rsid w:val="144025BE"/>
    <w:rsid w:val="14CF3044"/>
    <w:rsid w:val="15220BC8"/>
    <w:rsid w:val="1560229E"/>
    <w:rsid w:val="17030584"/>
    <w:rsid w:val="179A293D"/>
    <w:rsid w:val="1B1C2CDB"/>
    <w:rsid w:val="1C4B1F3E"/>
    <w:rsid w:val="1CD852E5"/>
    <w:rsid w:val="1DB13C2F"/>
    <w:rsid w:val="1F58038B"/>
    <w:rsid w:val="1F7F53A8"/>
    <w:rsid w:val="1F8D77DC"/>
    <w:rsid w:val="1FDE2037"/>
    <w:rsid w:val="23A5639B"/>
    <w:rsid w:val="24AA3A0B"/>
    <w:rsid w:val="258C7F61"/>
    <w:rsid w:val="277D1B1F"/>
    <w:rsid w:val="27F41E75"/>
    <w:rsid w:val="28786771"/>
    <w:rsid w:val="289417F0"/>
    <w:rsid w:val="293D61E5"/>
    <w:rsid w:val="32244145"/>
    <w:rsid w:val="32C953BC"/>
    <w:rsid w:val="344024EF"/>
    <w:rsid w:val="366C2A9A"/>
    <w:rsid w:val="36BC5E1B"/>
    <w:rsid w:val="372B7A8B"/>
    <w:rsid w:val="38810B87"/>
    <w:rsid w:val="40311615"/>
    <w:rsid w:val="41151AA5"/>
    <w:rsid w:val="43704724"/>
    <w:rsid w:val="45EB05D1"/>
    <w:rsid w:val="493B5F6F"/>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7544551"/>
    <w:rsid w:val="69C02546"/>
    <w:rsid w:val="6A402300"/>
    <w:rsid w:val="6A8C2ACD"/>
    <w:rsid w:val="6BFF6BC0"/>
    <w:rsid w:val="6D7D2CFB"/>
    <w:rsid w:val="75551518"/>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autoRedefine/>
    <w:qFormat/>
    <w:uiPriority w:val="0"/>
  </w:style>
  <w:style w:type="paragraph" w:customStyle="1" w:styleId="13">
    <w:name w:val="正文_1"/>
    <w:next w:val="14"/>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autoRedefine/>
    <w:qFormat/>
    <w:uiPriority w:val="0"/>
    <w:rPr>
      <w:rFonts w:ascii="Arial" w:hAnsi="Arial" w:cs="Arial"/>
      <w:color w:val="000000"/>
      <w:sz w:val="24"/>
      <w:szCs w:val="24"/>
      <w:u w:val="none"/>
    </w:rPr>
  </w:style>
  <w:style w:type="character" w:customStyle="1" w:styleId="20">
    <w:name w:val="font31"/>
    <w:basedOn w:val="11"/>
    <w:autoRedefine/>
    <w:qFormat/>
    <w:uiPriority w:val="0"/>
    <w:rPr>
      <w:rFonts w:hint="eastAsia" w:ascii="仿宋" w:hAnsi="仿宋" w:eastAsia="仿宋" w:cs="仿宋"/>
      <w:color w:val="000000"/>
      <w:sz w:val="24"/>
      <w:szCs w:val="24"/>
      <w:u w:val="none"/>
    </w:rPr>
  </w:style>
  <w:style w:type="paragraph" w:styleId="21">
    <w:name w:val="List Paragraph"/>
    <w:basedOn w:val="1"/>
    <w:autoRedefine/>
    <w:qFormat/>
    <w:uiPriority w:val="0"/>
    <w:pPr>
      <w:ind w:firstLine="420" w:firstLineChars="200"/>
    </w:pPr>
    <w:rPr>
      <w:szCs w:val="24"/>
    </w:rPr>
  </w:style>
  <w:style w:type="character" w:customStyle="1" w:styleId="22">
    <w:name w:val="font61"/>
    <w:basedOn w:val="11"/>
    <w:autoRedefine/>
    <w:qFormat/>
    <w:uiPriority w:val="0"/>
    <w:rPr>
      <w:rFonts w:hint="eastAsia" w:ascii="仿宋" w:hAnsi="仿宋" w:eastAsia="仿宋" w:cs="仿宋"/>
      <w:color w:val="000000"/>
      <w:sz w:val="28"/>
      <w:szCs w:val="28"/>
      <w:u w:val="none"/>
    </w:rPr>
  </w:style>
  <w:style w:type="paragraph" w:customStyle="1" w:styleId="2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4142</Words>
  <Characters>4245</Characters>
  <Lines>0</Lines>
  <Paragraphs>0</Paragraphs>
  <TotalTime>2</TotalTime>
  <ScaleCrop>false</ScaleCrop>
  <LinksUpToDate>false</LinksUpToDate>
  <CharactersWithSpaces>4340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2024-08-14T08:06:07Z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37EFF2F5685D48898B907A5919B4EDEF_12</vt:lpwstr>
  </property>
</Properties>
</file>