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sz w:val="28"/>
          <w:szCs w:val="28"/>
          <w:bdr w:val="single" w:color="auto" w:sz="4" w:space="0"/>
          <w:lang w:eastAsia="zh-CN"/>
        </w:rPr>
      </w:pPr>
      <w:bookmarkStart w:id="0" w:name="_Toc193105917"/>
      <w:bookmarkStart w:id="1" w:name="_Toc350864514"/>
      <w:bookmarkStart w:id="2" w:name="_Toc193106063"/>
      <w:bookmarkStart w:id="3" w:name="_Toc193106174"/>
      <w:r>
        <w:rPr>
          <w:rFonts w:hint="eastAsia" w:ascii="仿宋" w:hAnsi="仿宋" w:eastAsia="仿宋" w:cs="仿宋"/>
          <w:b/>
          <w:sz w:val="28"/>
          <w:szCs w:val="28"/>
          <w:bdr w:val="single" w:color="auto" w:sz="4" w:space="0"/>
        </w:rPr>
        <w:t>采购编号：</w:t>
      </w:r>
      <w:r>
        <w:rPr>
          <w:rFonts w:hint="eastAsia" w:ascii="仿宋" w:hAnsi="仿宋" w:eastAsia="仿宋" w:cs="仿宋"/>
          <w:b/>
          <w:sz w:val="28"/>
          <w:szCs w:val="28"/>
          <w:bdr w:val="single" w:color="auto" w:sz="4" w:space="0"/>
          <w:lang w:eastAsia="zh-CN"/>
        </w:rPr>
        <w:t>竹医总采（询）【2024-</w:t>
      </w:r>
      <w:r>
        <w:rPr>
          <w:rFonts w:hint="eastAsia" w:ascii="仿宋" w:hAnsi="仿宋" w:eastAsia="仿宋" w:cs="仿宋"/>
          <w:b/>
          <w:sz w:val="28"/>
          <w:szCs w:val="28"/>
          <w:bdr w:val="single" w:color="auto" w:sz="4" w:space="0"/>
          <w:lang w:val="en-US" w:eastAsia="zh-CN"/>
        </w:rPr>
        <w:t>7</w:t>
      </w:r>
      <w:r>
        <w:rPr>
          <w:rFonts w:hint="eastAsia" w:ascii="仿宋" w:hAnsi="仿宋" w:eastAsia="仿宋" w:cs="仿宋"/>
          <w:b/>
          <w:sz w:val="28"/>
          <w:szCs w:val="28"/>
          <w:bdr w:val="single" w:color="auto" w:sz="4" w:space="0"/>
          <w:lang w:eastAsia="zh-CN"/>
        </w:rPr>
        <w:t>-1】</w:t>
      </w:r>
    </w:p>
    <w:p>
      <w:pPr>
        <w:spacing w:line="360" w:lineRule="auto"/>
        <w:jc w:val="center"/>
        <w:rPr>
          <w:rFonts w:ascii="仿宋" w:hAnsi="仿宋" w:eastAsia="仿宋" w:cs="仿宋"/>
          <w:b/>
          <w:kern w:val="0"/>
          <w:sz w:val="40"/>
          <w:szCs w:val="40"/>
        </w:rPr>
      </w:pPr>
    </w:p>
    <w:p>
      <w:pPr>
        <w:spacing w:line="360" w:lineRule="auto"/>
        <w:jc w:val="center"/>
        <w:rPr>
          <w:rFonts w:hint="eastAsia" w:ascii="仿宋" w:hAnsi="仿宋" w:eastAsia="仿宋" w:cs="仿宋"/>
          <w:b/>
          <w:kern w:val="0"/>
          <w:sz w:val="40"/>
          <w:szCs w:val="40"/>
          <w:lang w:eastAsia="zh-CN"/>
        </w:rPr>
      </w:pPr>
      <w:r>
        <w:rPr>
          <w:rFonts w:hint="eastAsia" w:ascii="仿宋" w:hAnsi="仿宋" w:eastAsia="仿宋" w:cs="仿宋"/>
          <w:b/>
          <w:kern w:val="0"/>
          <w:sz w:val="40"/>
          <w:szCs w:val="40"/>
          <w:lang w:eastAsia="zh-CN"/>
        </w:rPr>
        <w:t>大竹县人民医院配电系统维保采购项目</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hint="eastAsia" w:ascii="仿宋" w:hAnsi="仿宋" w:eastAsia="仿宋" w:cs="仿宋"/>
          <w:b/>
          <w:sz w:val="28"/>
          <w:szCs w:val="28"/>
          <w:lang w:eastAsia="zh-CN"/>
        </w:rPr>
      </w:pPr>
      <w:r>
        <w:rPr>
          <w:rFonts w:hint="eastAsia" w:ascii="仿宋" w:hAnsi="仿宋" w:eastAsia="仿宋" w:cs="仿宋"/>
          <w:b/>
          <w:sz w:val="28"/>
          <w:szCs w:val="28"/>
        </w:rPr>
        <w:t>第九章 响应文件相关文书格式                                   2</w:t>
      </w:r>
      <w:r>
        <w:rPr>
          <w:rFonts w:hint="eastAsia" w:ascii="仿宋" w:hAnsi="仿宋" w:eastAsia="仿宋" w:cs="仿宋"/>
          <w:b/>
          <w:sz w:val="28"/>
          <w:szCs w:val="28"/>
          <w:lang w:val="en-US" w:eastAsia="zh-CN"/>
        </w:rPr>
        <w:t>6</w:t>
      </w: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spacing w:line="360" w:lineRule="auto"/>
        <w:ind w:firstLine="560" w:firstLineChars="200"/>
        <w:jc w:val="left"/>
        <w:rPr>
          <w:rFonts w:ascii="黑体" w:hAnsi="黑体" w:eastAsia="黑体" w:cs="黑体"/>
          <w:sz w:val="32"/>
          <w:szCs w:val="32"/>
        </w:rPr>
      </w:pPr>
      <w:r>
        <w:rPr>
          <w:rFonts w:hint="eastAsia" w:ascii="仿宋" w:hAnsi="仿宋" w:eastAsia="仿宋" w:cs="仿宋"/>
          <w:sz w:val="28"/>
          <w:szCs w:val="28"/>
        </w:rPr>
        <w:t>我院拟以询价方式对</w:t>
      </w:r>
      <w:r>
        <w:rPr>
          <w:rFonts w:hint="eastAsia" w:ascii="仿宋" w:hAnsi="仿宋" w:eastAsia="仿宋" w:cs="仿宋"/>
          <w:sz w:val="28"/>
          <w:szCs w:val="28"/>
          <w:lang w:eastAsia="zh-CN"/>
        </w:rPr>
        <w:t>《</w:t>
      </w:r>
      <w:r>
        <w:rPr>
          <w:rFonts w:hint="eastAsia" w:ascii="仿宋" w:hAnsi="仿宋" w:eastAsia="仿宋" w:cs="仿宋"/>
          <w:bCs/>
          <w:kern w:val="2"/>
          <w:sz w:val="28"/>
          <w:szCs w:val="28"/>
          <w:lang w:val="en-US" w:eastAsia="zh-CN" w:bidi="ar-SA"/>
        </w:rPr>
        <w:t>大竹县人民医院配电系统维保采购项目</w:t>
      </w:r>
      <w:r>
        <w:rPr>
          <w:rFonts w:hint="eastAsia" w:ascii="仿宋" w:hAnsi="仿宋" w:eastAsia="仿宋" w:cs="仿宋"/>
          <w:sz w:val="28"/>
          <w:szCs w:val="28"/>
          <w:lang w:eastAsia="zh-CN"/>
        </w:rPr>
        <w:t>》</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-1】</w:t>
      </w:r>
    </w:p>
    <w:p>
      <w:pPr>
        <w:spacing w:line="360" w:lineRule="auto"/>
        <w:ind w:firstLine="562" w:firstLineChars="200"/>
        <w:jc w:val="both"/>
        <w:rPr>
          <w:rFonts w:hint="eastAsia" w:ascii="仿宋" w:hAnsi="仿宋" w:eastAsia="仿宋" w:cs="仿宋"/>
          <w:b/>
          <w:kern w:val="0"/>
          <w:sz w:val="40"/>
          <w:szCs w:val="40"/>
          <w:lang w:eastAsia="zh-CN"/>
        </w:rPr>
      </w:pPr>
      <w:r>
        <w:rPr>
          <w:rFonts w:hint="eastAsia" w:ascii="仿宋" w:hAnsi="仿宋" w:eastAsia="仿宋" w:cs="仿宋"/>
          <w:b/>
          <w:bCs/>
          <w:sz w:val="28"/>
          <w:szCs w:val="28"/>
        </w:rPr>
        <w:t>2.采购项目名称</w:t>
      </w:r>
      <w:r>
        <w:rPr>
          <w:rFonts w:hint="eastAsia" w:ascii="仿宋" w:hAnsi="仿宋" w:eastAsia="仿宋" w:cs="仿宋"/>
          <w:bCs/>
          <w:sz w:val="28"/>
          <w:szCs w:val="28"/>
        </w:rPr>
        <w:t>：</w:t>
      </w:r>
      <w:r>
        <w:rPr>
          <w:rFonts w:hint="eastAsia" w:ascii="仿宋" w:hAnsi="仿宋" w:eastAsia="仿宋" w:cs="仿宋"/>
          <w:bCs/>
          <w:kern w:val="2"/>
          <w:sz w:val="28"/>
          <w:szCs w:val="28"/>
          <w:lang w:val="en-US" w:eastAsia="zh-CN" w:bidi="ar-SA"/>
        </w:rPr>
        <w:t>大竹县人民医院配电系统维保采购项目</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 xml:space="preserve"> 8</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6</w:t>
      </w:r>
      <w:r>
        <w:rPr>
          <w:rFonts w:hint="eastAsia" w:ascii="仿宋" w:hAnsi="仿宋" w:eastAsia="仿宋" w:cs="仿宋"/>
          <w:color w:val="FF0000"/>
          <w:sz w:val="28"/>
          <w:szCs w:val="28"/>
        </w:rPr>
        <w:t>日起至202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8</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7</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w:t>
      </w:r>
      <w:r>
        <w:rPr>
          <w:rFonts w:hint="eastAsia" w:ascii="仿宋" w:hAnsi="仿宋" w:eastAsia="仿宋" w:cs="仿宋"/>
          <w:color w:val="FF0000"/>
          <w:sz w:val="28"/>
          <w:szCs w:val="28"/>
          <w:u w:val="single"/>
          <w:lang w:val="en-US" w:eastAsia="zh-CN"/>
        </w:rPr>
        <w:t>8</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9</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lang w:val="en-US" w:eastAsia="zh-CN"/>
        </w:rPr>
        <w:t>15</w:t>
      </w:r>
      <w:r>
        <w:rPr>
          <w:rFonts w:hint="eastAsia" w:ascii="仿宋" w:hAnsi="仿宋" w:eastAsia="仿宋" w:cs="仿宋"/>
          <w:color w:val="FF0000"/>
          <w:sz w:val="28"/>
          <w:szCs w:val="28"/>
        </w:rPr>
        <w:t>：00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350864515"/>
      <w:bookmarkStart w:id="5" w:name="_Toc193106175"/>
      <w:bookmarkStart w:id="6" w:name="_Toc193106064"/>
      <w:bookmarkStart w:id="7" w:name="_Toc193105918"/>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spacing w:line="360" w:lineRule="auto"/>
              <w:ind w:firstLine="560" w:firstLineChars="200"/>
              <w:jc w:val="both"/>
              <w:rPr>
                <w:rFonts w:hint="eastAsia" w:ascii="仿宋" w:hAnsi="仿宋" w:eastAsia="仿宋" w:cs="仿宋"/>
                <w:sz w:val="28"/>
                <w:szCs w:val="28"/>
                <w:lang w:eastAsia="zh-CN"/>
              </w:rPr>
            </w:pPr>
            <w:r>
              <w:rPr>
                <w:rFonts w:hint="eastAsia" w:ascii="仿宋" w:hAnsi="仿宋" w:eastAsia="仿宋" w:cs="仿宋"/>
                <w:bCs/>
                <w:kern w:val="0"/>
                <w:sz w:val="28"/>
                <w:szCs w:val="28"/>
                <w:lang w:eastAsia="zh-CN"/>
              </w:rPr>
              <w:t>大竹县人民医院配电系统维保采购项目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本次采购的</w:t>
            </w:r>
            <w:r>
              <w:rPr>
                <w:rFonts w:hint="eastAsia" w:ascii="仿宋" w:hAnsi="仿宋" w:eastAsia="仿宋" w:cs="仿宋"/>
                <w:sz w:val="28"/>
                <w:szCs w:val="28"/>
                <w:lang w:val="en-US" w:eastAsia="zh-CN"/>
              </w:rPr>
              <w:t>项目</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w:t>
            </w:r>
            <w:r>
              <w:rPr>
                <w:rFonts w:hint="eastAsia" w:ascii="仿宋" w:hAnsi="仿宋" w:eastAsia="仿宋" w:cs="仿宋"/>
                <w:sz w:val="28"/>
                <w:szCs w:val="28"/>
                <w:lang w:val="en-US" w:eastAsia="zh-CN"/>
              </w:rPr>
              <w:t>八</w:t>
            </w:r>
            <w:r>
              <w:rPr>
                <w:rFonts w:hint="eastAsia" w:ascii="仿宋" w:hAnsi="仿宋" w:eastAsia="仿宋" w:cs="仿宋"/>
                <w:sz w:val="28"/>
                <w:szCs w:val="28"/>
              </w:rPr>
              <w:t>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val="en-US" w:eastAsia="zh-CN"/>
              </w:rPr>
              <w:t>15.76</w:t>
            </w:r>
            <w:r>
              <w:rPr>
                <w:rFonts w:hint="eastAsia" w:ascii="仿宋" w:hAnsi="仿宋" w:eastAsia="仿宋" w:cs="仿宋"/>
                <w:color w:val="FF0000"/>
                <w:sz w:val="28"/>
                <w:szCs w:val="28"/>
                <w:lang w:eastAsia="zh-CN"/>
              </w:rPr>
              <w:t>元</w:t>
            </w:r>
            <w:r>
              <w:rPr>
                <w:rFonts w:hint="eastAsia" w:ascii="仿宋" w:hAnsi="仿宋" w:eastAsia="仿宋" w:cs="仿宋"/>
                <w:color w:val="FF0000"/>
                <w:sz w:val="28"/>
                <w:szCs w:val="28"/>
                <w:lang w:val="en-US" w:eastAsia="zh-CN"/>
              </w:rPr>
              <w:t>两年</w:t>
            </w:r>
            <w:r>
              <w:rPr>
                <w:rFonts w:hint="eastAsia" w:ascii="仿宋" w:hAnsi="仿宋" w:eastAsia="仿宋" w:cs="仿宋"/>
                <w:color w:val="FF0000"/>
                <w:sz w:val="28"/>
                <w:szCs w:val="28"/>
                <w:lang w:eastAsia="zh-CN"/>
              </w:rPr>
              <w:t>（大写：</w:t>
            </w:r>
            <w:bookmarkStart w:id="20" w:name="_GoBack"/>
            <w:bookmarkEnd w:id="20"/>
            <w:r>
              <w:rPr>
                <w:rFonts w:hint="eastAsia" w:ascii="仿宋" w:hAnsi="仿宋" w:eastAsia="仿宋" w:cs="仿宋"/>
                <w:color w:val="FF0000"/>
                <w:sz w:val="28"/>
                <w:szCs w:val="28"/>
                <w:lang w:val="en-US" w:eastAsia="zh-CN"/>
              </w:rPr>
              <w:t>壹拾伍万柒仟陆佰</w:t>
            </w:r>
            <w:r>
              <w:rPr>
                <w:rFonts w:hint="eastAsia" w:ascii="仿宋" w:hAnsi="仿宋" w:eastAsia="仿宋" w:cs="仿宋"/>
                <w:color w:val="FF0000"/>
                <w:sz w:val="28"/>
                <w:szCs w:val="28"/>
                <w:lang w:eastAsia="zh-CN"/>
              </w:rPr>
              <w:t>元整</w:t>
            </w:r>
            <w:r>
              <w:rPr>
                <w:rFonts w:hint="eastAsia" w:ascii="仿宋" w:hAnsi="仿宋" w:eastAsia="仿宋" w:cs="仿宋"/>
                <w:color w:val="FF0000"/>
                <w:sz w:val="28"/>
                <w:szCs w:val="28"/>
                <w:lang w:val="en-US" w:eastAsia="zh-CN"/>
              </w:rPr>
              <w:t>/两年</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3"/>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响应文件需用不褪色、不变质的墨水书写或打印，在规定签字处逐一签署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响应文件需要逐页</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响应文件如有修改错漏处，必须由供应商的法定代表人或其授权代表签字或盖供应商公章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未按</w:t>
      </w:r>
      <w:r>
        <w:rPr>
          <w:rFonts w:hint="eastAsia" w:ascii="仿宋" w:hAnsi="仿宋" w:eastAsia="仿宋" w:cs="仿宋"/>
          <w:sz w:val="28"/>
          <w:szCs w:val="28"/>
          <w:lang w:val="en-US" w:eastAsia="zh-CN"/>
        </w:rPr>
        <w:t>上述</w:t>
      </w:r>
      <w:r>
        <w:rPr>
          <w:rFonts w:hint="eastAsia" w:ascii="仿宋" w:hAnsi="仿宋" w:eastAsia="仿宋" w:cs="仿宋"/>
          <w:sz w:val="28"/>
          <w:szCs w:val="28"/>
        </w:rPr>
        <w:t>要求</w:t>
      </w:r>
      <w:r>
        <w:rPr>
          <w:rFonts w:hint="eastAsia" w:ascii="仿宋" w:hAnsi="仿宋" w:eastAsia="仿宋" w:cs="仿宋"/>
          <w:sz w:val="28"/>
          <w:szCs w:val="28"/>
          <w:lang w:val="en-US" w:eastAsia="zh-CN"/>
        </w:rPr>
        <w:t>编制响应文件，或响应文件</w:t>
      </w:r>
      <w:r>
        <w:rPr>
          <w:rFonts w:hint="eastAsia" w:ascii="仿宋" w:hAnsi="仿宋" w:eastAsia="仿宋" w:cs="仿宋"/>
          <w:sz w:val="28"/>
          <w:szCs w:val="28"/>
        </w:rPr>
        <w:t>字迹潦草、表达不清、非唯一理解的响应文件</w:t>
      </w:r>
      <w:r>
        <w:rPr>
          <w:rFonts w:hint="eastAsia" w:ascii="仿宋" w:hAnsi="仿宋" w:eastAsia="仿宋" w:cs="仿宋"/>
          <w:sz w:val="28"/>
          <w:szCs w:val="28"/>
          <w:lang w:val="en-US" w:eastAsia="zh-CN"/>
        </w:rPr>
        <w:t>将</w:t>
      </w:r>
      <w:r>
        <w:rPr>
          <w:rFonts w:hint="eastAsia" w:ascii="仿宋" w:hAnsi="仿宋" w:eastAsia="仿宋" w:cs="仿宋"/>
          <w:sz w:val="28"/>
          <w:szCs w:val="28"/>
        </w:rPr>
        <w:t>被</w:t>
      </w:r>
      <w:r>
        <w:rPr>
          <w:rFonts w:hint="eastAsia" w:ascii="仿宋" w:hAnsi="仿宋" w:eastAsia="仿宋" w:cs="仿宋"/>
          <w:sz w:val="28"/>
          <w:szCs w:val="28"/>
          <w:lang w:val="en-US" w:eastAsia="zh-CN"/>
        </w:rPr>
        <w:t>无效化处理[</w:t>
      </w:r>
      <w:r>
        <w:rPr>
          <w:rFonts w:hint="eastAsia" w:ascii="仿宋" w:hAnsi="仿宋" w:eastAsia="仿宋" w:cs="仿宋"/>
          <w:sz w:val="28"/>
          <w:szCs w:val="28"/>
        </w:rPr>
        <w:t>个别地方（不超过2个）</w:t>
      </w:r>
      <w:r>
        <w:rPr>
          <w:rFonts w:hint="eastAsia" w:ascii="仿宋" w:hAnsi="仿宋" w:eastAsia="仿宋" w:cs="仿宋"/>
          <w:sz w:val="28"/>
          <w:szCs w:val="28"/>
          <w:lang w:val="en-US" w:eastAsia="zh-CN"/>
        </w:rPr>
        <w:t>没有供应商公章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但该页面有供应商</w:t>
      </w:r>
      <w:r>
        <w:rPr>
          <w:rFonts w:hint="eastAsia" w:ascii="仿宋" w:hAnsi="仿宋" w:eastAsia="仿宋" w:cs="仿宋"/>
          <w:sz w:val="28"/>
          <w:szCs w:val="28"/>
        </w:rPr>
        <w:t>骑缝章</w:t>
      </w:r>
      <w:r>
        <w:rPr>
          <w:rFonts w:hint="eastAsia" w:ascii="仿宋" w:hAnsi="仿宋" w:eastAsia="仿宋" w:cs="仿宋"/>
          <w:sz w:val="28"/>
          <w:szCs w:val="28"/>
          <w:lang w:val="en-US" w:eastAsia="zh-CN"/>
        </w:rPr>
        <w:t>覆盖的</w:t>
      </w:r>
      <w:r>
        <w:rPr>
          <w:rFonts w:hint="eastAsia" w:ascii="仿宋" w:hAnsi="仿宋" w:eastAsia="仿宋" w:cs="仿宋"/>
          <w:sz w:val="28"/>
          <w:szCs w:val="28"/>
        </w:rPr>
        <w:t>可以</w:t>
      </w:r>
      <w:r>
        <w:rPr>
          <w:rFonts w:hint="eastAsia" w:ascii="仿宋" w:hAnsi="仿宋" w:eastAsia="仿宋" w:cs="仿宋"/>
          <w:sz w:val="28"/>
          <w:szCs w:val="28"/>
          <w:lang w:val="en-US" w:eastAsia="zh-CN"/>
        </w:rPr>
        <w:t>视作响应文件有效</w:t>
      </w:r>
      <w:r>
        <w:rPr>
          <w:rFonts w:hint="eastAsia" w:ascii="仿宋" w:hAnsi="仿宋" w:eastAsia="仿宋" w:cs="仿宋"/>
          <w:sz w:val="28"/>
          <w:szCs w:val="28"/>
        </w:rPr>
        <w:t>（但是骑缝章模糊不清</w:t>
      </w:r>
      <w:r>
        <w:rPr>
          <w:rFonts w:hint="eastAsia" w:ascii="仿宋" w:hAnsi="仿宋" w:eastAsia="仿宋" w:cs="仿宋"/>
          <w:sz w:val="28"/>
          <w:szCs w:val="28"/>
          <w:lang w:eastAsia="zh-CN"/>
        </w:rPr>
        <w:t>，</w:t>
      </w:r>
      <w:r>
        <w:rPr>
          <w:rFonts w:hint="eastAsia" w:ascii="仿宋" w:hAnsi="仿宋" w:eastAsia="仿宋" w:cs="仿宋"/>
          <w:sz w:val="28"/>
          <w:szCs w:val="28"/>
        </w:rPr>
        <w:t>印章名称无法辨认</w:t>
      </w:r>
      <w:r>
        <w:rPr>
          <w:rFonts w:hint="eastAsia" w:ascii="仿宋" w:hAnsi="仿宋" w:eastAsia="仿宋" w:cs="仿宋"/>
          <w:sz w:val="28"/>
          <w:szCs w:val="28"/>
          <w:lang w:val="en-US" w:eastAsia="zh-CN"/>
        </w:rPr>
        <w:t>的或该页面即无公章又无骑缝章</w:t>
      </w:r>
      <w:r>
        <w:rPr>
          <w:rFonts w:hint="eastAsia" w:ascii="仿宋" w:hAnsi="仿宋" w:eastAsia="仿宋" w:cs="仿宋"/>
          <w:sz w:val="28"/>
          <w:szCs w:val="28"/>
        </w:rPr>
        <w:t>的除外）</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7"/>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3"/>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193105919"/>
      <w:bookmarkStart w:id="11" w:name="_Toc193106065"/>
      <w:bookmarkStart w:id="12" w:name="_Toc193106176"/>
      <w:bookmarkStart w:id="13" w:name="_Toc192318461"/>
      <w:bookmarkStart w:id="14" w:name="_Toc350864517"/>
      <w:bookmarkStart w:id="15" w:name="_Toc192318381"/>
      <w:bookmarkStart w:id="16" w:name="_Toc192318708"/>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1、具有独立承担民事责任的能力；</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2、具有良好的商业信誉和健全的财务会计制度；</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3、具有履行合同所必需的设备和专业技术能力；</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4、有依法缴纳税收和社会保障资金的良好记录；</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5、参加活动前三年内，在经营活动中没有重大违法记录；</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6、法律、行政法规规定的其他条件；</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7、根据采购项目提出的特殊资格条件：</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firstLine="560" w:firstLineChars="200"/>
        <w:jc w:val="both"/>
        <w:textAlignment w:val="baseline"/>
        <w:rPr>
          <w:rFonts w:hint="default" w:ascii="仿宋" w:hAnsi="仿宋" w:eastAsia="仿宋" w:cs="仿宋"/>
          <w:i w:val="0"/>
          <w:iCs w:val="0"/>
          <w:caps w:val="0"/>
          <w:color w:val="000000" w:themeColor="text1"/>
          <w:spacing w:val="0"/>
          <w:sz w:val="28"/>
          <w:szCs w:val="28"/>
          <w:u w:val="single"/>
          <w:vertAlign w:val="baseline"/>
          <w:lang w:val="en-US" w:eastAsia="zh-CN"/>
        </w:rPr>
      </w:pPr>
      <w:r>
        <w:rPr>
          <w:rFonts w:hint="eastAsia" w:ascii="仿宋" w:hAnsi="仿宋" w:eastAsia="仿宋" w:cs="仿宋"/>
          <w:i w:val="0"/>
          <w:iCs w:val="0"/>
          <w:caps w:val="0"/>
          <w:color w:val="000000" w:themeColor="text1"/>
          <w:spacing w:val="0"/>
          <w:sz w:val="28"/>
          <w:szCs w:val="28"/>
          <w:u w:val="single"/>
          <w:vertAlign w:val="baseline"/>
          <w:lang w:val="en-US" w:eastAsia="zh-CN"/>
        </w:rPr>
        <w:t>具有国家电力监管委员会颁发的四级（含）以上的承装（修、试）电力设施许可证，复印件盖供应商鲜章</w:t>
      </w:r>
      <w:r>
        <w:rPr>
          <w:rFonts w:hint="default" w:ascii="仿宋" w:hAnsi="仿宋" w:eastAsia="仿宋" w:cs="仿宋"/>
          <w:i w:val="0"/>
          <w:iCs w:val="0"/>
          <w:caps w:val="0"/>
          <w:color w:val="000000" w:themeColor="text1"/>
          <w:spacing w:val="0"/>
          <w:sz w:val="28"/>
          <w:szCs w:val="28"/>
          <w:u w:val="single"/>
          <w:vertAlign w:val="baseline"/>
          <w:lang w:val="en-US" w:eastAsia="zh-CN"/>
        </w:rPr>
        <w:t>。</w:t>
      </w:r>
    </w:p>
    <w:p>
      <w:pPr>
        <w:pStyle w:val="33"/>
        <w:spacing w:line="360" w:lineRule="auto"/>
        <w:ind w:firstLine="560"/>
        <w:rPr>
          <w:rFonts w:ascii="仿宋" w:hAnsi="仿宋" w:eastAsia="仿宋" w:cs="仿宋"/>
          <w:color w:val="000000" w:themeColor="text1"/>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color w:val="auto"/>
          <w:sz w:val="28"/>
          <w:szCs w:val="28"/>
        </w:rPr>
      </w:pPr>
    </w:p>
    <w:p>
      <w:pPr>
        <w:pStyle w:val="33"/>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第七章  供应商应当提供的资格证明材料</w:t>
      </w:r>
      <w:bookmarkEnd w:id="17"/>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供应商应提供以下资格证明资料，装订进响应文件内：</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1、供应商提供本询价文件要求的报价函、承诺函原件等；</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3、如询价代表不是单位法人代表（负责人）,须附有“法定代表人（负责人）授权书”原件；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5、询价代表本人身份证复印件（如询价代表不是单位法人代表）；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6、供应商提供最近一年的经审计的完整的财务状况报告复印件（四表一注：资产负债表、现金流量表、利润表、所有者权益变动表、财务报表附注）；或承诺函；或健全的财务</w:t>
      </w:r>
      <w:r>
        <w:rPr>
          <w:color w:val="auto"/>
        </w:rPr>
        <w:fldChar w:fldCharType="begin"/>
      </w:r>
      <w:r>
        <w:rPr>
          <w:color w:val="auto"/>
        </w:rPr>
        <w:instrText xml:space="preserve"> HYPERLINK "http://baike.haosou.com/doc/388251.html" \t "_blank" </w:instrText>
      </w:r>
      <w:r>
        <w:rPr>
          <w:color w:val="auto"/>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；或部分其他组织和自然人可以提供银行出具的资信证明。</w:t>
      </w:r>
      <w:bookmarkStart w:id="18" w:name="_Toc350864519"/>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7、本项目特殊要求须提供的资料。</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3.以上资料是资格审查时需要提供的资料，如提供不全或不实或不清晰，将自行承担询价无效的风险。造成失去遴选资格等问题，供应商前期所发生的任何费用均自行承担，与采购人无关。</w:t>
      </w:r>
    </w:p>
    <w:p>
      <w:pPr>
        <w:pStyle w:val="33"/>
        <w:spacing w:line="360" w:lineRule="auto"/>
        <w:ind w:firstLine="560"/>
        <w:rPr>
          <w:rFonts w:ascii="仿宋" w:hAnsi="仿宋" w:eastAsia="仿宋" w:cs="仿宋"/>
          <w:color w:val="auto"/>
          <w:sz w:val="28"/>
          <w:szCs w:val="28"/>
        </w:rPr>
      </w:pPr>
    </w:p>
    <w:p>
      <w:pPr>
        <w:pStyle w:val="33"/>
        <w:spacing w:line="360" w:lineRule="auto"/>
        <w:ind w:firstLine="560"/>
        <w:rPr>
          <w:rFonts w:ascii="仿宋" w:hAnsi="仿宋" w:eastAsia="仿宋" w:cs="仿宋"/>
          <w:color w:val="auto"/>
          <w:sz w:val="28"/>
          <w:szCs w:val="28"/>
        </w:rPr>
      </w:pPr>
    </w:p>
    <w:p>
      <w:pPr>
        <w:pStyle w:val="33"/>
        <w:spacing w:line="360" w:lineRule="auto"/>
        <w:ind w:firstLine="0" w:firstLineChars="0"/>
        <w:rPr>
          <w:rFonts w:ascii="仿宋" w:hAnsi="仿宋" w:eastAsia="仿宋" w:cs="仿宋"/>
          <w:b/>
          <w:color w:val="auto"/>
          <w:sz w:val="28"/>
          <w:szCs w:val="28"/>
        </w:rPr>
      </w:pPr>
    </w:p>
    <w:p>
      <w:pPr>
        <w:pStyle w:val="33"/>
        <w:spacing w:line="360" w:lineRule="auto"/>
        <w:ind w:firstLine="0" w:firstLineChars="0"/>
        <w:jc w:val="center"/>
        <w:rPr>
          <w:rFonts w:ascii="仿宋" w:hAnsi="仿宋" w:eastAsia="仿宋" w:cs="仿宋"/>
          <w:b/>
          <w:color w:val="auto"/>
          <w:sz w:val="28"/>
          <w:szCs w:val="28"/>
        </w:rPr>
      </w:pPr>
    </w:p>
    <w:bookmarkEnd w:id="18"/>
    <w:p>
      <w:pPr>
        <w:pStyle w:val="33"/>
        <w:spacing w:line="360" w:lineRule="auto"/>
        <w:ind w:firstLine="0" w:firstLineChars="0"/>
        <w:jc w:val="center"/>
        <w:rPr>
          <w:rFonts w:ascii="仿宋" w:hAnsi="仿宋" w:eastAsia="仿宋" w:cs="仿宋"/>
          <w:b/>
          <w:color w:val="auto"/>
          <w:sz w:val="28"/>
          <w:szCs w:val="28"/>
        </w:rPr>
      </w:pPr>
    </w:p>
    <w:p>
      <w:pPr>
        <w:pStyle w:val="33"/>
        <w:spacing w:line="360" w:lineRule="auto"/>
        <w:ind w:firstLine="0" w:firstLineChars="0"/>
        <w:jc w:val="both"/>
        <w:rPr>
          <w:rFonts w:ascii="仿宋" w:hAnsi="仿宋" w:eastAsia="仿宋" w:cs="仿宋"/>
          <w:b/>
          <w:color w:val="auto"/>
          <w:sz w:val="28"/>
          <w:szCs w:val="28"/>
        </w:rPr>
      </w:pPr>
    </w:p>
    <w:p>
      <w:pPr>
        <w:pStyle w:val="33"/>
        <w:spacing w:line="360" w:lineRule="auto"/>
        <w:ind w:firstLine="0" w:firstLineChars="0"/>
        <w:jc w:val="center"/>
        <w:rPr>
          <w:rFonts w:ascii="仿宋" w:hAnsi="仿宋" w:eastAsia="仿宋" w:cs="仿宋"/>
          <w:b/>
          <w:color w:val="auto"/>
          <w:sz w:val="28"/>
          <w:szCs w:val="28"/>
        </w:rPr>
      </w:pPr>
    </w:p>
    <w:p>
      <w:pPr>
        <w:pStyle w:val="33"/>
        <w:spacing w:line="360" w:lineRule="auto"/>
        <w:ind w:firstLine="0" w:firstLineChars="0"/>
        <w:jc w:val="center"/>
        <w:rPr>
          <w:rFonts w:hint="eastAsia" w:ascii="仿宋" w:hAnsi="仿宋" w:eastAsia="仿宋" w:cs="仿宋"/>
          <w:b/>
          <w:color w:val="auto"/>
          <w:sz w:val="28"/>
          <w:szCs w:val="28"/>
        </w:rPr>
      </w:pPr>
    </w:p>
    <w:p>
      <w:pPr>
        <w:pStyle w:val="33"/>
        <w:spacing w:line="360" w:lineRule="auto"/>
        <w:ind w:firstLine="0" w:firstLineChars="0"/>
        <w:jc w:val="center"/>
        <w:rPr>
          <w:rFonts w:ascii="仿宋" w:hAnsi="仿宋" w:eastAsia="仿宋" w:cs="仿宋"/>
          <w:b/>
          <w:color w:val="auto"/>
          <w:sz w:val="28"/>
          <w:szCs w:val="28"/>
        </w:rPr>
      </w:pPr>
      <w:r>
        <w:rPr>
          <w:rFonts w:hint="eastAsia" w:ascii="仿宋" w:hAnsi="仿宋" w:eastAsia="仿宋" w:cs="仿宋"/>
          <w:b/>
          <w:color w:val="auto"/>
          <w:sz w:val="28"/>
          <w:szCs w:val="28"/>
        </w:rPr>
        <w:t>第八章 采购项目内容和要求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竹县人民医院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配电系统维保采购项目采购方案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sz w:val="44"/>
          <w:szCs w:val="44"/>
          <w:lang w:val="en-US" w:eastAsia="zh-CN"/>
        </w:rPr>
      </w:pPr>
    </w:p>
    <w:p>
      <w:pPr>
        <w:spacing w:line="360" w:lineRule="auto"/>
        <w:jc w:val="left"/>
        <w:rPr>
          <w:rFonts w:hint="eastAsia" w:ascii="楷体" w:hAnsi="楷体" w:eastAsia="楷体" w:cs="楷体"/>
          <w:b/>
          <w:bCs w:val="0"/>
          <w:color w:val="auto"/>
          <w:sz w:val="28"/>
          <w:szCs w:val="28"/>
          <w:lang w:val="en-US" w:eastAsia="zh-CN"/>
        </w:rPr>
      </w:pPr>
      <w:r>
        <w:rPr>
          <w:rFonts w:hint="eastAsia" w:ascii="楷体" w:hAnsi="楷体" w:eastAsia="楷体" w:cs="楷体"/>
          <w:b/>
          <w:bCs w:val="0"/>
          <w:color w:val="auto"/>
          <w:sz w:val="28"/>
          <w:szCs w:val="28"/>
          <w:lang w:val="en-US" w:eastAsia="zh-CN"/>
        </w:rPr>
        <w:t>一、采购标的（技术要求）</w:t>
      </w:r>
    </w:p>
    <w:p>
      <w:p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成交供应商需对采购人院区内及专线所有的10kv配电系统及400v配电系统进行为期两年的维保，并出具维保巡视检查记录，对维保范围内的配电系统出现故障要求及时进行修复。</w:t>
      </w:r>
    </w:p>
    <w:p>
      <w:p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维保范围含：</w:t>
      </w:r>
    </w:p>
    <w:p>
      <w:pPr>
        <w:numPr>
          <w:ilvl w:val="0"/>
          <w:numId w:val="0"/>
        </w:num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1.大竹县人民医院全院配电系统10KV高压进线柜到低压开关柜出线，所包含的全部设施设备，共计四处配电房（外科大楼配电房高低压柜、内科大楼配电房含高低压柜、总务大楼配电房含高低压柜、医院10KV专线配电房含高压配电柜），包括对大竹县人民医院高低压配电房的基础设施的巡查巡检。 </w:t>
      </w:r>
    </w:p>
    <w:p>
      <w:pPr>
        <w:numPr>
          <w:ilvl w:val="0"/>
          <w:numId w:val="0"/>
        </w:num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2.大竹县人民医院10KV专线民医线、10KV茶医线巡线及清障工作。</w:t>
      </w:r>
    </w:p>
    <w:p>
      <w:pPr>
        <w:numPr>
          <w:ilvl w:val="0"/>
          <w:numId w:val="0"/>
        </w:num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3.大竹县人民医院外科大楼UPS设备维保工作。大竹县人民医院内，配电系统共含10台变压器，清单见下表：</w:t>
      </w:r>
    </w:p>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大竹县人民医院变压器设备清单</w:t>
      </w:r>
    </w:p>
    <w:tbl>
      <w:tblPr>
        <w:tblStyle w:val="14"/>
        <w:tblW w:w="52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54"/>
        <w:gridCol w:w="3421"/>
        <w:gridCol w:w="2598"/>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序号</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设备名称</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设备容量</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设备位置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内科大楼1号变压器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内科大楼低压配电房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内科大楼2号变压器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内科大楼低压配电房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门诊大楼变压器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电工房楼顶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家属区变压器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800KVA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电工房楼顶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内科大楼医疗设备专用变压</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电工房变压器室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外科大楼配电系统1号变压器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照明专用变压     1250KVA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7</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外科大楼配电系统2号变压器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动力负荷专用变压 1600KVA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8</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外科大楼配电系统3号变压器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动力负荷专用变压 1600KVA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9</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外科大楼配电系统4号变压器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空调专用变压器   1250KVA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外科大楼配电系统5号变压器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机房专用变压器   800KVA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外科大楼高低压配电房</w:t>
            </w:r>
          </w:p>
        </w:tc>
      </w:tr>
    </w:tbl>
    <w:p>
      <w:p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报价前供应商应派人自行现场勘查。采购人需求调查文件中遗漏的大竹县人民医院10KV配电系统及400V配电系统（不含各楼层分级配电箱）中功能构成的设施及设备均应在本项目维保范围内，供应商认为遗漏的设施设备在维保费用中占比较大，可以在报价文件中详细列出，并注明费用。供应商在报价文件中未注明内容，而采购人10KV配电系统及400V配电系统（不含各楼层分级配电箱）中客观存在的设施设备，视为供应商默认承担该设施设备的维保服务，且包含在本项目报价中。</w:t>
      </w:r>
    </w:p>
    <w:p>
      <w:pPr>
        <w:spacing w:line="360" w:lineRule="auto"/>
        <w:jc w:val="left"/>
        <w:rPr>
          <w:rFonts w:hint="eastAsia" w:ascii="仿宋" w:hAnsi="仿宋" w:eastAsia="仿宋" w:cs="仿宋"/>
          <w:b w:val="0"/>
          <w:bCs/>
          <w:color w:val="auto"/>
          <w:sz w:val="28"/>
          <w:szCs w:val="28"/>
          <w:lang w:val="en-US" w:eastAsia="zh-CN"/>
        </w:rPr>
      </w:pPr>
    </w:p>
    <w:p>
      <w:pPr>
        <w:spacing w:line="360" w:lineRule="auto"/>
        <w:jc w:val="left"/>
        <w:rPr>
          <w:rFonts w:hint="eastAsia" w:ascii="楷体" w:hAnsi="楷体" w:eastAsia="楷体" w:cs="楷体"/>
          <w:b/>
          <w:bCs w:val="0"/>
          <w:color w:val="auto"/>
          <w:kern w:val="0"/>
          <w:sz w:val="28"/>
          <w:szCs w:val="28"/>
          <w:lang w:val="en-US" w:eastAsia="zh-CN" w:bidi="ar"/>
        </w:rPr>
      </w:pPr>
      <w:r>
        <w:rPr>
          <w:rFonts w:hint="eastAsia" w:ascii="楷体" w:hAnsi="楷体" w:eastAsia="楷体" w:cs="楷体"/>
          <w:b/>
          <w:bCs w:val="0"/>
          <w:color w:val="auto"/>
          <w:sz w:val="28"/>
          <w:szCs w:val="28"/>
          <w:lang w:val="en-US" w:eastAsia="zh-CN"/>
        </w:rPr>
        <w:t>二、采购项目技术要求</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1、供应商按国家、行业相关法规、标准、规范实施配电设施设备的维护保养（若项目实施期间有最新的法规、标准、规范要求，则以最新的要求为准）。供应商负责维保范围内的供配电设施的全部部件的维修、维护、保养并承担相关费用。采购人如有新要求或增减配电维保设施时，双方另行签订合同。日常维护保养内容包括且不限于（详见附件1：供应商日常巡检内容一览表）。</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2、供应商按照国家有关安全技术规范以及《 DL/T 393输变电设备状态检修试验规程》《DL/T 596电力设备预防性试验规程》、 《电力用户供配电设施运行维护规范要求GB∕T37136-2018》等国家标准行业标准及三级甲等医院配电系统运行管理要求，制定维保计划与方案。其实施的日常维护保养项目（内容）和要求必须达到或超过国家标准的要求。</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3、供应商须按照国家技术规范对采购人的变配电系统（含高压、低压部分）进行预防性试验，并出具有法律效力的试验报告，费用包含在本项目总金额内。</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4、供应商按照每十五日维护保养一次的周期，制订供应商实施配电维保方案，提前提供给采购人，计划如需调整，供应商应提前通知采购人。供应商按照计划日期于日常工作时间上午八时至下午五时内（发生不可抗力情况例外）派维保人员对该配电系统进行日常例行维护。维保期间落实现场安全防护措施，保证配电设施设备运行安全。维保期间由于供应商原因造成的延误、人身伤亡或经济损失，其全部责任均由供应商承担，与采购人无关。</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5、供应商投入本项目的维保人员，必须符合按照国家及行业相关的法律法规及规范要求，具有相应上岗资质，供应商投入本项目的技术人员至少包含一名持有国家应急管理部颁发的高压电工证人员一名，持有国家应急管理部颁发的低压电工证人员两名，供应商投入本项目的维保技术人员及项目负责人未经采购人允许，不得随意更换。</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6、供应商应针对本项目设立24小时应急值班电话，保证接到故障通知后30分钟到场，予以排除；供应商接到采购人维修任务指令后立即组织人员、器具、材料、设备进行施工，工作人员及时到场、及时维修，小故障立即修复，保证供电系统稳定运行，无特殊情况故障当天排除。供应商原因造成的延误、人身伤亡或经济损失，其全部责任均由供应商承担，与采购人无关。</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7、维保记录：供应商每次例行保养或紧急维修后，将有关维修保养或故障处理的书面记录一式三份，交采购人签字确认后各自存档。并建立健全设备的运行技术资料档案，以保证电气设备的安全正常运行。工作计划、检查和处理等情况应有书面记录，并报采购人备案。对检查、巡修中发现的重大隐患、缺陷，应及时向采购人书面报告。</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8、供应商应建立采购人各配电房的配电设备、设施日常巡检、维护制度，指定发现故障、安全隐患须及时报告和处理流程，合同签订前交采购人处备案。</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9、维保周期内通用易损零配件和正常耗材，单次单件在200 元内由供应商免费修复或更换，每月换件累计费用超过当月维保费用的50%。其超出部分的金额由采购人承担：单次单件价格超过200元的，由采购人承担。该由采购人承担的零配件更换费用在该费用发生后三个月内付清。维保过程中所需的变压器油、润滑油及绝缘油和清洁抹布由采购人提供，供应商在维保过程中产生的废弃物应及时地处理干净，不得引起相关人员投诉，若因此发生一次投诉，扣除供应商当月服务费200元（按次计费）。</w:t>
      </w:r>
    </w:p>
    <w:p>
      <w:pPr>
        <w:spacing w:line="360" w:lineRule="auto"/>
        <w:ind w:firstLine="560" w:firstLineChars="200"/>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lang w:val="en-US" w:eastAsia="zh-CN" w:bidi="ar"/>
        </w:rPr>
        <w:t>10、采购人安装有智慧用电系统、在线监控系统，供应商工作人员应正确使用采购人上</w:t>
      </w:r>
      <w:r>
        <w:rPr>
          <w:rFonts w:hint="eastAsia" w:ascii="仿宋" w:hAnsi="仿宋" w:eastAsia="仿宋" w:cs="仿宋"/>
          <w:b w:val="0"/>
          <w:bCs/>
          <w:color w:val="auto"/>
          <w:kern w:val="0"/>
          <w:sz w:val="28"/>
          <w:szCs w:val="28"/>
          <w:highlight w:val="none"/>
          <w:lang w:val="en-US" w:eastAsia="zh-CN" w:bidi="ar"/>
        </w:rPr>
        <w:t>述信息系统。</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highlight w:val="none"/>
          <w:lang w:val="en-US" w:eastAsia="zh-CN" w:bidi="ar"/>
        </w:rPr>
        <w:t>11、供应商需要按照《DL／T741-2001架空送电线路运行标准规范》对大竹县人民医院的10kv专线应</w:t>
      </w:r>
      <w:r>
        <w:rPr>
          <w:rFonts w:hint="eastAsia" w:ascii="仿宋" w:hAnsi="仿宋" w:eastAsia="仿宋" w:cs="仿宋"/>
          <w:b w:val="0"/>
          <w:bCs/>
          <w:color w:val="auto"/>
          <w:kern w:val="0"/>
          <w:sz w:val="28"/>
          <w:szCs w:val="28"/>
          <w:lang w:val="en-US" w:eastAsia="zh-CN" w:bidi="ar"/>
        </w:rPr>
        <w:t>每月巡线一次。 每年进行一次线路清障，清障过程中产生的一切费用由供应商承担。（供应商应对此条提供业务能力承诺函格式见附件2）</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12、供应商应向采购人提供与维保服务相关的大竹县人民医院提供业务咨询、技术指导。</w:t>
      </w:r>
    </w:p>
    <w:p>
      <w:pPr>
        <w:spacing w:line="360" w:lineRule="auto"/>
        <w:ind w:firstLine="560" w:firstLineChars="200"/>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highlight w:val="none"/>
          <w:lang w:val="en-US" w:eastAsia="zh-CN" w:bidi="ar"/>
        </w:rPr>
        <w:t>13、供应商在合同签订后的15日内，配齐到位所有人员，提前熟悉采购人的配电系统、各楼栋、楼层环境和并进行相关培训。协助采购人梳理维保范围内的设施设备台账清单，在熟悉现场环境后，按采购人要求定制维保计划。</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14、采购人与供应商仅为签订采购合同的合作关系，供应商所提供服务的工作人员与采购人之间没有任何劳动用工关系和雇佣关系。供应商为本项目工作人员办理用工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服务人员协商确定，供应商为本项目员工发放的劳动报酬不得低于四川省达州市相关政策规定，如遇劳动薪酬、福利待遇、社会保险等纠纷问题一概由供应商自行解决，供应商与投入本项目的人员之间的任何争议纠纷与采购人无关。供应商每年为本项目的维保工作人员投保意外伤害保险。</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15、供应商须遵守采购人的院内各项规章制度，供应商在指定的区域内进行工作，供应商做好各项安全保障工作和预案，做好员工安全教育工作，确保员工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16、供应商提供的维保服务内容除接受采购人监督检查外，还应接受国家行政机关的监督检查（如特种设备监督管理部门、市场监督管理部门、防疫检查、消防检查等），供应商提供的服务有涉及相关部门检查整改的内容，应在检查后第一时间进行整改，并承担其相应责任。若供应商原因导致采购人受到行政机关处罚，所产生的罚款费用和法律责任由供应商全部承担，供应商要立刻整改，并对造成的损失进行赔偿，造成严重影响的，采购人将解除合同。</w:t>
      </w:r>
    </w:p>
    <w:p>
      <w:pPr>
        <w:spacing w:line="360" w:lineRule="auto"/>
        <w:jc w:val="left"/>
        <w:rPr>
          <w:rFonts w:hint="eastAsia" w:ascii="楷体" w:hAnsi="楷体" w:eastAsia="楷体" w:cs="楷体"/>
          <w:b/>
          <w:bCs w:val="0"/>
          <w:color w:val="auto"/>
          <w:sz w:val="28"/>
          <w:szCs w:val="28"/>
          <w:lang w:val="en-US" w:eastAsia="zh-CN"/>
        </w:rPr>
      </w:pPr>
      <w:r>
        <w:rPr>
          <w:rFonts w:hint="eastAsia" w:ascii="楷体" w:hAnsi="楷体" w:eastAsia="楷体" w:cs="楷体"/>
          <w:b/>
          <w:bCs w:val="0"/>
          <w:color w:val="auto"/>
          <w:sz w:val="28"/>
          <w:szCs w:val="28"/>
          <w:lang w:val="en-US" w:eastAsia="zh-CN"/>
        </w:rPr>
        <w:t>三、商务要求</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（一）服务期限：双方合同签订生效之日起两年。</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（二）履约地点：大竹县人民医院院内指定地点。</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（三）付款方式</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1、采购人付款采用银行转账的方式，采购人付款前，成交供应商须根据收款金额开具相应金额的正规发票给采购人，否则采购人有权拒绝付款。</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2、本项目在签订合同后且配电维保服务每满 6 个月后，采购人在收到成交供应商发票提供后，60日内支付配电维保年服务成交总金额的25%，本项目分四次付清。</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（四）违约责任要求</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若供应商违约，采购人有权解除合同，要求供应商支付年度维保费20%的违约金，若违约金不足以覆盖采购人损失的，供应商还应赔偿采购人的全部损失。</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若发生下列情况之一的，属成交供应商承担违约责任：</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 一个维保年度内，累计三次未按采购文件要求的维保内容和质量完成配电维护保养工作。</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2. 一个维保年度内，累计发生两次配电事故或故障，供应商未能按约定时限要求予以解决。</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3. 一个维保年度内，累计两次供应商因易损件更换不及时、保养不到位造成配电等故障发生。</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4.在国家行政部门安全检查中，因配电维保原因导致采购人被通报批评。</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5. 由于供应商原因造成的严重人身伤亡或经济损失事件。</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6.供应商其他违反国家法律、法规的情况。</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p>
    <w:p>
      <w:pPr>
        <w:spacing w:line="360" w:lineRule="auto"/>
        <w:ind w:firstLine="280" w:firstLineChars="100"/>
        <w:rPr>
          <w:rFonts w:hint="eastAsia" w:ascii="仿宋" w:hAnsi="仿宋" w:eastAsia="仿宋" w:cs="仿宋"/>
          <w:b w:val="0"/>
          <w:bCs/>
          <w:color w:val="auto"/>
          <w:kern w:val="0"/>
          <w:sz w:val="28"/>
          <w:szCs w:val="28"/>
          <w:lang w:val="en-US" w:eastAsia="zh-CN" w:bidi="ar"/>
        </w:rPr>
      </w:pPr>
    </w:p>
    <w:p>
      <w:pPr>
        <w:spacing w:line="300" w:lineRule="auto"/>
        <w:rPr>
          <w:rFonts w:hint="eastAsia" w:ascii="仿宋" w:hAnsi="仿宋" w:eastAsia="仿宋" w:cs="仿宋"/>
          <w:b w:val="0"/>
          <w:bCs/>
          <w:color w:val="auto"/>
          <w:sz w:val="28"/>
          <w:szCs w:val="28"/>
        </w:rPr>
      </w:pPr>
    </w:p>
    <w:p>
      <w:pPr>
        <w:pStyle w:val="2"/>
        <w:rPr>
          <w:rFonts w:hint="eastAsia" w:ascii="仿宋" w:hAnsi="仿宋" w:eastAsia="仿宋" w:cs="仿宋"/>
          <w:b w:val="0"/>
          <w:bCs/>
          <w:color w:val="auto"/>
          <w:sz w:val="28"/>
          <w:szCs w:val="28"/>
        </w:rPr>
      </w:pPr>
    </w:p>
    <w:p>
      <w:pPr>
        <w:rPr>
          <w:rFonts w:hint="eastAsia"/>
        </w:rPr>
      </w:pPr>
    </w:p>
    <w:p>
      <w:pPr>
        <w:spacing w:line="300" w:lineRule="auto"/>
        <w:rPr>
          <w:rFonts w:hint="eastAsia" w:ascii="仿宋" w:hAnsi="仿宋" w:eastAsia="仿宋" w:cs="仿宋"/>
          <w:b w:val="0"/>
          <w:bCs/>
          <w:color w:val="auto"/>
          <w:sz w:val="28"/>
          <w:szCs w:val="28"/>
        </w:rPr>
      </w:pPr>
    </w:p>
    <w:p>
      <w:pPr>
        <w:spacing w:line="300" w:lineRule="auto"/>
        <w:rPr>
          <w:rFonts w:hint="eastAsia" w:ascii="仿宋" w:hAnsi="仿宋" w:eastAsia="仿宋" w:cs="仿宋"/>
          <w:b w:val="0"/>
          <w:bCs/>
          <w:color w:val="auto"/>
          <w:sz w:val="28"/>
          <w:szCs w:val="28"/>
        </w:rPr>
      </w:pPr>
    </w:p>
    <w:tbl>
      <w:tblPr>
        <w:tblStyle w:val="14"/>
        <w:tblpPr w:leftFromText="180" w:rightFromText="180" w:vertAnchor="text" w:horzAnchor="page" w:tblpX="1573" w:tblpY="624"/>
        <w:tblOverlap w:val="never"/>
        <w:tblW w:w="8804" w:type="dxa"/>
        <w:tblInd w:w="0" w:type="dxa"/>
        <w:shd w:val="clear" w:color="auto" w:fill="auto"/>
        <w:tblLayout w:type="fixed"/>
        <w:tblCellMar>
          <w:top w:w="0" w:type="dxa"/>
          <w:left w:w="0" w:type="dxa"/>
          <w:bottom w:w="0" w:type="dxa"/>
          <w:right w:w="0" w:type="dxa"/>
        </w:tblCellMar>
      </w:tblPr>
      <w:tblGrid>
        <w:gridCol w:w="1217"/>
        <w:gridCol w:w="675"/>
        <w:gridCol w:w="6912"/>
      </w:tblGrid>
      <w:tr>
        <w:tblPrEx>
          <w:tblCellMar>
            <w:top w:w="0" w:type="dxa"/>
            <w:left w:w="0" w:type="dxa"/>
            <w:bottom w:w="0" w:type="dxa"/>
            <w:right w:w="0" w:type="dxa"/>
          </w:tblCellMar>
        </w:tblPrEx>
        <w:trPr>
          <w:trHeight w:val="737" w:hRule="atLeast"/>
        </w:trPr>
        <w:tc>
          <w:tcPr>
            <w:tcW w:w="8804"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auto"/>
                <w:sz w:val="28"/>
                <w:szCs w:val="28"/>
                <w:u w:val="none"/>
                <w:lang w:val="en-US" w:eastAsia="zh-CN"/>
              </w:rPr>
            </w:pPr>
            <w:r>
              <w:rPr>
                <w:rFonts w:hint="eastAsia" w:ascii="仿宋" w:hAnsi="仿宋" w:eastAsia="仿宋" w:cs="仿宋"/>
                <w:b w:val="0"/>
                <w:bCs/>
                <w:i w:val="0"/>
                <w:color w:val="auto"/>
                <w:sz w:val="28"/>
                <w:szCs w:val="28"/>
                <w:u w:val="none"/>
                <w:lang w:val="en-US" w:eastAsia="zh-CN"/>
              </w:rPr>
              <w:t>供应商日常巡检内容（每十五日一次）技术要求</w:t>
            </w:r>
          </w:p>
        </w:tc>
      </w:tr>
      <w:tr>
        <w:tblPrEx>
          <w:shd w:val="clear" w:color="auto" w:fill="auto"/>
          <w:tblCellMar>
            <w:top w:w="0" w:type="dxa"/>
            <w:left w:w="0" w:type="dxa"/>
            <w:bottom w:w="0" w:type="dxa"/>
            <w:right w:w="0" w:type="dxa"/>
          </w:tblCellMar>
        </w:tblPrEx>
        <w:trPr>
          <w:trHeight w:val="59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lang w:val="en-US" w:eastAsia="zh-CN"/>
              </w:rPr>
            </w:pPr>
            <w:r>
              <w:rPr>
                <w:rFonts w:hint="eastAsia" w:ascii="仿宋" w:hAnsi="仿宋" w:eastAsia="仿宋" w:cs="仿宋"/>
                <w:b w:val="0"/>
                <w:bCs/>
                <w:i w:val="0"/>
                <w:color w:val="auto"/>
                <w:kern w:val="0"/>
                <w:sz w:val="28"/>
                <w:szCs w:val="28"/>
                <w:u w:val="none"/>
                <w:lang w:val="en-US" w:eastAsia="zh-CN" w:bidi="ar"/>
              </w:rPr>
              <w:t>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序号</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巡检内容</w:t>
            </w:r>
          </w:p>
        </w:tc>
      </w:tr>
      <w:tr>
        <w:tblPrEx>
          <w:shd w:val="clear" w:color="auto" w:fill="auto"/>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高压配电柜检查项目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开关屏柜上的仪表、指示灯、带电显示器指示应正常，各参数值应在正常范围内，无报警信息。操作方式选择开关、机械操作把手投切位置应正确，控制电源及电压回路电源分合闸指示正确。</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分、合闸位置指示器与实际运行方式相符；柜体的正面各电器、端子排等应标明编号、名称、用途及操作位置，其标明的字迹应清晰、工整、不易脱落。</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Style w:val="37"/>
                <w:rFonts w:hint="eastAsia" w:ascii="仿宋" w:hAnsi="仿宋" w:eastAsia="仿宋" w:cs="仿宋"/>
                <w:b w:val="0"/>
                <w:bCs/>
                <w:color w:val="auto"/>
                <w:sz w:val="28"/>
                <w:szCs w:val="28"/>
                <w:lang w:val="en-US" w:eastAsia="zh-CN" w:bidi="ar"/>
              </w:rPr>
              <w:t xml:space="preserve">   检查屏柜内清洁无杂物，柜类防火设施完好，</w:t>
            </w:r>
            <w:r>
              <w:rPr>
                <w:rStyle w:val="54"/>
                <w:rFonts w:hint="eastAsia" w:ascii="仿宋" w:hAnsi="仿宋" w:eastAsia="仿宋" w:cs="仿宋"/>
                <w:b w:val="0"/>
                <w:bCs/>
                <w:color w:val="auto"/>
                <w:sz w:val="28"/>
                <w:szCs w:val="28"/>
                <w:lang w:val="en-US" w:eastAsia="zh-CN" w:bidi="ar"/>
              </w:rPr>
              <w:t>无放电声</w:t>
            </w:r>
            <w:r>
              <w:rPr>
                <w:rStyle w:val="37"/>
                <w:rFonts w:hint="eastAsia" w:ascii="仿宋" w:hAnsi="仿宋" w:eastAsia="仿宋" w:cs="仿宋"/>
                <w:b w:val="0"/>
                <w:bCs/>
                <w:color w:val="auto"/>
                <w:sz w:val="28"/>
                <w:szCs w:val="28"/>
                <w:lang w:val="en-US" w:eastAsia="zh-CN" w:bidi="ar"/>
              </w:rPr>
              <w:t>、</w:t>
            </w:r>
            <w:r>
              <w:rPr>
                <w:rStyle w:val="54"/>
                <w:rFonts w:hint="eastAsia" w:ascii="仿宋" w:hAnsi="仿宋" w:eastAsia="仿宋" w:cs="仿宋"/>
                <w:b w:val="0"/>
                <w:bCs/>
                <w:color w:val="auto"/>
                <w:sz w:val="28"/>
                <w:szCs w:val="28"/>
                <w:lang w:val="en-US" w:eastAsia="zh-CN" w:bidi="ar"/>
              </w:rPr>
              <w:t>无异味</w:t>
            </w:r>
            <w:r>
              <w:rPr>
                <w:rStyle w:val="37"/>
                <w:rFonts w:hint="eastAsia" w:ascii="仿宋" w:hAnsi="仿宋" w:eastAsia="仿宋" w:cs="仿宋"/>
                <w:b w:val="0"/>
                <w:bCs/>
                <w:color w:val="auto"/>
                <w:sz w:val="28"/>
                <w:szCs w:val="28"/>
                <w:lang w:val="en-US" w:eastAsia="zh-CN" w:bidi="ar"/>
              </w:rPr>
              <w:t>和</w:t>
            </w:r>
            <w:r>
              <w:rPr>
                <w:rStyle w:val="54"/>
                <w:rFonts w:hint="eastAsia" w:ascii="仿宋" w:hAnsi="仿宋" w:eastAsia="仿宋" w:cs="仿宋"/>
                <w:b w:val="0"/>
                <w:bCs/>
                <w:color w:val="auto"/>
                <w:sz w:val="28"/>
                <w:szCs w:val="28"/>
                <w:lang w:val="en-US" w:eastAsia="zh-CN" w:bidi="ar"/>
              </w:rPr>
              <w:t>不均匀的机械噪声</w:t>
            </w:r>
            <w:r>
              <w:rPr>
                <w:rStyle w:val="37"/>
                <w:rFonts w:hint="eastAsia" w:ascii="仿宋" w:hAnsi="仿宋" w:eastAsia="仿宋" w:cs="仿宋"/>
                <w:b w:val="0"/>
                <w:bCs/>
                <w:color w:val="auto"/>
                <w:sz w:val="28"/>
                <w:szCs w:val="28"/>
                <w:lang w:val="en-US" w:eastAsia="zh-CN" w:bidi="ar"/>
              </w:rPr>
              <w:t>；</w:t>
            </w:r>
            <w:r>
              <w:rPr>
                <w:rStyle w:val="54"/>
                <w:rFonts w:hint="eastAsia" w:ascii="仿宋" w:hAnsi="仿宋" w:eastAsia="仿宋" w:cs="仿宋"/>
                <w:b w:val="0"/>
                <w:bCs/>
                <w:color w:val="auto"/>
                <w:sz w:val="28"/>
                <w:szCs w:val="28"/>
                <w:lang w:val="en-US" w:eastAsia="zh-CN" w:bidi="ar"/>
              </w:rPr>
              <w:t>柜内照明</w:t>
            </w:r>
            <w:r>
              <w:rPr>
                <w:rStyle w:val="37"/>
                <w:rFonts w:hint="eastAsia" w:ascii="仿宋" w:hAnsi="仿宋" w:eastAsia="仿宋" w:cs="仿宋"/>
                <w:b w:val="0"/>
                <w:bCs/>
                <w:color w:val="auto"/>
                <w:sz w:val="28"/>
                <w:szCs w:val="28"/>
                <w:lang w:val="en-US" w:eastAsia="zh-CN" w:bidi="ar"/>
              </w:rPr>
              <w:t>应正常，通过</w:t>
            </w:r>
            <w:r>
              <w:rPr>
                <w:rStyle w:val="54"/>
                <w:rFonts w:hint="eastAsia" w:ascii="仿宋" w:hAnsi="仿宋" w:eastAsia="仿宋" w:cs="仿宋"/>
                <w:b w:val="0"/>
                <w:bCs/>
                <w:color w:val="auto"/>
                <w:sz w:val="28"/>
                <w:szCs w:val="28"/>
                <w:lang w:val="en-US" w:eastAsia="zh-CN" w:bidi="ar"/>
              </w:rPr>
              <w:t>红外测温检测</w:t>
            </w:r>
            <w:r>
              <w:rPr>
                <w:rStyle w:val="37"/>
                <w:rFonts w:hint="eastAsia" w:ascii="仿宋" w:hAnsi="仿宋" w:eastAsia="仿宋" w:cs="仿宋"/>
                <w:b w:val="0"/>
                <w:bCs/>
                <w:color w:val="auto"/>
                <w:sz w:val="28"/>
                <w:szCs w:val="28"/>
                <w:lang w:val="en-US" w:eastAsia="zh-CN" w:bidi="ar"/>
              </w:rPr>
              <w:t>：断路器、隔离开关、母线、线路接头应无过热现象。安全距离内，肉眼观察母排及接头处无变色、变形情况，电磁设备有无裂纹和放电痕迹。</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4</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各封闭板螺丝应齐全、无松动、锈蚀，柜体封闭性完整；屏柜及屏柜上装有装置性设备或其他有接地要求的电器，外壳应可靠接地。</w:t>
            </w:r>
          </w:p>
        </w:tc>
      </w:tr>
      <w:tr>
        <w:tblPrEx>
          <w:shd w:val="clear" w:color="auto" w:fill="auto"/>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低压配电柜</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各类仪表、指示灯运行正常，仪表检测参数在正常范围内。柜体的正面各电器、端子排等应标明编号、名称、用途及操作位置，其标明的字迹应清晰、工整、不易脱落。</w:t>
            </w:r>
          </w:p>
        </w:tc>
      </w:tr>
      <w:tr>
        <w:tblPrEx>
          <w:tblCellMar>
            <w:top w:w="0" w:type="dxa"/>
            <w:left w:w="0" w:type="dxa"/>
            <w:bottom w:w="0" w:type="dxa"/>
            <w:right w:w="0" w:type="dxa"/>
          </w:tblCellMar>
        </w:tblPrEx>
        <w:trPr>
          <w:trHeight w:val="737" w:hRule="atLeast"/>
        </w:trPr>
        <w:tc>
          <w:tcPr>
            <w:tcW w:w="12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主电路（铜牌母线）、分路的刀开关、断路器连接部位固定螺丝，与仪表指示是否对应；带灭弧罩的断路器，三相灭弧罩是否完整。</w:t>
            </w:r>
          </w:p>
        </w:tc>
      </w:tr>
      <w:tr>
        <w:tblPrEx>
          <w:tblCellMar>
            <w:top w:w="0" w:type="dxa"/>
            <w:left w:w="0" w:type="dxa"/>
            <w:bottom w:w="0" w:type="dxa"/>
            <w:right w:w="0" w:type="dxa"/>
          </w:tblCellMar>
        </w:tblPrEx>
        <w:trPr>
          <w:trHeight w:val="737" w:hRule="atLeast"/>
        </w:trPr>
        <w:tc>
          <w:tcPr>
            <w:tcW w:w="12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Style w:val="37"/>
                <w:rFonts w:hint="eastAsia" w:ascii="仿宋" w:hAnsi="仿宋" w:eastAsia="仿宋" w:cs="仿宋"/>
                <w:b w:val="0"/>
                <w:bCs/>
                <w:color w:val="auto"/>
                <w:sz w:val="28"/>
                <w:szCs w:val="28"/>
                <w:lang w:val="en-US" w:eastAsia="zh-CN" w:bidi="ar"/>
              </w:rPr>
              <w:t>柜内防火设施完好，</w:t>
            </w:r>
            <w:r>
              <w:rPr>
                <w:rStyle w:val="54"/>
                <w:rFonts w:hint="eastAsia" w:ascii="仿宋" w:hAnsi="仿宋" w:eastAsia="仿宋" w:cs="仿宋"/>
                <w:b w:val="0"/>
                <w:bCs/>
                <w:color w:val="auto"/>
                <w:sz w:val="28"/>
                <w:szCs w:val="28"/>
                <w:lang w:val="en-US" w:eastAsia="zh-CN" w:bidi="ar"/>
              </w:rPr>
              <w:t>无放电声</w:t>
            </w:r>
            <w:r>
              <w:rPr>
                <w:rStyle w:val="37"/>
                <w:rFonts w:hint="eastAsia" w:ascii="仿宋" w:hAnsi="仿宋" w:eastAsia="仿宋" w:cs="仿宋"/>
                <w:b w:val="0"/>
                <w:bCs/>
                <w:color w:val="auto"/>
                <w:sz w:val="28"/>
                <w:szCs w:val="28"/>
                <w:lang w:val="en-US" w:eastAsia="zh-CN" w:bidi="ar"/>
              </w:rPr>
              <w:t>、</w:t>
            </w:r>
            <w:r>
              <w:rPr>
                <w:rStyle w:val="54"/>
                <w:rFonts w:hint="eastAsia" w:ascii="仿宋" w:hAnsi="仿宋" w:eastAsia="仿宋" w:cs="仿宋"/>
                <w:b w:val="0"/>
                <w:bCs/>
                <w:color w:val="auto"/>
                <w:sz w:val="28"/>
                <w:szCs w:val="28"/>
                <w:lang w:val="en-US" w:eastAsia="zh-CN" w:bidi="ar"/>
              </w:rPr>
              <w:t>无异味</w:t>
            </w:r>
            <w:r>
              <w:rPr>
                <w:rStyle w:val="37"/>
                <w:rFonts w:hint="eastAsia" w:ascii="仿宋" w:hAnsi="仿宋" w:eastAsia="仿宋" w:cs="仿宋"/>
                <w:b w:val="0"/>
                <w:bCs/>
                <w:color w:val="auto"/>
                <w:sz w:val="28"/>
                <w:szCs w:val="28"/>
                <w:lang w:val="en-US" w:eastAsia="zh-CN" w:bidi="ar"/>
              </w:rPr>
              <w:t>和</w:t>
            </w:r>
            <w:r>
              <w:rPr>
                <w:rStyle w:val="54"/>
                <w:rFonts w:hint="eastAsia" w:ascii="仿宋" w:hAnsi="仿宋" w:eastAsia="仿宋" w:cs="仿宋"/>
                <w:b w:val="0"/>
                <w:bCs/>
                <w:color w:val="auto"/>
                <w:sz w:val="28"/>
                <w:szCs w:val="28"/>
                <w:lang w:val="en-US" w:eastAsia="zh-CN" w:bidi="ar"/>
              </w:rPr>
              <w:t>不均匀的机械噪声</w:t>
            </w:r>
            <w:r>
              <w:rPr>
                <w:rStyle w:val="37"/>
                <w:rFonts w:hint="eastAsia" w:ascii="仿宋" w:hAnsi="仿宋" w:eastAsia="仿宋" w:cs="仿宋"/>
                <w:b w:val="0"/>
                <w:bCs/>
                <w:color w:val="auto"/>
                <w:sz w:val="28"/>
                <w:szCs w:val="28"/>
                <w:lang w:val="en-US" w:eastAsia="zh-CN" w:bidi="ar"/>
              </w:rPr>
              <w:t>；</w:t>
            </w:r>
            <w:r>
              <w:rPr>
                <w:rStyle w:val="54"/>
                <w:rFonts w:hint="eastAsia" w:ascii="仿宋" w:hAnsi="仿宋" w:eastAsia="仿宋" w:cs="仿宋"/>
                <w:b w:val="0"/>
                <w:bCs/>
                <w:color w:val="auto"/>
                <w:sz w:val="28"/>
                <w:szCs w:val="28"/>
                <w:lang w:val="en-US" w:eastAsia="zh-CN" w:bidi="ar"/>
              </w:rPr>
              <w:t>柜内照明</w:t>
            </w:r>
            <w:r>
              <w:rPr>
                <w:rStyle w:val="37"/>
                <w:rFonts w:hint="eastAsia" w:ascii="仿宋" w:hAnsi="仿宋" w:eastAsia="仿宋" w:cs="仿宋"/>
                <w:b w:val="0"/>
                <w:bCs/>
                <w:color w:val="auto"/>
                <w:sz w:val="28"/>
                <w:szCs w:val="28"/>
                <w:lang w:val="en-US" w:eastAsia="zh-CN" w:bidi="ar"/>
              </w:rPr>
              <w:t>应正常。柜体封闭性良好及接地应牢固可靠。</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lang w:val="en-US" w:eastAsia="zh-CN"/>
              </w:rPr>
            </w:pPr>
            <w:r>
              <w:rPr>
                <w:rFonts w:hint="eastAsia" w:ascii="仿宋" w:hAnsi="仿宋" w:eastAsia="仿宋" w:cs="仿宋"/>
                <w:b w:val="0"/>
                <w:bCs/>
                <w:i w:val="0"/>
                <w:color w:val="auto"/>
                <w:sz w:val="28"/>
                <w:szCs w:val="28"/>
                <w:u w:val="none"/>
                <w:lang w:val="en-US" w:eastAsia="zh-CN"/>
              </w:rPr>
              <w:t>4</w:t>
            </w:r>
          </w:p>
        </w:tc>
        <w:tc>
          <w:tcPr>
            <w:tcW w:w="69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仿宋" w:hAnsi="仿宋" w:eastAsia="仿宋" w:cs="仿宋"/>
                <w:b w:val="0"/>
                <w:bCs/>
                <w:i w:val="0"/>
                <w:color w:val="auto"/>
                <w:sz w:val="28"/>
                <w:szCs w:val="28"/>
                <w:u w:val="none"/>
              </w:rPr>
            </w:pPr>
            <w:r>
              <w:rPr>
                <w:rStyle w:val="37"/>
                <w:rFonts w:hint="eastAsia" w:ascii="仿宋" w:hAnsi="仿宋" w:eastAsia="仿宋" w:cs="仿宋"/>
                <w:b w:val="0"/>
                <w:bCs/>
                <w:color w:val="auto"/>
                <w:sz w:val="28"/>
                <w:szCs w:val="28"/>
                <w:lang w:val="en-US" w:eastAsia="zh-CN" w:bidi="ar"/>
              </w:rPr>
              <w:t>通过</w:t>
            </w:r>
            <w:r>
              <w:rPr>
                <w:rStyle w:val="54"/>
                <w:rFonts w:hint="eastAsia" w:ascii="仿宋" w:hAnsi="仿宋" w:eastAsia="仿宋" w:cs="仿宋"/>
                <w:b w:val="0"/>
                <w:bCs/>
                <w:color w:val="auto"/>
                <w:sz w:val="28"/>
                <w:szCs w:val="28"/>
                <w:lang w:val="en-US" w:eastAsia="zh-CN" w:bidi="ar"/>
              </w:rPr>
              <w:t>红外测温判断</w:t>
            </w:r>
            <w:r>
              <w:rPr>
                <w:rStyle w:val="37"/>
                <w:rFonts w:hint="eastAsia" w:ascii="仿宋" w:hAnsi="仿宋" w:eastAsia="仿宋" w:cs="仿宋"/>
                <w:b w:val="0"/>
                <w:bCs/>
                <w:color w:val="auto"/>
                <w:sz w:val="28"/>
                <w:szCs w:val="28"/>
                <w:lang w:val="en-US" w:eastAsia="zh-CN" w:bidi="ar"/>
              </w:rPr>
              <w:t>：断路器、隔离开关、母线、线路接头应无过热现象。安全距离内，肉眼观察母排及接头处无变色、变形情况，电磁设备有无裂纹和放电痕迹。</w:t>
            </w:r>
          </w:p>
        </w:tc>
      </w:tr>
      <w:tr>
        <w:tblPrEx>
          <w:shd w:val="clear" w:color="auto" w:fill="auto"/>
          <w:tblCellMar>
            <w:top w:w="0" w:type="dxa"/>
            <w:left w:w="0" w:type="dxa"/>
            <w:bottom w:w="0" w:type="dxa"/>
            <w:right w:w="0" w:type="dxa"/>
          </w:tblCellMar>
        </w:tblPrEx>
        <w:trPr>
          <w:trHeight w:val="737" w:hRule="atLeast"/>
        </w:trPr>
        <w:tc>
          <w:tcPr>
            <w:tcW w:w="1217"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变压器</w:t>
            </w:r>
          </w:p>
        </w:tc>
        <w:tc>
          <w:tcPr>
            <w:tcW w:w="6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检查变压器是否为规定的运行方式，变压器运行过程中声音正常，无异常气味。运行中电流、电压均在正常范围内。变压器温度指示灯正常，无报警信号提示。</w:t>
            </w:r>
          </w:p>
        </w:tc>
      </w:tr>
      <w:tr>
        <w:tblPrEx>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变压器零部件必须无损伤或移位，接线是否松动、断裂、绝缘件和线圈是否有破损，是否有异物等。</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油浸式变压器需观察油位、温度是否在正常范围内，呼吸器颜色是否正常，变压器油箱及接头处是否有冒油渗油现象，瓦斯继电器是否正常。</w:t>
            </w:r>
          </w:p>
        </w:tc>
      </w:tr>
      <w:tr>
        <w:tblPrEx>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4</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检查风机是否能正常运行、温控、照明等设备能否正常运行。</w:t>
            </w:r>
          </w:p>
        </w:tc>
      </w:tr>
      <w:tr>
        <w:tblPrEx>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5</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变压器的主附设备的外壳接地是否良好。</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6</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检查变压器三相绕组、连接部位及器体温度是否正常。</w:t>
            </w:r>
          </w:p>
        </w:tc>
      </w:tr>
      <w:tr>
        <w:tblPrEx>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7</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变压器套管是否清洁，有无破损、裂纹和放电痕迹。</w:t>
            </w:r>
          </w:p>
        </w:tc>
      </w:tr>
      <w:tr>
        <w:tblPrEx>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接地系统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检查地网有无脱漆、锈蚀、设备各接地处、导体搭接处是否牢固。</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每月进行接地系统的接地电阻测量。</w:t>
            </w:r>
          </w:p>
        </w:tc>
      </w:tr>
      <w:tr>
        <w:tblPrEx>
          <w:shd w:val="clear" w:color="auto" w:fill="auto"/>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直流系统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直流、交流控制电源设备各盘柜标识清晰、接线完整，直流系统配电柜及蓄电池柜照明充足，清洁无杂物。</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蓄电池柜温度、湿度正常，无爬碱、漏液现象，通风良好。</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充电模块运行正常，风扇运转正常，风道畅通，模块温度正常。输出电流均衡，均、浮充状态一致。</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4</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直流、交流母线电压正常，各电压电流表计显示正确。</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5</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绝缘检测仪工作正常，直流母线及馈线支路无接地故障。</w:t>
            </w:r>
          </w:p>
        </w:tc>
      </w:tr>
      <w:tr>
        <w:tblPrEx>
          <w:shd w:val="clear" w:color="auto" w:fill="auto"/>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配电系统基础设施检查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检查配电系统照明和防潮灯及通风机是否正常。</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检查配电系统屋面有否漏水，电缆沟有否积水，门窗有否损坏。</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检查防鼠挡板是否完整，房内孔洞有否堵死。</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4</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检查配电系统门外通道是否畅顺，有否被堵现象。</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5</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绝缘垫有无破损，安全用具是否齐全、完好在有效期内。</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6</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检查配电系统消防设施是否完好，</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7</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检查配电系统集水井水位正常，水泵运行正常。</w:t>
            </w:r>
          </w:p>
        </w:tc>
      </w:tr>
      <w:tr>
        <w:tblPrEx>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lang w:val="en-US" w:eastAsia="zh-CN"/>
              </w:rPr>
            </w:pPr>
            <w:r>
              <w:rPr>
                <w:rFonts w:hint="eastAsia" w:ascii="仿宋" w:hAnsi="仿宋" w:eastAsia="仿宋" w:cs="仿宋"/>
                <w:b w:val="0"/>
                <w:bCs/>
                <w:i w:val="0"/>
                <w:color w:val="auto"/>
                <w:sz w:val="28"/>
                <w:szCs w:val="28"/>
                <w:u w:val="none"/>
                <w:lang w:val="en-US" w:eastAsia="zh-CN"/>
              </w:rPr>
              <w:t>外科大楼UPS检查项目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检查ups设备投入运行正常，无报警指示，无异常声音、无异味，工作指示灯是否在正常位置。在不影响科室正常运行情况下需</w:t>
            </w:r>
            <w:r>
              <w:rPr>
                <w:rFonts w:hint="eastAsia" w:ascii="仿宋" w:hAnsi="仿宋" w:eastAsia="仿宋" w:cs="仿宋"/>
                <w:b w:val="0"/>
                <w:bCs/>
                <w:color w:val="auto"/>
                <w:kern w:val="0"/>
                <w:sz w:val="28"/>
                <w:szCs w:val="28"/>
                <w:lang w:val="en-US" w:eastAsia="zh-CN" w:bidi="ar"/>
              </w:rPr>
              <w:t>测试UPS，启动运行正常。</w:t>
            </w:r>
          </w:p>
        </w:tc>
      </w:tr>
      <w:tr>
        <w:tblPrEx>
          <w:tblCellMar>
            <w:top w:w="0" w:type="dxa"/>
            <w:left w:w="0" w:type="dxa"/>
            <w:bottom w:w="0" w:type="dxa"/>
            <w:right w:w="0" w:type="dxa"/>
          </w:tblCellMar>
        </w:tblPrEx>
        <w:trPr>
          <w:trHeight w:val="737" w:hRule="atLeast"/>
        </w:trPr>
        <w:tc>
          <w:tcPr>
            <w:tcW w:w="12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检查设备表面是否清洁，无堆放异物。</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检查蓄电池电压是否正常，打开蓄电池柜检查，蓄电池柜内无异物，无异味，电池外壳无变形、爬酸和漏液，电池连接紧固。</w:t>
            </w:r>
          </w:p>
        </w:tc>
      </w:tr>
      <w:tr>
        <w:tblPrEx>
          <w:tblCellMar>
            <w:top w:w="0" w:type="dxa"/>
            <w:left w:w="0" w:type="dxa"/>
            <w:bottom w:w="0" w:type="dxa"/>
            <w:right w:w="0" w:type="dxa"/>
          </w:tblCellMar>
        </w:tblPrEx>
        <w:trPr>
          <w:trHeight w:val="3597" w:hRule="atLeast"/>
        </w:trPr>
        <w:tc>
          <w:tcPr>
            <w:tcW w:w="1217"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lang w:val="en-US" w:eastAsia="zh-CN"/>
              </w:rPr>
            </w:pPr>
            <w:r>
              <w:rPr>
                <w:rFonts w:hint="eastAsia" w:ascii="仿宋" w:hAnsi="仿宋" w:eastAsia="仿宋" w:cs="仿宋"/>
                <w:b w:val="0"/>
                <w:bCs/>
                <w:i w:val="0"/>
                <w:color w:val="auto"/>
                <w:sz w:val="28"/>
                <w:szCs w:val="28"/>
                <w:u w:val="none"/>
                <w:lang w:val="en-US" w:eastAsia="zh-CN"/>
              </w:rPr>
              <w:t>配电房基础设施检查项目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l.检查配电系统照明和防潮灯及通风机是否正常。</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2、检查配电系统屋面有否漏水，电缆沟有否积水，门窗有否损坏。</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3、检查防鼠挡板是否完整，房内孔洞有否堵死。</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4、检查配电系统门外通道是否畅顺，有否被堵现象。</w:t>
            </w:r>
          </w:p>
          <w:p>
            <w:pPr>
              <w:spacing w:line="360" w:lineRule="auto"/>
              <w:ind w:firstLine="560" w:firstLineChars="200"/>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color w:val="auto"/>
                <w:kern w:val="0"/>
                <w:sz w:val="28"/>
                <w:szCs w:val="28"/>
                <w:lang w:val="en-US" w:eastAsia="zh-CN" w:bidi="ar"/>
              </w:rPr>
              <w:t>5、检查环境空调运行是否正常</w:t>
            </w:r>
          </w:p>
        </w:tc>
      </w:tr>
    </w:tbl>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hint="eastAsia" w:ascii="仿宋" w:hAnsi="仿宋" w:eastAsia="仿宋" w:cs="仿宋"/>
          <w:sz w:val="28"/>
          <w:szCs w:val="28"/>
          <w:highlight w:val="white"/>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pStyle w:val="33"/>
        <w:spacing w:line="360" w:lineRule="auto"/>
        <w:ind w:firstLine="560"/>
        <w:rPr>
          <w:rFonts w:hint="eastAsia" w:ascii="仿宋" w:hAnsi="仿宋" w:eastAsia="仿宋" w:cs="仿宋"/>
          <w:sz w:val="28"/>
          <w:szCs w:val="28"/>
          <w:highlight w:val="white"/>
          <w:lang w:val="en-US" w:eastAsia="zh-CN"/>
        </w:rPr>
      </w:pPr>
      <w:r>
        <w:rPr>
          <w:rFonts w:hint="eastAsia" w:ascii="仿宋" w:hAnsi="仿宋" w:eastAsia="仿宋" w:cs="仿宋"/>
          <w:sz w:val="28"/>
          <w:szCs w:val="28"/>
          <w:highlight w:val="white"/>
          <w:lang w:val="en-US" w:eastAsia="zh-CN"/>
        </w:rPr>
        <w:t>九、兹有我公司承揽贵院大竹县人民医院配电系统维保项目，我公司承诺能完成大竹县人民医院10kv专线（民医线、茶医线）的清障工作，我方自主协调影响10kv线路运行的植被、建筑等障碍物的清理工作，清障产生的一切费用由我公司承担。若因10kv专线清障不到位，不符合DL／741-2001架空送电线路运行标准规范要求，由此发生的任何事故，所产生的任何损失由我公司承担。</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adjustRightInd w:val="0"/>
        <w:spacing w:line="360" w:lineRule="auto"/>
        <w:ind w:firstLine="3640" w:firstLineChars="13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3640" w:firstLineChars="13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3640" w:firstLineChars="13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adjustRightInd w:val="0"/>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采购项目名称：</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val="en-US" w:eastAsia="zh-CN"/>
        </w:rPr>
        <w:t>采购项目编号：</w:t>
      </w:r>
    </w:p>
    <w:tbl>
      <w:tblPr>
        <w:tblStyle w:val="14"/>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3611"/>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exact"/>
          <w:jc w:val="center"/>
        </w:trPr>
        <w:tc>
          <w:tcPr>
            <w:tcW w:w="918"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序号</w:t>
            </w:r>
          </w:p>
        </w:tc>
        <w:tc>
          <w:tcPr>
            <w:tcW w:w="3611"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项目名称</w:t>
            </w:r>
          </w:p>
        </w:tc>
        <w:tc>
          <w:tcPr>
            <w:tcW w:w="4903"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供应商完成本项目的包干价</w:t>
            </w:r>
          </w:p>
          <w:p>
            <w:pPr>
              <w:adjustRightInd w:val="0"/>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（计价单位：人民币元）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18"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w:t>
            </w:r>
          </w:p>
        </w:tc>
        <w:tc>
          <w:tcPr>
            <w:tcW w:w="3611"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大竹县人民医院配电系统维保采购项目</w:t>
            </w:r>
          </w:p>
          <w:p>
            <w:pPr>
              <w:adjustRightInd w:val="0"/>
              <w:spacing w:line="360" w:lineRule="auto"/>
              <w:jc w:val="left"/>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竹医总采（询）【2024-7-1】号 </w:t>
            </w:r>
          </w:p>
        </w:tc>
        <w:tc>
          <w:tcPr>
            <w:tcW w:w="4903"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ind w:firstLine="480" w:firstLineChars="20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小写：            元</w:t>
            </w:r>
          </w:p>
          <w:p>
            <w:pPr>
              <w:adjustRightInd w:val="0"/>
              <w:spacing w:line="360" w:lineRule="auto"/>
              <w:ind w:firstLine="480" w:firstLineChars="20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大写：人民币</w:t>
            </w:r>
          </w:p>
        </w:tc>
      </w:tr>
    </w:tbl>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注：1、询价人必须按上表的格式详细报出询价总价的各个组成部分的报价并具体填写表格内容，否则作无效询价处理。</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2.“报价一览表”为多页的，每页均需由法定代表人/单位负责人或授权代表签字或盖供应商印章。</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3、供应商自愿按照询价文件规定的各项要求向采购人提供所需货物（服务），保证提供的货物（服务）等的所有权及知识产权等权利无瑕疵，并保证报价不高于市场平均价。</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4、一旦我方成交，我方将严格履行合同规定的责任和义务，保证于合同签字生效后按照合同规定履行义务；</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5、我方报价为本采购项目合同下所有费用，是采购人最终验收合格后的总包干价。</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6、评审委员会认为我方报价低于成本，我方将按照评审委员会要求积极配合提供相关证明材料；并接受评审委员会的评审认定。</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供应商名称：</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 xml:space="preserve">日期： </w:t>
      </w:r>
    </w:p>
    <w:p>
      <w:pPr>
        <w:adjustRightInd w:val="0"/>
        <w:spacing w:line="360" w:lineRule="auto"/>
        <w:jc w:val="left"/>
        <w:rPr>
          <w:rFonts w:hint="eastAsia" w:ascii="仿宋" w:hAnsi="仿宋" w:eastAsia="仿宋" w:cs="仿宋"/>
          <w:bCs/>
          <w:sz w:val="28"/>
          <w:szCs w:val="28"/>
        </w:rPr>
        <w:sectPr>
          <w:footerReference r:id="rId9" w:type="default"/>
          <w:pgSz w:w="11907" w:h="16840"/>
          <w:pgMar w:top="1440" w:right="1134" w:bottom="1440" w:left="1418" w:header="720" w:footer="720" w:gutter="0"/>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4"/>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highlight w:val="white"/>
              </w:rPr>
            </w:pPr>
          </w:p>
          <w:p>
            <w:pPr>
              <w:pStyle w:val="34"/>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4"/>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0"/>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19"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19"/>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A4093F-79B9-4C55-AF02-6ACF029AEA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86C26FE6-3E36-4824-B1F1-4B064B56452E}"/>
  </w:font>
  <w:font w:name="方正小标宋_GBK">
    <w:altName w:val="Arial Unicode MS"/>
    <w:panose1 w:val="03000509000000000000"/>
    <w:charset w:val="86"/>
    <w:family w:val="auto"/>
    <w:pitch w:val="default"/>
    <w:sig w:usb0="00000000" w:usb1="00000000" w:usb2="00000000" w:usb3="00000000" w:csb0="00040000" w:csb1="00000000"/>
    <w:embedRegular r:id="rId3" w:fontKey="{3E20A21F-31CF-4014-89F9-FB35716ADCDE}"/>
  </w:font>
  <w:font w:name="楷体">
    <w:panose1 w:val="02010609060101010101"/>
    <w:charset w:val="86"/>
    <w:family w:val="auto"/>
    <w:pitch w:val="default"/>
    <w:sig w:usb0="800002BF" w:usb1="38CF7CFA" w:usb2="00000016" w:usb3="00000000" w:csb0="00040001" w:csb1="00000000"/>
    <w:embedRegular r:id="rId4" w:fontKey="{790962D7-9045-4072-A7EE-774B584502FE}"/>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17"/>
        <w:kern w:val="0"/>
      </w:rPr>
    </w:pPr>
    <w:r>
      <w:pict>
        <v:shape id="文本框 1"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30</w:t>
                </w:r>
                <w:r>
                  <w:fldChar w:fldCharType="end"/>
                </w:r>
              </w:p>
            </w:txbxContent>
          </v:textbox>
        </v:shape>
      </w:pict>
    </w:r>
  </w:p>
  <w:p>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文本框 3"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58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4"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32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tentative="0">
      <w:start w:val="1"/>
      <w:numFmt w:val="chineseCounting"/>
      <w:suff w:val="space"/>
      <w:lvlText w:val="第%1章"/>
      <w:lvlJc w:val="left"/>
      <w:rPr>
        <w:rFonts w:hint="eastAsia"/>
      </w:rPr>
    </w:lvl>
  </w:abstractNum>
  <w:abstractNum w:abstractNumId="4">
    <w:nsid w:val="45946062"/>
    <w:multiLevelType w:val="singleLevel"/>
    <w:tmpl w:val="45946062"/>
    <w:lvl w:ilvl="0" w:tentative="0">
      <w:start w:val="1"/>
      <w:numFmt w:val="decimal"/>
      <w:suff w:val="nothing"/>
      <w:lvlText w:val="%1、"/>
      <w:lvlJc w:val="left"/>
    </w:lvl>
  </w:abstractNum>
  <w:abstractNum w:abstractNumId="5">
    <w:nsid w:val="4B2DF71E"/>
    <w:multiLevelType w:val="singleLevel"/>
    <w:tmpl w:val="4B2DF71E"/>
    <w:lvl w:ilvl="0" w:tentative="0">
      <w:start w:val="1"/>
      <w:numFmt w:val="decimal"/>
      <w:suff w:val="nothing"/>
      <w:lvlText w:val="%1、"/>
      <w:lvlJc w:val="left"/>
    </w:lvl>
  </w:abstractNum>
  <w:abstractNum w:abstractNumId="6">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CF50C0"/>
    <w:rsid w:val="04264DDE"/>
    <w:rsid w:val="06CB01B2"/>
    <w:rsid w:val="0735445F"/>
    <w:rsid w:val="082D68C0"/>
    <w:rsid w:val="099C21AA"/>
    <w:rsid w:val="0AC7222B"/>
    <w:rsid w:val="0C653F5B"/>
    <w:rsid w:val="0D004C93"/>
    <w:rsid w:val="10E16B8A"/>
    <w:rsid w:val="11692E07"/>
    <w:rsid w:val="123F5CEB"/>
    <w:rsid w:val="13502D0A"/>
    <w:rsid w:val="13C479B3"/>
    <w:rsid w:val="155F532E"/>
    <w:rsid w:val="16EB3B9B"/>
    <w:rsid w:val="190A1374"/>
    <w:rsid w:val="19377C8F"/>
    <w:rsid w:val="1A8106F0"/>
    <w:rsid w:val="1AA46DAA"/>
    <w:rsid w:val="1B4A3E71"/>
    <w:rsid w:val="1BF20354"/>
    <w:rsid w:val="1C0D55E0"/>
    <w:rsid w:val="1D64349D"/>
    <w:rsid w:val="1D7F73F8"/>
    <w:rsid w:val="1E561981"/>
    <w:rsid w:val="1ECC20E3"/>
    <w:rsid w:val="1F63358C"/>
    <w:rsid w:val="1FAA5B7D"/>
    <w:rsid w:val="25B17454"/>
    <w:rsid w:val="29D11F74"/>
    <w:rsid w:val="2BFF1D42"/>
    <w:rsid w:val="2C33078A"/>
    <w:rsid w:val="2C84328E"/>
    <w:rsid w:val="2D520CBF"/>
    <w:rsid w:val="2D5C161A"/>
    <w:rsid w:val="2E245984"/>
    <w:rsid w:val="2E274D7B"/>
    <w:rsid w:val="2F542EF1"/>
    <w:rsid w:val="2FE45165"/>
    <w:rsid w:val="309B2467"/>
    <w:rsid w:val="31010479"/>
    <w:rsid w:val="33DC5895"/>
    <w:rsid w:val="35CE3363"/>
    <w:rsid w:val="37491522"/>
    <w:rsid w:val="3A826D1A"/>
    <w:rsid w:val="3C557122"/>
    <w:rsid w:val="4065532C"/>
    <w:rsid w:val="41623A80"/>
    <w:rsid w:val="420D14D6"/>
    <w:rsid w:val="423A5D5C"/>
    <w:rsid w:val="431B32FE"/>
    <w:rsid w:val="45AA61B4"/>
    <w:rsid w:val="474E375C"/>
    <w:rsid w:val="49F11610"/>
    <w:rsid w:val="4A9D2073"/>
    <w:rsid w:val="4AA26071"/>
    <w:rsid w:val="4CFA0B84"/>
    <w:rsid w:val="4D2F1826"/>
    <w:rsid w:val="4DAD1CF2"/>
    <w:rsid w:val="4DE2558B"/>
    <w:rsid w:val="4DF85D67"/>
    <w:rsid w:val="517E212C"/>
    <w:rsid w:val="542E6249"/>
    <w:rsid w:val="55D55BA4"/>
    <w:rsid w:val="55E9251C"/>
    <w:rsid w:val="58A65CBC"/>
    <w:rsid w:val="58F6310D"/>
    <w:rsid w:val="5914654F"/>
    <w:rsid w:val="5A3115B5"/>
    <w:rsid w:val="5CA72002"/>
    <w:rsid w:val="5D526A35"/>
    <w:rsid w:val="5FED5F7E"/>
    <w:rsid w:val="62175DE5"/>
    <w:rsid w:val="62C326D2"/>
    <w:rsid w:val="64223473"/>
    <w:rsid w:val="6505667C"/>
    <w:rsid w:val="653D52B2"/>
    <w:rsid w:val="664F0CB2"/>
    <w:rsid w:val="6A9D0B41"/>
    <w:rsid w:val="6C371961"/>
    <w:rsid w:val="6D0B1A3B"/>
    <w:rsid w:val="6D2825EA"/>
    <w:rsid w:val="6D594018"/>
    <w:rsid w:val="6F601F1C"/>
    <w:rsid w:val="70666005"/>
    <w:rsid w:val="72B7769C"/>
    <w:rsid w:val="7AEC49C8"/>
    <w:rsid w:val="7B191EC6"/>
    <w:rsid w:val="7B7D5A51"/>
    <w:rsid w:val="7E1840F5"/>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7"/>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28"/>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9"/>
    <w:autoRedefine/>
    <w:qFormat/>
    <w:uiPriority w:val="0"/>
    <w:pPr>
      <w:spacing w:after="120"/>
    </w:pPr>
  </w:style>
  <w:style w:type="paragraph" w:styleId="5">
    <w:name w:val="Normal Indent"/>
    <w:basedOn w:val="1"/>
    <w:link w:val="35"/>
    <w:autoRedefine/>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0"/>
    <w:autoRedefine/>
    <w:unhideWhenUsed/>
    <w:qFormat/>
    <w:uiPriority w:val="0"/>
    <w:pPr>
      <w:jc w:val="left"/>
    </w:pPr>
    <w:rPr>
      <w:rFonts w:ascii="宋体"/>
      <w:kern w:val="0"/>
      <w:sz w:val="34"/>
      <w:szCs w:val="22"/>
    </w:rPr>
  </w:style>
  <w:style w:type="paragraph" w:styleId="7">
    <w:name w:val="Body Text Indent"/>
    <w:basedOn w:val="1"/>
    <w:link w:val="31"/>
    <w:autoRedefine/>
    <w:qFormat/>
    <w:uiPriority w:val="0"/>
    <w:pPr>
      <w:ind w:firstLine="630"/>
    </w:pPr>
    <w:rPr>
      <w:sz w:val="32"/>
    </w:rPr>
  </w:style>
  <w:style w:type="paragraph" w:styleId="8">
    <w:name w:val="Balloon Text"/>
    <w:basedOn w:val="1"/>
    <w:link w:val="32"/>
    <w:autoRedefine/>
    <w:qFormat/>
    <w:uiPriority w:val="0"/>
    <w:rPr>
      <w:sz w:val="18"/>
      <w:szCs w:val="18"/>
    </w:rPr>
  </w:style>
  <w:style w:type="paragraph" w:styleId="9">
    <w:name w:val="footer"/>
    <w:basedOn w:val="1"/>
    <w:link w:val="26"/>
    <w:autoRedefine/>
    <w:unhideWhenUsed/>
    <w:qFormat/>
    <w:uiPriority w:val="99"/>
    <w:pPr>
      <w:tabs>
        <w:tab w:val="center" w:pos="4153"/>
        <w:tab w:val="right" w:pos="8306"/>
      </w:tabs>
      <w:snapToGrid w:val="0"/>
      <w:jc w:val="left"/>
    </w:pPr>
    <w:rPr>
      <w:sz w:val="18"/>
      <w:szCs w:val="18"/>
    </w:rPr>
  </w:style>
  <w:style w:type="paragraph" w:styleId="10">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5"/>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autoRedefine/>
    <w:qFormat/>
    <w:uiPriority w:val="0"/>
  </w:style>
  <w:style w:type="character" w:styleId="18">
    <w:name w:val="Hyperlink"/>
    <w:autoRedefine/>
    <w:qFormat/>
    <w:uiPriority w:val="99"/>
    <w:rPr>
      <w:color w:val="0000FF"/>
      <w:u w:val="single"/>
    </w:rPr>
  </w:style>
  <w:style w:type="character" w:styleId="19">
    <w:name w:val="annotation reference"/>
    <w:basedOn w:val="16"/>
    <w:autoRedefine/>
    <w:qFormat/>
    <w:uiPriority w:val="0"/>
    <w:rPr>
      <w:sz w:val="21"/>
      <w:szCs w:val="21"/>
    </w:rPr>
  </w:style>
  <w:style w:type="paragraph" w:customStyle="1" w:styleId="20">
    <w:name w:val="标题 5（有编号）（绿盟科技）"/>
    <w:basedOn w:val="21"/>
    <w:next w:val="22"/>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3">
    <w:name w:val="正文文本_1"/>
    <w:basedOn w:val="24"/>
    <w:next w:val="24"/>
    <w:autoRedefine/>
    <w:unhideWhenUsed/>
    <w:qFormat/>
    <w:uiPriority w:val="99"/>
    <w:pPr>
      <w:spacing w:after="120"/>
    </w:pPr>
    <w:rPr>
      <w:rFonts w:ascii="Times New Roman" w:hAnsi="Times New Roman"/>
      <w:kern w:val="0"/>
      <w:sz w:val="20"/>
      <w:szCs w:val="20"/>
    </w:rPr>
  </w:style>
  <w:style w:type="paragraph" w:customStyle="1" w:styleId="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6"/>
    <w:link w:val="10"/>
    <w:autoRedefine/>
    <w:semiHidden/>
    <w:qFormat/>
    <w:uiPriority w:val="99"/>
    <w:rPr>
      <w:sz w:val="18"/>
      <w:szCs w:val="18"/>
    </w:rPr>
  </w:style>
  <w:style w:type="character" w:customStyle="1" w:styleId="26">
    <w:name w:val="页脚 Char"/>
    <w:basedOn w:val="16"/>
    <w:link w:val="9"/>
    <w:autoRedefine/>
    <w:semiHidden/>
    <w:qFormat/>
    <w:uiPriority w:val="99"/>
    <w:rPr>
      <w:sz w:val="18"/>
      <w:szCs w:val="18"/>
    </w:rPr>
  </w:style>
  <w:style w:type="character" w:customStyle="1" w:styleId="27">
    <w:name w:val="标题 1 Char"/>
    <w:basedOn w:val="16"/>
    <w:link w:val="3"/>
    <w:autoRedefine/>
    <w:qFormat/>
    <w:uiPriority w:val="0"/>
    <w:rPr>
      <w:rFonts w:ascii="黑体" w:hAnsi="黑体" w:eastAsia="黑体" w:cs="Times New Roman"/>
      <w:b/>
      <w:kern w:val="44"/>
      <w:sz w:val="32"/>
      <w:szCs w:val="32"/>
    </w:rPr>
  </w:style>
  <w:style w:type="character" w:customStyle="1" w:styleId="28">
    <w:name w:val="标题 2 Char"/>
    <w:basedOn w:val="16"/>
    <w:link w:val="4"/>
    <w:autoRedefine/>
    <w:qFormat/>
    <w:uiPriority w:val="0"/>
    <w:rPr>
      <w:rFonts w:ascii="Arial" w:hAnsi="Arial" w:eastAsia="黑体" w:cs="Times New Roman"/>
      <w:sz w:val="30"/>
      <w:szCs w:val="30"/>
    </w:rPr>
  </w:style>
  <w:style w:type="character" w:customStyle="1" w:styleId="29">
    <w:name w:val="正文文本 Char"/>
    <w:basedOn w:val="16"/>
    <w:link w:val="2"/>
    <w:autoRedefine/>
    <w:qFormat/>
    <w:uiPriority w:val="99"/>
    <w:rPr>
      <w:rFonts w:ascii="Times New Roman" w:hAnsi="Times New Roman" w:eastAsia="宋体" w:cs="Times New Roman"/>
      <w:szCs w:val="20"/>
    </w:rPr>
  </w:style>
  <w:style w:type="character" w:customStyle="1" w:styleId="30">
    <w:name w:val="批注文字 Char"/>
    <w:basedOn w:val="16"/>
    <w:link w:val="6"/>
    <w:autoRedefine/>
    <w:qFormat/>
    <w:uiPriority w:val="99"/>
    <w:rPr>
      <w:rFonts w:ascii="宋体" w:hAnsi="Times New Roman" w:eastAsia="宋体" w:cs="Times New Roman"/>
      <w:kern w:val="0"/>
      <w:sz w:val="34"/>
    </w:rPr>
  </w:style>
  <w:style w:type="character" w:customStyle="1" w:styleId="31">
    <w:name w:val="正文文本缩进 Char"/>
    <w:basedOn w:val="16"/>
    <w:link w:val="7"/>
    <w:autoRedefine/>
    <w:qFormat/>
    <w:uiPriority w:val="0"/>
    <w:rPr>
      <w:rFonts w:ascii="Times New Roman" w:hAnsi="Times New Roman" w:eastAsia="宋体" w:cs="Times New Roman"/>
      <w:sz w:val="32"/>
      <w:szCs w:val="20"/>
    </w:rPr>
  </w:style>
  <w:style w:type="character" w:customStyle="1" w:styleId="32">
    <w:name w:val="批注框文本 Char"/>
    <w:basedOn w:val="16"/>
    <w:link w:val="8"/>
    <w:autoRedefine/>
    <w:qFormat/>
    <w:uiPriority w:val="0"/>
    <w:rPr>
      <w:rFonts w:ascii="Times New Roman" w:hAnsi="Times New Roman" w:eastAsia="宋体" w:cs="Times New Roman"/>
      <w:sz w:val="18"/>
      <w:szCs w:val="18"/>
    </w:rPr>
  </w:style>
  <w:style w:type="paragraph" w:styleId="33">
    <w:name w:val="List Paragraph"/>
    <w:basedOn w:val="1"/>
    <w:autoRedefine/>
    <w:qFormat/>
    <w:uiPriority w:val="0"/>
    <w:pPr>
      <w:ind w:firstLine="420" w:firstLineChars="200"/>
    </w:pPr>
    <w:rPr>
      <w:szCs w:val="24"/>
    </w:rPr>
  </w:style>
  <w:style w:type="paragraph" w:customStyle="1" w:styleId="34">
    <w:name w:val="表格"/>
    <w:basedOn w:val="1"/>
    <w:autoRedefine/>
    <w:qFormat/>
    <w:uiPriority w:val="0"/>
    <w:pPr>
      <w:spacing w:line="400" w:lineRule="exact"/>
    </w:pPr>
    <w:rPr>
      <w:sz w:val="24"/>
      <w:szCs w:val="24"/>
    </w:rPr>
  </w:style>
  <w:style w:type="character" w:customStyle="1" w:styleId="35">
    <w:name w:val="正文缩进 Char"/>
    <w:link w:val="5"/>
    <w:autoRedefine/>
    <w:qFormat/>
    <w:uiPriority w:val="0"/>
    <w:rPr>
      <w:rFonts w:ascii="宋体" w:hAnsi="宋体" w:eastAsia="宋体" w:cs="Times New Roman"/>
      <w:b/>
      <w:kern w:val="0"/>
      <w:sz w:val="24"/>
      <w:szCs w:val="24"/>
    </w:rPr>
  </w:style>
  <w:style w:type="character" w:customStyle="1" w:styleId="36">
    <w:name w:val="font31"/>
    <w:basedOn w:val="16"/>
    <w:autoRedefine/>
    <w:qFormat/>
    <w:uiPriority w:val="0"/>
    <w:rPr>
      <w:rFonts w:hint="eastAsia" w:ascii="宋体" w:hAnsi="宋体" w:eastAsia="宋体" w:cs="宋体"/>
      <w:color w:val="0000FF"/>
      <w:sz w:val="28"/>
      <w:szCs w:val="28"/>
      <w:u w:val="none"/>
    </w:rPr>
  </w:style>
  <w:style w:type="character" w:customStyle="1" w:styleId="37">
    <w:name w:val="font01"/>
    <w:basedOn w:val="16"/>
    <w:autoRedefine/>
    <w:qFormat/>
    <w:uiPriority w:val="0"/>
    <w:rPr>
      <w:rFonts w:hint="eastAsia" w:ascii="宋体" w:hAnsi="宋体" w:eastAsia="宋体" w:cs="宋体"/>
      <w:color w:val="000000"/>
      <w:sz w:val="28"/>
      <w:szCs w:val="28"/>
      <w:u w:val="none"/>
    </w:rPr>
  </w:style>
  <w:style w:type="paragraph" w:customStyle="1" w:styleId="38">
    <w:name w:val="正文_1"/>
    <w:next w:val="39"/>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autoRedefine/>
    <w:qFormat/>
    <w:uiPriority w:val="0"/>
    <w:pPr>
      <w:spacing w:after="120"/>
    </w:pPr>
  </w:style>
  <w:style w:type="paragraph" w:customStyle="1" w:styleId="40">
    <w:name w:val="正文_1_0"/>
    <w:next w:val="39"/>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autoRedefine/>
    <w:qFormat/>
    <w:uiPriority w:val="0"/>
    <w:pPr>
      <w:ind w:firstLine="420" w:firstLineChars="200"/>
    </w:pPr>
  </w:style>
  <w:style w:type="paragraph" w:customStyle="1" w:styleId="42">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6"/>
    <w:link w:val="12"/>
    <w:autoRedefine/>
    <w:qFormat/>
    <w:uiPriority w:val="0"/>
    <w:rPr>
      <w:rFonts w:ascii="Cambria" w:hAnsi="Cambria"/>
      <w:b/>
      <w:bCs/>
      <w:color w:val="000000"/>
      <w:kern w:val="28"/>
      <w:sz w:val="32"/>
      <w:szCs w:val="32"/>
    </w:rPr>
  </w:style>
  <w:style w:type="character" w:customStyle="1" w:styleId="46">
    <w:name w:val="font23"/>
    <w:basedOn w:val="16"/>
    <w:autoRedefine/>
    <w:qFormat/>
    <w:uiPriority w:val="0"/>
    <w:rPr>
      <w:rFonts w:hint="eastAsia" w:ascii="新宋体" w:hAnsi="新宋体" w:eastAsia="新宋体" w:cs="新宋体"/>
      <w:color w:val="000000"/>
      <w:sz w:val="20"/>
      <w:szCs w:val="20"/>
      <w:u w:val="none"/>
    </w:rPr>
  </w:style>
  <w:style w:type="paragraph" w:customStyle="1" w:styleId="4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autoRedefine/>
    <w:qFormat/>
    <w:uiPriority w:val="0"/>
    <w:rPr>
      <w:rFonts w:hint="eastAsia" w:ascii="新宋体" w:hAnsi="新宋体" w:eastAsia="新宋体" w:cs="新宋体"/>
      <w:b/>
      <w:bCs/>
      <w:color w:val="000000"/>
      <w:sz w:val="20"/>
      <w:szCs w:val="20"/>
      <w:u w:val="none"/>
    </w:rPr>
  </w:style>
  <w:style w:type="character" w:customStyle="1" w:styleId="49">
    <w:name w:val="font191"/>
    <w:basedOn w:val="16"/>
    <w:autoRedefine/>
    <w:qFormat/>
    <w:uiPriority w:val="0"/>
    <w:rPr>
      <w:rFonts w:ascii="Arial" w:hAnsi="Arial" w:cs="Arial"/>
      <w:color w:val="000000"/>
      <w:sz w:val="19"/>
      <w:szCs w:val="19"/>
      <w:u w:val="none"/>
    </w:rPr>
  </w:style>
  <w:style w:type="character" w:customStyle="1" w:styleId="50">
    <w:name w:val="font201"/>
    <w:basedOn w:val="16"/>
    <w:autoRedefine/>
    <w:qFormat/>
    <w:uiPriority w:val="0"/>
    <w:rPr>
      <w:rFonts w:ascii="Calibri" w:hAnsi="Calibri" w:cs="Calibri"/>
      <w:color w:val="000000"/>
      <w:sz w:val="21"/>
      <w:szCs w:val="21"/>
      <w:u w:val="none"/>
    </w:rPr>
  </w:style>
  <w:style w:type="paragraph" w:customStyle="1" w:styleId="51">
    <w:name w:val="标题 1_0"/>
    <w:basedOn w:val="24"/>
    <w:next w:val="24"/>
    <w:autoRedefine/>
    <w:qFormat/>
    <w:uiPriority w:val="9"/>
    <w:pPr>
      <w:keepNext/>
      <w:keepLines/>
      <w:spacing w:before="340" w:after="330" w:line="578" w:lineRule="auto"/>
      <w:outlineLvl w:val="0"/>
    </w:pPr>
    <w:rPr>
      <w:b/>
      <w:bCs/>
      <w:kern w:val="44"/>
      <w:sz w:val="44"/>
      <w:szCs w:val="44"/>
    </w:rPr>
  </w:style>
  <w:style w:type="character" w:customStyle="1" w:styleId="52">
    <w:name w:val="font41"/>
    <w:basedOn w:val="16"/>
    <w:autoRedefine/>
    <w:qFormat/>
    <w:uiPriority w:val="0"/>
    <w:rPr>
      <w:rFonts w:ascii="Arial" w:hAnsi="Arial" w:cs="Arial"/>
      <w:color w:val="000000"/>
      <w:sz w:val="24"/>
      <w:szCs w:val="24"/>
      <w:u w:val="none"/>
    </w:rPr>
  </w:style>
  <w:style w:type="paragraph" w:customStyle="1" w:styleId="53">
    <w:name w:val="null3"/>
    <w:autoRedefine/>
    <w:hidden/>
    <w:qFormat/>
    <w:uiPriority w:val="0"/>
    <w:rPr>
      <w:rFonts w:hint="eastAsia" w:asciiTheme="minorHAnsi" w:hAnsiTheme="minorHAnsi" w:eastAsiaTheme="minorEastAsia" w:cstheme="minorBidi"/>
      <w:lang w:val="en-US" w:eastAsia="zh-Hans"/>
    </w:rPr>
  </w:style>
  <w:style w:type="character" w:customStyle="1" w:styleId="54">
    <w:name w:val="font11"/>
    <w:basedOn w:val="16"/>
    <w:autoRedefine/>
    <w:qFormat/>
    <w:uiPriority w:val="0"/>
    <w:rPr>
      <w:rFonts w:hint="eastAsia" w:ascii="仿宋" w:hAnsi="仿宋" w:eastAsia="仿宋" w:cs="仿宋"/>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3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15390</Words>
  <Characters>15773</Characters>
  <Lines>129</Lines>
  <Paragraphs>36</Paragraphs>
  <TotalTime>50</TotalTime>
  <ScaleCrop>false</ScaleCrop>
  <LinksUpToDate>false</LinksUpToDate>
  <CharactersWithSpaces>16342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2024-03-18T02:13:00Z</cp:lastPrinted>
  <dcterms:modified xsi:type="dcterms:W3CDTF">2024-08-06T09:21:27Z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9B864FC181064F48B63750822648A68C_13</vt:lpwstr>
  </property>
</Properties>
</file>