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6063"/>
      <w:bookmarkStart w:id="1" w:name="_Toc193106174"/>
      <w:bookmarkStart w:id="2" w:name="_Toc193105917"/>
      <w:bookmarkStart w:id="3" w:name="_Toc35086451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竹医总采（询）【2023-7-12】</w:t>
      </w:r>
    </w:p>
    <w:p>
      <w:pPr>
        <w:spacing w:line="360" w:lineRule="auto"/>
        <w:jc w:val="center"/>
        <w:rPr>
          <w:rFonts w:ascii="仿宋" w:hAnsi="仿宋" w:eastAsia="仿宋" w:cs="仿宋"/>
          <w:b/>
          <w:kern w:val="0"/>
          <w:sz w:val="40"/>
          <w:szCs w:val="40"/>
        </w:rPr>
      </w:pPr>
    </w:p>
    <w:p>
      <w:pPr>
        <w:spacing w:line="360" w:lineRule="auto"/>
        <w:jc w:val="center"/>
        <w:rPr>
          <w:rFonts w:ascii="仿宋" w:hAnsi="仿宋" w:eastAsia="仿宋" w:cs="仿宋"/>
          <w:b/>
          <w:kern w:val="0"/>
          <w:sz w:val="40"/>
          <w:szCs w:val="40"/>
        </w:rPr>
      </w:pPr>
      <w:r>
        <w:rPr>
          <w:rFonts w:hint="eastAsia" w:ascii="仿宋" w:hAnsi="仿宋" w:eastAsia="仿宋" w:cs="仿宋"/>
          <w:b/>
          <w:kern w:val="0"/>
          <w:sz w:val="40"/>
          <w:szCs w:val="40"/>
        </w:rPr>
        <w:t>大竹县人民医院2022年度会计报表审计及以前年度往来账务清理采购项目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二O二三年</w:t>
      </w:r>
      <w:r>
        <w:rPr>
          <w:rFonts w:hint="eastAsia" w:ascii="仿宋" w:hAnsi="仿宋" w:eastAsia="仿宋" w:cs="仿宋"/>
          <w:b/>
          <w:bCs/>
          <w:sz w:val="32"/>
          <w:szCs w:val="32"/>
        </w:rPr>
        <w:t>七</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询价邀请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highlight w:val="white"/>
          <w:lang w:val="en-US" w:eastAsia="zh-CN"/>
        </w:rPr>
        <w:t xml:space="preserve">                                               </w:t>
      </w:r>
      <w:r>
        <w:rPr>
          <w:rFonts w:hint="eastAsia" w:ascii="仿宋" w:hAnsi="仿宋" w:eastAsia="仿宋" w:cs="仿宋"/>
          <w:b/>
          <w:sz w:val="28"/>
          <w:szCs w:val="28"/>
        </w:rPr>
        <w:t>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hint="default" w:ascii="仿宋" w:hAnsi="仿宋" w:eastAsia="仿宋" w:cs="仿宋"/>
          <w:b/>
          <w:sz w:val="28"/>
          <w:szCs w:val="28"/>
          <w:lang w:val="en-US" w:eastAsia="zh-CN"/>
        </w:rPr>
      </w:pPr>
      <w:r>
        <w:rPr>
          <w:rFonts w:hint="eastAsia" w:ascii="仿宋" w:hAnsi="仿宋" w:eastAsia="仿宋" w:cs="仿宋"/>
          <w:b/>
          <w:sz w:val="28"/>
          <w:szCs w:val="28"/>
        </w:rPr>
        <w:t xml:space="preserve">第九章 响应文件相关文书格式                                   </w:t>
      </w:r>
      <w:r>
        <w:rPr>
          <w:rFonts w:hint="eastAsia" w:ascii="仿宋" w:hAnsi="仿宋" w:eastAsia="仿宋" w:cs="仿宋"/>
          <w:b/>
          <w:sz w:val="28"/>
          <w:szCs w:val="28"/>
          <w:lang w:val="en-US" w:eastAsia="zh-CN"/>
        </w:rPr>
        <w:t>21</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大竹县人民医院2022年度会计报表审计及以前年度往来账务清理采购项目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竹医总采（询）【2023-7-12】</w:t>
      </w:r>
    </w:p>
    <w:p>
      <w:pPr>
        <w:pStyle w:val="33"/>
        <w:spacing w:line="360" w:lineRule="auto"/>
        <w:ind w:firstLine="562"/>
        <w:rPr>
          <w:rFonts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：大竹县人民医院2022年度会计报表审计及以前年度往来账务清理采购项目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2023年7月</w:t>
      </w:r>
      <w:r>
        <w:rPr>
          <w:rFonts w:hint="eastAsia" w:ascii="仿宋" w:hAnsi="仿宋" w:eastAsia="仿宋" w:cs="仿宋"/>
          <w:color w:val="FF0000"/>
          <w:sz w:val="28"/>
          <w:szCs w:val="28"/>
          <w:u w:val="single"/>
          <w:lang w:val="en-US" w:eastAsia="zh-CN"/>
        </w:rPr>
        <w:t>11</w:t>
      </w:r>
      <w:r>
        <w:rPr>
          <w:rFonts w:hint="eastAsia" w:ascii="仿宋" w:hAnsi="仿宋" w:eastAsia="仿宋" w:cs="仿宋"/>
          <w:color w:val="FF0000"/>
          <w:sz w:val="28"/>
          <w:szCs w:val="28"/>
          <w:u w:val="single"/>
        </w:rPr>
        <w:t>日起至2023年7月</w:t>
      </w:r>
      <w:r>
        <w:rPr>
          <w:rFonts w:hint="eastAsia" w:ascii="仿宋" w:hAnsi="仿宋" w:eastAsia="仿宋" w:cs="仿宋"/>
          <w:color w:val="FF0000"/>
          <w:sz w:val="28"/>
          <w:szCs w:val="28"/>
          <w:u w:val="single"/>
          <w:lang w:val="en-US" w:eastAsia="zh-CN"/>
        </w:rPr>
        <w:t>12</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①报名表一份（用于核对遴选资格）；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③报价一览表一份。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2023年7月</w:t>
      </w:r>
      <w:r>
        <w:rPr>
          <w:rFonts w:hint="eastAsia" w:ascii="仿宋" w:hAnsi="仿宋" w:eastAsia="仿宋" w:cs="仿宋"/>
          <w:color w:val="FF0000"/>
          <w:sz w:val="28"/>
          <w:szCs w:val="28"/>
          <w:u w:val="single"/>
          <w:lang w:val="en-US" w:eastAsia="zh-CN"/>
        </w:rPr>
        <w:t>14</w:t>
      </w:r>
      <w:r>
        <w:rPr>
          <w:rFonts w:hint="eastAsia" w:ascii="仿宋" w:hAnsi="仿宋" w:eastAsia="仿宋" w:cs="仿宋"/>
          <w:color w:val="FF0000"/>
          <w:sz w:val="28"/>
          <w:szCs w:val="28"/>
          <w:u w:val="single"/>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w:t>
      </w:r>
      <w:r>
        <w:rPr>
          <w:rFonts w:hint="eastAsia" w:ascii="仿宋" w:hAnsi="仿宋" w:eastAsia="仿宋" w:cs="仿宋"/>
          <w:sz w:val="28"/>
          <w:szCs w:val="28"/>
          <w:lang w:val="en-US" w:eastAsia="zh-CN"/>
        </w:rPr>
        <w:t>0</w:t>
      </w:r>
      <w:bookmarkStart w:id="30" w:name="_GoBack"/>
      <w:bookmarkEnd w:id="30"/>
      <w:r>
        <w:rPr>
          <w:rFonts w:hint="eastAsia" w:ascii="仿宋" w:hAnsi="仿宋" w:eastAsia="仿宋" w:cs="仿宋"/>
          <w:sz w:val="28"/>
          <w:szCs w:val="28"/>
        </w:rPr>
        <w:t>0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5918"/>
      <w:bookmarkStart w:id="5" w:name="_Toc193106064"/>
      <w:bookmarkStart w:id="6" w:name="_Toc193106175"/>
      <w:bookmarkStart w:id="7" w:name="_Toc35086451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竹医总采（询）【2023-7-12】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bCs/>
                <w:kern w:val="0"/>
                <w:sz w:val="28"/>
                <w:szCs w:val="28"/>
              </w:rPr>
              <w:t>大竹县人民医院2022年度会计报表审计及以前年度往来账务清理采购项目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本次采购的货物共计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项目预算：50000元（大写：人民币伍万元整）。超过项目预算为无效报价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w:t>
      </w:r>
      <w:r>
        <w:rPr>
          <w:rFonts w:hint="eastAsia" w:ascii="仿宋" w:hAnsi="仿宋" w:eastAsia="仿宋" w:cs="仿宋"/>
          <w:sz w:val="28"/>
          <w:szCs w:val="28"/>
          <w:u w:val="single"/>
        </w:rPr>
        <w:t>1-3</w:t>
      </w:r>
      <w:r>
        <w:rPr>
          <w:rFonts w:hint="eastAsia" w:ascii="仿宋" w:hAnsi="仿宋" w:eastAsia="仿宋" w:cs="仿宋"/>
          <w:sz w:val="28"/>
          <w:szCs w:val="28"/>
        </w:rPr>
        <w:t xml:space="preserve"> 名，并由采购人确定顺序第1名的，为成交供应商。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大竹县人民医院微信公众号上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9、成交供应商接到采购人中标通知后，15日内来院签订合同，逾期未到者，按弃权处理。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2、评审委员会从质量和服务均能满足采购文件实质性响应要求的供应商中，按照报价由低到高的顺序提出3名以上成交候选人。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2、成交供应商应在成交公告之日起十五日内与采购人签订采购合同。由于成交供应商的原因逾期未与采购人签订采购合同的，将视为放弃成交。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3、响应文件、样品不否符合询价文件规定数量、要求的，响应文件、样品未提供或逾期送达的。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2318708"/>
      <w:bookmarkStart w:id="11" w:name="_Toc193106065"/>
      <w:bookmarkStart w:id="12" w:name="_Toc193105919"/>
      <w:bookmarkStart w:id="13" w:name="_Toc192318381"/>
      <w:bookmarkStart w:id="14" w:name="_Toc350864517"/>
      <w:bookmarkStart w:id="15" w:name="_Toc192318461"/>
      <w:bookmarkStart w:id="16" w:name="_Toc193106176"/>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5、参加政府采购活动前三年内，在经营活动中没有重大违法记录；</w:t>
      </w:r>
      <w:bookmarkEnd w:id="22"/>
    </w:p>
    <w:p>
      <w:pPr>
        <w:adjustRightInd w:val="0"/>
        <w:snapToGrid w:val="0"/>
        <w:spacing w:line="360" w:lineRule="auto"/>
        <w:ind w:firstLine="480"/>
        <w:rPr>
          <w:rFonts w:ascii="宋体" w:hAnsi="宋体" w:cs="宋体"/>
          <w:sz w:val="24"/>
        </w:rPr>
      </w:pPr>
      <w:bookmarkStart w:id="23" w:name="_Toc30973_WPSOffice_Level2"/>
      <w:r>
        <w:rPr>
          <w:rFonts w:hint="eastAsia" w:ascii="宋体" w:hAnsi="宋体" w:cs="宋体"/>
          <w:sz w:val="24"/>
        </w:rPr>
        <w:t>6、法律、行政法规规定的其他条件；</w:t>
      </w:r>
      <w:bookmarkEnd w:id="23"/>
    </w:p>
    <w:p>
      <w:pPr>
        <w:adjustRightInd w:val="0"/>
        <w:snapToGrid w:val="0"/>
        <w:spacing w:line="360" w:lineRule="auto"/>
        <w:ind w:firstLine="480"/>
        <w:rPr>
          <w:rFonts w:ascii="仿宋" w:hAnsi="仿宋" w:eastAsia="仿宋" w:cs="仿宋"/>
          <w:sz w:val="28"/>
          <w:szCs w:val="28"/>
        </w:rPr>
      </w:pPr>
      <w:r>
        <w:rPr>
          <w:rFonts w:hint="eastAsia" w:ascii="仿宋" w:hAnsi="仿宋" w:eastAsia="仿宋" w:cs="仿宋"/>
          <w:sz w:val="28"/>
          <w:szCs w:val="28"/>
        </w:rPr>
        <w:t>（1）供应商派驻的审计人员具有注册会计师证书，需提供上述资质资料（审计人员身份证和注册会计师证书原件扫描件）。</w:t>
      </w:r>
    </w:p>
    <w:p>
      <w:pPr>
        <w:adjustRightInd w:val="0"/>
        <w:snapToGrid w:val="0"/>
        <w:spacing w:line="360" w:lineRule="auto"/>
        <w:ind w:firstLine="480"/>
      </w:pPr>
      <w:r>
        <w:rPr>
          <w:rFonts w:hint="eastAsia" w:ascii="仿宋" w:hAnsi="仿宋" w:eastAsia="仿宋" w:cs="仿宋"/>
          <w:sz w:val="28"/>
          <w:szCs w:val="28"/>
        </w:rPr>
        <w:t>（2）供应商具有三级医院会计报表审计、往来账款清理等项目经验，需提供项目实施相关资料（近3年已完成的一份合同及履约资料的原件扫描件）。</w:t>
      </w:r>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7、提供供应商最近一年的任意1个月缴纳税收和社保的凭证或承诺函（新成立不足一个月的公司，提供成交后依法缴纳税收和社保的承诺函，格式自拟）；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bookmarkEnd w:id="25"/>
    </w:p>
    <w:p>
      <w:pPr>
        <w:pStyle w:val="38"/>
        <w:spacing w:line="360" w:lineRule="auto"/>
        <w:ind w:left="559" w:leftChars="266"/>
        <w:jc w:val="left"/>
        <w:rPr>
          <w:rFonts w:hint="eastAsia" w:ascii="仿宋" w:hAnsi="仿宋" w:eastAsia="仿宋" w:cs="仿宋"/>
          <w:b/>
          <w:bCs/>
          <w:sz w:val="28"/>
          <w:szCs w:val="28"/>
        </w:rPr>
      </w:pPr>
      <w:r>
        <w:rPr>
          <w:rFonts w:hint="eastAsia" w:ascii="方正公文小标宋" w:hAnsi="方正公文小标宋" w:eastAsia="方正公文小标宋" w:cs="方正公文小标宋"/>
          <w:sz w:val="28"/>
          <w:szCs w:val="28"/>
        </w:rPr>
        <w:t>大竹县人民医院2022年度会计报表审计及以前年度往来账务清理采购项目</w:t>
      </w:r>
      <w:r>
        <w:rPr>
          <w:rFonts w:hint="eastAsia" w:ascii="仿宋" w:hAnsi="仿宋" w:eastAsia="仿宋" w:cs="仿宋"/>
          <w:b/>
          <w:bCs/>
          <w:sz w:val="28"/>
          <w:szCs w:val="28"/>
        </w:rPr>
        <w:t>一、项目预算（技术要求）</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采购总预算为50000元（大写：人民币伍万元整）。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p>
      <w:pPr>
        <w:pStyle w:val="38"/>
        <w:numPr>
          <w:ilvl w:val="0"/>
          <w:numId w:val="8"/>
        </w:num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项目概况（技术要求）</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人大竹县人民医院是集医疗、教学、科研、预防保健为一体的国家三级甲等综合医院。本服务项目是按照卫健委、审计等相关部门关于政府会计制度的相关要求，由供应商在规定的时间内负责具体组织实施2022年度财务报告审计及以前年度1.5亿元往来账款清理有关工作，提交项目成果，并顺利通过成果验收。供应商除</w:t>
      </w:r>
      <w:r>
        <w:rPr>
          <w:rFonts w:hint="eastAsia" w:ascii="仿宋" w:hAnsi="仿宋" w:eastAsia="仿宋" w:cs="仿宋"/>
          <w:color w:val="auto"/>
          <w:sz w:val="28"/>
          <w:szCs w:val="28"/>
        </w:rPr>
        <w:t>提供2份审计报告之外</w:t>
      </w:r>
      <w:r>
        <w:rPr>
          <w:rFonts w:hint="eastAsia" w:ascii="仿宋" w:hAnsi="仿宋" w:eastAsia="仿宋" w:cs="仿宋"/>
          <w:sz w:val="28"/>
          <w:szCs w:val="28"/>
        </w:rPr>
        <w:t>，还应就往来账款清理存在的问题另行提供专业建议。</w:t>
      </w:r>
    </w:p>
    <w:p>
      <w:pPr>
        <w:pStyle w:val="33"/>
        <w:spacing w:line="360" w:lineRule="auto"/>
        <w:ind w:firstLine="562"/>
        <w:rPr>
          <w:rFonts w:hint="eastAsia" w:ascii="仿宋" w:hAnsi="仿宋" w:eastAsia="仿宋" w:cs="仿宋"/>
          <w:b/>
          <w:bCs/>
          <w:sz w:val="28"/>
          <w:szCs w:val="28"/>
        </w:rPr>
      </w:pPr>
      <w:r>
        <w:rPr>
          <w:rFonts w:hint="eastAsia" w:ascii="仿宋" w:hAnsi="仿宋" w:eastAsia="仿宋" w:cs="仿宋"/>
          <w:b/>
          <w:bCs/>
          <w:sz w:val="28"/>
          <w:szCs w:val="28"/>
        </w:rPr>
        <w:t>三、采购标的（技术要求）</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采购人将“大竹县人民医院2022年度会计报表审计及以前年度1.5亿元往来款账务清理”工作打包招供应商承接，供应商必须是具有注册会计师资质的审计人员、且具有三级医院会计报表审计项目经验的会计师事务所。</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1、采购人向供应商支付服务费，供应商向采购人提供2022年度会计报表审计及以前年度1.5亿元往来账清理服务。</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2、供应商对采购人2022年度会计报表进行审计，在服务期内出具合规、有效、清楚准确的2022年会计报表审计报告。</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3、供应商对采购人指定的其他应付款、其他应收款、预付账款和应收账款等1.5亿元往来款账务进行清理，逐笔清理债权、债务，梳理挂账账龄、查明挂账原因、理清款项来龙去脉等，确保往来款项的真实准确，供应商在服务期内出具合规、有效、清楚准确的1.5亿元</w:t>
      </w:r>
      <w:r>
        <w:rPr>
          <w:rFonts w:hint="eastAsia" w:ascii="仿宋" w:hAnsi="仿宋" w:eastAsia="仿宋" w:cs="仿宋"/>
          <w:color w:val="auto"/>
          <w:sz w:val="28"/>
          <w:szCs w:val="28"/>
        </w:rPr>
        <w:t>往来账专项审计报告</w:t>
      </w:r>
      <w:r>
        <w:rPr>
          <w:rFonts w:hint="eastAsia" w:ascii="仿宋" w:hAnsi="仿宋" w:eastAsia="仿宋" w:cs="仿宋"/>
          <w:sz w:val="28"/>
          <w:szCs w:val="28"/>
        </w:rPr>
        <w:t>。</w:t>
      </w:r>
    </w:p>
    <w:p>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4、供应商就此次往来账清理发现的问题，向采购人出具书面建议。</w:t>
      </w:r>
    </w:p>
    <w:p>
      <w:pPr>
        <w:spacing w:line="360" w:lineRule="auto"/>
        <w:ind w:firstLine="562" w:firstLineChars="200"/>
        <w:contextualSpacing/>
        <w:jc w:val="left"/>
        <w:rPr>
          <w:rFonts w:hint="eastAsia" w:ascii="仿宋" w:hAnsi="仿宋" w:eastAsia="仿宋" w:cs="仿宋"/>
          <w:b/>
          <w:bCs/>
          <w:sz w:val="28"/>
          <w:szCs w:val="28"/>
        </w:rPr>
      </w:pPr>
      <w:r>
        <w:rPr>
          <w:rFonts w:hint="eastAsia" w:ascii="仿宋" w:hAnsi="仿宋" w:eastAsia="仿宋" w:cs="仿宋"/>
          <w:b/>
          <w:bCs/>
          <w:sz w:val="28"/>
          <w:szCs w:val="28"/>
        </w:rPr>
        <w:t>四、项目技术和服务要求</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1、供应商成立工作小组并指定项目负责人，派驻的人员应具有的良好的职业道德、业务素质和责任意识。</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b w:val="0"/>
          <w:bCs w:val="0"/>
          <w:sz w:val="28"/>
          <w:szCs w:val="28"/>
        </w:rPr>
        <w:t>2、供应商向采购人提供服务期间，供应商投入本项目的工作人员数量不得少于4名、且均</w:t>
      </w:r>
      <w:r>
        <w:rPr>
          <w:rFonts w:hint="eastAsia" w:ascii="仿宋" w:hAnsi="仿宋" w:eastAsia="仿宋" w:cs="仿宋"/>
          <w:sz w:val="28"/>
          <w:szCs w:val="28"/>
        </w:rPr>
        <w:t>具有注册会计师资质的工作人员。其中：</w:t>
      </w:r>
    </w:p>
    <w:p>
      <w:pPr>
        <w:spacing w:line="360" w:lineRule="auto"/>
        <w:ind w:firstLine="560" w:firstLineChars="200"/>
        <w:contextualSpacing/>
        <w:rPr>
          <w:rFonts w:hint="eastAsia" w:ascii="仿宋" w:hAnsi="仿宋" w:eastAsia="仿宋" w:cs="仿宋"/>
          <w:color w:val="000000"/>
          <w:sz w:val="28"/>
          <w:szCs w:val="28"/>
        </w:rPr>
      </w:pPr>
      <w:r>
        <w:rPr>
          <w:rFonts w:hint="eastAsia" w:ascii="仿宋" w:hAnsi="仿宋" w:eastAsia="仿宋" w:cs="仿宋"/>
          <w:sz w:val="28"/>
          <w:szCs w:val="28"/>
        </w:rPr>
        <w:t xml:space="preserve"> 项目负责人</w:t>
      </w:r>
      <w:r>
        <w:rPr>
          <w:rFonts w:hint="eastAsia" w:ascii="仿宋" w:hAnsi="仿宋" w:eastAsia="仿宋" w:cs="仿宋"/>
          <w:color w:val="000000"/>
          <w:sz w:val="28"/>
          <w:szCs w:val="28"/>
        </w:rPr>
        <w:t>1人，负责工作方案的实施和把控工作进度、负责交付及验收等各个环节，负责与采购人的沟通协调工作；</w:t>
      </w:r>
    </w:p>
    <w:p>
      <w:pPr>
        <w:spacing w:line="360" w:lineRule="auto"/>
        <w:ind w:firstLine="560" w:firstLineChars="200"/>
        <w:contextualSpacing/>
        <w:rPr>
          <w:rFonts w:hint="eastAsia" w:ascii="仿宋" w:hAnsi="仿宋" w:eastAsia="仿宋" w:cs="仿宋"/>
          <w:color w:val="000000"/>
          <w:sz w:val="28"/>
          <w:szCs w:val="28"/>
        </w:rPr>
      </w:pPr>
      <w:r>
        <w:rPr>
          <w:rFonts w:hint="eastAsia" w:ascii="仿宋" w:hAnsi="仿宋" w:eastAsia="仿宋" w:cs="仿宋"/>
          <w:color w:val="000000"/>
          <w:sz w:val="28"/>
          <w:szCs w:val="28"/>
        </w:rPr>
        <w:t>负责对项目技术进行整体把控和指导，负责解决项目技术难点，提出风险点，审定交付的报告；负责就本次项目服务发现的问题，向采购人提出书面专业建议。</w:t>
      </w:r>
    </w:p>
    <w:p>
      <w:pPr>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color w:val="000000"/>
          <w:sz w:val="28"/>
          <w:szCs w:val="28"/>
        </w:rPr>
        <w:t>工作人员3人，负责在项目负责人指导下，在服务期内完成项目服务工作。负责报告编制、提出专业建议等服务事项。</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 xml:space="preserve">3、供应商接受采购人职能科室的工作进度监督，提供优质高效的项目运营管理服务。  </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4、供应商在服务期内，需先完成采购人指定的1.5亿元以前年度往来账的清理工作后，再开展2022年度会计报表审计工作；且有责任为采购人维护使用的会计凭证的完整和安全，如因供应商员工造成的损失，由供应商按照法律相关规定承担责任。</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5、供应商根据国家规定、行业标准和采购人要求，制定项目服务整体方案和工作进度计划。供应商提供的审计服务要能达到国家相关法律法规和行业规范的标准。</w:t>
      </w:r>
    </w:p>
    <w:p>
      <w:pPr>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b w:val="0"/>
          <w:bCs w:val="0"/>
          <w:sz w:val="28"/>
          <w:szCs w:val="28"/>
        </w:rPr>
        <w:t>6、</w:t>
      </w:r>
      <w:r>
        <w:rPr>
          <w:rFonts w:hint="eastAsia" w:ascii="仿宋" w:hAnsi="仿宋" w:eastAsia="仿宋" w:cs="仿宋"/>
          <w:sz w:val="28"/>
          <w:szCs w:val="28"/>
        </w:rPr>
        <w:t>本项目服务人员不得随意更换，如出现不可抗力原因需更换的，必须在更换事由发生之日起三日内向采购人提交书面申请，并详细说明更换的原因、提供替代人员的简历等，经采购人同意后，方可更换。</w:t>
      </w:r>
    </w:p>
    <w:p>
      <w:pPr>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7、参与本项目的所有人员，对工作中所涉的数据、资料及文件等负有保密义务，未经采购人同意，不得向第三方泄露。</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22"/>
        <w:spacing w:line="360" w:lineRule="auto"/>
        <w:ind w:left="420" w:leftChars="200" w:firstLine="281" w:firstLineChars="100"/>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、商务要求</w:t>
      </w:r>
    </w:p>
    <w:p>
      <w:pPr>
        <w:pStyle w:val="33"/>
        <w:spacing w:line="360" w:lineRule="auto"/>
        <w:ind w:firstLine="560"/>
        <w:rPr>
          <w:rFonts w:hint="eastAsia" w:ascii="仿宋" w:hAnsi="仿宋" w:eastAsia="仿宋" w:cs="仿宋"/>
          <w:sz w:val="28"/>
          <w:szCs w:val="28"/>
        </w:rPr>
      </w:pPr>
      <w:r>
        <w:rPr>
          <w:rFonts w:hint="eastAsia" w:ascii="仿宋" w:hAnsi="仿宋" w:eastAsia="仿宋" w:cs="仿宋"/>
          <w:sz w:val="28"/>
          <w:szCs w:val="28"/>
        </w:rPr>
        <w:t>（一）合同的履行期限</w:t>
      </w:r>
    </w:p>
    <w:p>
      <w:pPr>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自双方签订采购合同生效之日起，供应商接到采购人通知7个工作日内到达指定地点提供服务。</w:t>
      </w:r>
    </w:p>
    <w:p>
      <w:pPr>
        <w:spacing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供应商在接采购人通知进场工作之日起，供应商30日内完成全部工作内容。</w:t>
      </w:r>
    </w:p>
    <w:p>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1、甲方付款采用银行转账支付方式，甲方付款前，乙方必须出具有效的足额发票，否则甲方有权拒绝付款。</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2、甲方与乙方双方签订合同生效后，乙方完成全部服务内容，并向采购人</w:t>
      </w:r>
      <w:r>
        <w:rPr>
          <w:rFonts w:hint="eastAsia" w:ascii="仿宋" w:hAnsi="仿宋" w:eastAsia="仿宋" w:cs="仿宋"/>
          <w:color w:val="auto"/>
          <w:sz w:val="28"/>
          <w:szCs w:val="28"/>
        </w:rPr>
        <w:t>交付合格的成果后</w:t>
      </w:r>
      <w:r>
        <w:rPr>
          <w:rFonts w:hint="eastAsia" w:ascii="仿宋" w:hAnsi="仿宋" w:eastAsia="仿宋" w:cs="仿宋"/>
          <w:sz w:val="28"/>
          <w:szCs w:val="28"/>
        </w:rPr>
        <w:t>，项目履约验收合格后，甲方在收到乙方有效发票后60日内，一次性转账支付乙方成交总金额。</w:t>
      </w:r>
    </w:p>
    <w:p>
      <w:pPr>
        <w:pStyle w:val="33"/>
        <w:spacing w:line="360" w:lineRule="auto"/>
        <w:ind w:firstLine="560"/>
        <w:rPr>
          <w:rFonts w:hint="eastAsia"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33"/>
        <w:spacing w:line="360" w:lineRule="auto"/>
        <w:ind w:firstLine="562"/>
        <w:rPr>
          <w:rFonts w:hint="eastAsia" w:ascii="仿宋" w:hAnsi="仿宋" w:eastAsia="仿宋" w:cs="仿宋"/>
          <w:b/>
          <w:bCs/>
          <w:sz w:val="28"/>
          <w:szCs w:val="28"/>
        </w:rPr>
      </w:pPr>
      <w:r>
        <w:rPr>
          <w:rFonts w:hint="eastAsia" w:ascii="仿宋" w:hAnsi="仿宋" w:eastAsia="仿宋" w:cs="仿宋"/>
          <w:b/>
          <w:bCs/>
          <w:sz w:val="28"/>
          <w:szCs w:val="28"/>
        </w:rPr>
        <w:t>（四）履约验收要求</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1、采购人按照卫健委、审计等部门关于政府会计制度的相关要求、成交供应商的响应文件、双方合同的要求等组织验收。</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2、履约期间，如成交供应商不能履行合同或采购人发现成交供应商虚假响应中标，立即取消成交供应商中标资格；采购人可以与排位在成交供应商之后第一位的中标侯选人签定采购合同，以此类推。</w:t>
      </w:r>
    </w:p>
    <w:p>
      <w:pPr>
        <w:pStyle w:val="33"/>
        <w:spacing w:line="360" w:lineRule="auto"/>
        <w:ind w:firstLine="422" w:firstLineChars="150"/>
        <w:rPr>
          <w:rFonts w:hint="eastAsia" w:ascii="仿宋" w:hAnsi="仿宋" w:eastAsia="仿宋" w:cs="仿宋"/>
          <w:b/>
          <w:bCs/>
          <w:sz w:val="28"/>
          <w:szCs w:val="28"/>
        </w:rPr>
      </w:pPr>
      <w:r>
        <w:rPr>
          <w:rFonts w:hint="eastAsia" w:ascii="仿宋" w:hAnsi="仿宋" w:eastAsia="仿宋" w:cs="仿宋"/>
          <w:b/>
          <w:bCs/>
          <w:sz w:val="28"/>
          <w:szCs w:val="28"/>
        </w:rPr>
        <w:t>（五）违约责任</w:t>
      </w:r>
    </w:p>
    <w:p>
      <w:pPr>
        <w:pStyle w:val="38"/>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（2）成交供应商提供的服务根本违约，即合同的目的不能实现的，成交供应商应向采购人缴纳合同总价款20%的违约金，同时采购人有权解除合同。</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成交供应商延迟履约，即成交供应商应向采购人提供的服务未按合同约定时间达成的，成交供应商每有一次违约行为，采购人将扣除成交供应商当月结算货款500元，供应商经采购人催告后应继续按合同约定履行合同。若供应商经催告后又延迟履约15天，则成交供应商应向采购人缴纳合同总价款5%的违约金，同时采购人有权解除合同。</w:t>
      </w:r>
    </w:p>
    <w:p>
      <w:pPr>
        <w:pStyle w:val="3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成交供应商所供的服务瑕疵违约，与询价文件要求或采购人采购需求不符的，成交供应商应承担重作、减少价款或者报酬等违约责任。同时成交供应商每有一次违约行为，采购人将扣除成交供应商结算货款500元，供应商出现2次本款所列违约行为，成交供应商应向采购人支付合同总价款10%的违约金，同时采购人有权解除合同。经采购人同意后，供应商更正瑕疵违约行为后，可以继续按合同约定履行合同。</w:t>
      </w:r>
    </w:p>
    <w:p>
      <w:pPr>
        <w:pStyle w:val="33"/>
        <w:spacing w:line="360" w:lineRule="auto"/>
        <w:ind w:firstLine="560"/>
        <w:rPr>
          <w:rFonts w:hint="eastAsia" w:ascii="仿宋" w:hAnsi="仿宋" w:eastAsia="仿宋" w:cs="仿宋"/>
          <w:b/>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6" w:name="★4.4_违约处理"/>
      <w:bookmarkEnd w:id="26"/>
    </w:p>
    <w:p>
      <w:pPr>
        <w:pStyle w:val="33"/>
        <w:spacing w:line="360" w:lineRule="auto"/>
        <w:ind w:firstLine="562"/>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left="0" w:leftChars="0"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  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p>
    <w:tbl>
      <w:tblPr>
        <w:tblStyle w:val="14"/>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color w:val="FF0000"/>
                <w:sz w:val="24"/>
                <w:szCs w:val="24"/>
              </w:rPr>
            </w:pPr>
            <w:bookmarkStart w:id="27" w:name="_Toc50711557"/>
            <w:r>
              <w:rPr>
                <w:rFonts w:hint="eastAsia" w:ascii="仿宋" w:hAnsi="仿宋" w:eastAsia="仿宋" w:cs="仿宋"/>
                <w:color w:val="FF0000"/>
                <w:sz w:val="24"/>
                <w:szCs w:val="24"/>
                <w:highlight w:val="white"/>
              </w:rPr>
              <w:t>产品制造商家、品牌及</w:t>
            </w:r>
            <w:bookmarkEnd w:id="27"/>
            <w:bookmarkStart w:id="28"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8"/>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w:t>
            </w:r>
          </w:p>
          <w:p>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pPr>
              <w:pStyle w:val="43"/>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bCs/>
                <w:sz w:val="24"/>
                <w:szCs w:val="24"/>
                <w:highlight w:val="white"/>
              </w:rPr>
            </w:pPr>
          </w:p>
        </w:tc>
      </w:tr>
    </w:tbl>
    <w:p>
      <w:pPr>
        <w:adjustRightInd w:val="0"/>
        <w:spacing w:line="360" w:lineRule="auto"/>
        <w:rPr>
          <w:rFonts w:ascii="仿宋" w:hAnsi="仿宋" w:eastAsia="仿宋" w:cs="仿宋"/>
          <w:bCs/>
          <w:spacing w:val="8"/>
          <w:sz w:val="24"/>
          <w:szCs w:val="24"/>
          <w:highlight w:val="white"/>
        </w:rPr>
      </w:pPr>
    </w:p>
    <w:p>
      <w:pPr>
        <w:adjustRightInd w:val="0"/>
        <w:spacing w:line="360" w:lineRule="auto"/>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供应商名称：（盖章）</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28"/>
        <w:gridCol w:w="1080"/>
        <w:gridCol w:w="1692"/>
        <w:gridCol w:w="1836"/>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028"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供应商响应文件应答内容</w:t>
            </w:r>
          </w:p>
        </w:tc>
        <w:tc>
          <w:tcPr>
            <w:tcW w:w="1692"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w:t>
            </w:r>
          </w:p>
        </w:tc>
        <w:tc>
          <w:tcPr>
            <w:tcW w:w="183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c>
          <w:tcPr>
            <w:tcW w:w="1632"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2．按照询价文件技术、服务要求的顺序对应填写。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3、供应商必须据实填写，不得虚假填写，否则将取消其投标或成交资格，并按相关规定进行处理。</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询价文件要求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响应文件应答</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widowControl/>
        <w:spacing w:line="360" w:lineRule="auto"/>
        <w:ind w:firstLine="548" w:firstLineChars="196"/>
        <w:jc w:val="left"/>
        <w:outlineLvl w:val="1"/>
        <w:rPr>
          <w:rFonts w:ascii="仿宋" w:hAnsi="仿宋" w:eastAsia="仿宋" w:cs="仿宋"/>
          <w:sz w:val="28"/>
          <w:szCs w:val="28"/>
        </w:rPr>
      </w:pPr>
      <w:r>
        <w:rPr>
          <w:rFonts w:hint="eastAsia" w:ascii="仿宋" w:hAnsi="仿宋" w:eastAsia="仿宋" w:cs="仿宋"/>
          <w:sz w:val="28"/>
          <w:szCs w:val="28"/>
        </w:rPr>
        <w:t>注意：供应商必须据实填写，不得虚假响应，否则将取消其投标或成交资格，并按规定追究其相关责任。</w:t>
      </w:r>
    </w:p>
    <w:p>
      <w:pPr>
        <w:widowControl/>
        <w:spacing w:line="360" w:lineRule="auto"/>
        <w:ind w:firstLine="548" w:firstLineChars="196"/>
        <w:jc w:val="left"/>
        <w:rPr>
          <w:rFonts w:ascii="仿宋" w:hAnsi="仿宋" w:eastAsia="仿宋" w:cs="仿宋"/>
          <w:sz w:val="28"/>
          <w:szCs w:val="28"/>
        </w:rPr>
      </w:pP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注：以上业绩需提供有关书面证明材料。“合同金额”需提供合同复印件；“完成项目质量”需提供合同验收合格或用户单位书面证明材料。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231297-A082-4443-ABC4-4AE42A8545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3D73C534-2BF6-4C22-8036-9AA643C60F64}"/>
  </w:font>
  <w:font w:name="方正公文小标宋">
    <w:panose1 w:val="02000500000000000000"/>
    <w:charset w:val="86"/>
    <w:family w:val="auto"/>
    <w:pitch w:val="default"/>
    <w:sig w:usb0="A00002BF" w:usb1="38CF7CFA" w:usb2="00000016" w:usb3="00000000" w:csb0="00040001" w:csb1="00000000"/>
    <w:embedRegular r:id="rId3" w:fontKey="{60E20F66-7D54-4583-8C80-C5B81B759A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jc w:val="center"/>
                </w:pPr>
                <w:r>
                  <w:rPr>
                    <w:rFonts w:hint="eastAsia"/>
                  </w:rPr>
                  <w:fldChar w:fldCharType="begin"/>
                </w:r>
                <w:r>
                  <w:instrText xml:space="preserve"> PAGE   \* MERGEFORMAT </w:instrText>
                </w:r>
                <w:r>
                  <w:rPr>
                    <w:rFonts w:hint="eastAsia"/>
                  </w:rPr>
                  <w:fldChar w:fldCharType="separate"/>
                </w:r>
                <w:r>
                  <w:rPr>
                    <w:lang w:val="zh-CN"/>
                  </w:rPr>
                  <w:t>18</w:t>
                </w:r>
                <w:r>
                  <w:rPr>
                    <w:rFonts w:hint="eastAsia"/>
                    <w:lang w:val="zh-CN"/>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23</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27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lang w:val="zh-CN"/>
      </w:rPr>
      <w:t>18</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F2F1"/>
    <w:multiLevelType w:val="singleLevel"/>
    <w:tmpl w:val="9376F2F1"/>
    <w:lvl w:ilvl="0" w:tentative="0">
      <w:start w:val="2"/>
      <w:numFmt w:val="chineseCounting"/>
      <w:suff w:val="nothing"/>
      <w:lvlText w:val="%1、"/>
      <w:lvlJc w:val="left"/>
      <w:rPr>
        <w:rFonts w:hint="eastAsia"/>
      </w:rPr>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7073B"/>
    <w:rsid w:val="009B65D2"/>
    <w:rsid w:val="009E6C56"/>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E147E8"/>
    <w:rsid w:val="00E323D5"/>
    <w:rsid w:val="00E829CD"/>
    <w:rsid w:val="00EB05A2"/>
    <w:rsid w:val="00EB1DA5"/>
    <w:rsid w:val="00EB4AEE"/>
    <w:rsid w:val="00EC14AE"/>
    <w:rsid w:val="00EF2F22"/>
    <w:rsid w:val="00F40D24"/>
    <w:rsid w:val="00F4222B"/>
    <w:rsid w:val="00FE6547"/>
    <w:rsid w:val="017A5C75"/>
    <w:rsid w:val="04264DDE"/>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2E274D7B"/>
    <w:rsid w:val="33DC5895"/>
    <w:rsid w:val="35CE3363"/>
    <w:rsid w:val="37491522"/>
    <w:rsid w:val="3A826D1A"/>
    <w:rsid w:val="3C557122"/>
    <w:rsid w:val="4065532C"/>
    <w:rsid w:val="41623A80"/>
    <w:rsid w:val="423A5D5C"/>
    <w:rsid w:val="431B32FE"/>
    <w:rsid w:val="45AA61B4"/>
    <w:rsid w:val="49F11610"/>
    <w:rsid w:val="4A9D2073"/>
    <w:rsid w:val="4AA26071"/>
    <w:rsid w:val="4CFA0B84"/>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C371961"/>
    <w:rsid w:val="6D594018"/>
    <w:rsid w:val="6F601F1C"/>
    <w:rsid w:val="70666005"/>
    <w:rsid w:val="72B7769C"/>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0"/>
    <w:pPr>
      <w:spacing w:after="120"/>
    </w:pPr>
  </w:style>
  <w:style w:type="paragraph" w:styleId="5">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0"/>
    <w:unhideWhenUsed/>
    <w:qFormat/>
    <w:uiPriority w:val="0"/>
    <w:pPr>
      <w:jc w:val="left"/>
    </w:pPr>
    <w:rPr>
      <w:rFonts w:ascii="宋体"/>
      <w:kern w:val="0"/>
      <w:sz w:val="34"/>
      <w:szCs w:val="22"/>
    </w:rPr>
  </w:style>
  <w:style w:type="paragraph" w:styleId="7">
    <w:name w:val="Body Text Indent"/>
    <w:basedOn w:val="1"/>
    <w:link w:val="31"/>
    <w:qFormat/>
    <w:uiPriority w:val="0"/>
    <w:pPr>
      <w:ind w:firstLine="630"/>
    </w:pPr>
    <w:rPr>
      <w:sz w:val="32"/>
    </w:rPr>
  </w:style>
  <w:style w:type="paragraph" w:styleId="8">
    <w:name w:val="Balloon Text"/>
    <w:basedOn w:val="1"/>
    <w:link w:val="32"/>
    <w:qFormat/>
    <w:uiPriority w:val="0"/>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line="360" w:lineRule="auto"/>
      <w:ind w:firstLine="180" w:firstLineChars="75"/>
    </w:pPr>
    <w:rPr>
      <w:bCs/>
      <w:caps/>
      <w:sz w:val="24"/>
      <w:szCs w:val="24"/>
    </w:rPr>
  </w:style>
  <w:style w:type="paragraph" w:styleId="12">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文本_1"/>
    <w:basedOn w:val="23"/>
    <w:next w:val="21"/>
    <w:unhideWhenUsed/>
    <w:qFormat/>
    <w:uiPriority w:val="99"/>
    <w:pPr>
      <w:spacing w:after="120"/>
    </w:pPr>
    <w:rPr>
      <w:rFonts w:ascii="Times New Roman" w:hAnsi="Times New Roman"/>
      <w:kern w:val="0"/>
      <w:sz w:val="20"/>
      <w:szCs w:val="20"/>
    </w:rPr>
  </w:style>
  <w:style w:type="paragraph" w:customStyle="1" w:styleId="2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5">
    <w:name w:val="页眉 Char"/>
    <w:basedOn w:val="16"/>
    <w:link w:val="10"/>
    <w:semiHidden/>
    <w:qFormat/>
    <w:uiPriority w:val="99"/>
    <w:rPr>
      <w:sz w:val="18"/>
      <w:szCs w:val="18"/>
    </w:rPr>
  </w:style>
  <w:style w:type="character" w:customStyle="1" w:styleId="26">
    <w:name w:val="页脚 Char"/>
    <w:basedOn w:val="16"/>
    <w:link w:val="9"/>
    <w:semiHidden/>
    <w:qFormat/>
    <w:uiPriority w:val="99"/>
    <w:rPr>
      <w:sz w:val="18"/>
      <w:szCs w:val="18"/>
    </w:rPr>
  </w:style>
  <w:style w:type="character" w:customStyle="1" w:styleId="27">
    <w:name w:val="标题 1 Char"/>
    <w:basedOn w:val="16"/>
    <w:link w:val="3"/>
    <w:qFormat/>
    <w:uiPriority w:val="0"/>
    <w:rPr>
      <w:rFonts w:ascii="黑体" w:hAnsi="黑体" w:eastAsia="黑体" w:cs="Times New Roman"/>
      <w:b/>
      <w:kern w:val="44"/>
      <w:sz w:val="32"/>
      <w:szCs w:val="32"/>
    </w:rPr>
  </w:style>
  <w:style w:type="character" w:customStyle="1" w:styleId="28">
    <w:name w:val="标题 2 Char"/>
    <w:basedOn w:val="16"/>
    <w:link w:val="4"/>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6"/>
    <w:qFormat/>
    <w:uiPriority w:val="99"/>
    <w:rPr>
      <w:rFonts w:ascii="宋体" w:hAnsi="Times New Roman" w:eastAsia="宋体" w:cs="Times New Roman"/>
      <w:kern w:val="0"/>
      <w:sz w:val="34"/>
    </w:rPr>
  </w:style>
  <w:style w:type="character" w:customStyle="1" w:styleId="31">
    <w:name w:val="正文文本缩进 Char"/>
    <w:basedOn w:val="16"/>
    <w:link w:val="7"/>
    <w:qFormat/>
    <w:uiPriority w:val="0"/>
    <w:rPr>
      <w:rFonts w:ascii="Times New Roman" w:hAnsi="Times New Roman" w:eastAsia="宋体" w:cs="Times New Roman"/>
      <w:sz w:val="32"/>
      <w:szCs w:val="20"/>
    </w:rPr>
  </w:style>
  <w:style w:type="character" w:customStyle="1" w:styleId="32">
    <w:name w:val="批注框文本 Char"/>
    <w:basedOn w:val="16"/>
    <w:link w:val="8"/>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5"/>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39"/>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12"/>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3"/>
    <w:next w:val="23"/>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13115</Words>
  <Characters>13382</Characters>
  <Lines>103</Lines>
  <Paragraphs>29</Paragraphs>
  <TotalTime>29</TotalTime>
  <ScaleCrop>false</ScaleCrop>
  <LinksUpToDate>false</LinksUpToDate>
  <CharactersWithSpaces>13894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cp:lastPrinted>2023-07-04T00:27:00Z</cp:lastPrinted>
  <dcterms:modified xsi:type="dcterms:W3CDTF">2023-07-07T09:22:14Z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9B864FC181064F48B63750822648A68C_13</vt:lpwstr>
  </property>
</Properties>
</file>