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rPr>
          <w:rFonts w:hint="default"/>
          <w:b/>
          <w:bCs/>
          <w:sz w:val="29"/>
          <w:szCs w:val="29"/>
          <w:lang w:val="en-US" w:eastAsia="zh-CN"/>
        </w:rPr>
      </w:pPr>
      <w:r>
        <w:rPr>
          <w:rFonts w:hint="eastAsia"/>
          <w:b/>
          <w:bCs/>
          <w:sz w:val="29"/>
          <w:szCs w:val="29"/>
          <w:lang w:eastAsia="zh-CN"/>
        </w:rPr>
        <w:t>报价附件</w:t>
      </w:r>
      <w:r>
        <w:rPr>
          <w:rFonts w:hint="eastAsia"/>
          <w:b/>
          <w:bCs/>
          <w:sz w:val="29"/>
          <w:szCs w:val="29"/>
          <w:lang w:val="en-US" w:eastAsia="zh-CN"/>
        </w:rPr>
        <w:t>1</w:t>
      </w:r>
    </w:p>
    <w:tbl>
      <w:tblPr>
        <w:tblStyle w:val="7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56"/>
        <w:gridCol w:w="1470"/>
        <w:gridCol w:w="2985"/>
        <w:gridCol w:w="2730"/>
        <w:gridCol w:w="181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序号</w:t>
            </w:r>
          </w:p>
        </w:tc>
        <w:tc>
          <w:tcPr>
            <w:tcW w:w="1456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设备名称及型号</w:t>
            </w:r>
          </w:p>
        </w:tc>
        <w:tc>
          <w:tcPr>
            <w:tcW w:w="147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保修类型</w:t>
            </w:r>
          </w:p>
        </w:tc>
        <w:tc>
          <w:tcPr>
            <w:tcW w:w="298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维保范围</w:t>
            </w:r>
          </w:p>
        </w:tc>
        <w:tc>
          <w:tcPr>
            <w:tcW w:w="273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年维保金额（万元）</w:t>
            </w:r>
          </w:p>
        </w:tc>
        <w:tc>
          <w:tcPr>
            <w:tcW w:w="18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default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合同期</w:t>
            </w: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val="en-US" w:eastAsia="zh-CN"/>
              </w:rPr>
              <w:t>3年</w:t>
            </w:r>
          </w:p>
        </w:tc>
        <w:tc>
          <w:tcPr>
            <w:tcW w:w="24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6" w:type="dxa"/>
            <w:vMerge w:val="restart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val="en-US" w:eastAsia="zh-CN"/>
              </w:rPr>
              <w:t>飞利普UNIQ FD20血管造影X线机</w:t>
            </w:r>
          </w:p>
        </w:tc>
        <w:tc>
          <w:tcPr>
            <w:tcW w:w="147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技术保</w:t>
            </w:r>
          </w:p>
        </w:tc>
        <w:tc>
          <w:tcPr>
            <w:tcW w:w="298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只含人工技术服务，不包括任何配件</w:t>
            </w:r>
          </w:p>
        </w:tc>
        <w:tc>
          <w:tcPr>
            <w:tcW w:w="273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6" w:type="dxa"/>
            <w:vMerge w:val="continue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标准保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主机系统，高压系统，计算机系统，程</w:t>
            </w:r>
          </w:p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控处理系统</w:t>
            </w:r>
          </w:p>
        </w:tc>
        <w:tc>
          <w:tcPr>
            <w:tcW w:w="273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6" w:type="dxa"/>
            <w:vMerge w:val="continue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全保</w:t>
            </w:r>
          </w:p>
        </w:tc>
        <w:tc>
          <w:tcPr>
            <w:tcW w:w="298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球管，探测器，主机系统，高压系统，计算机系统，程控处理系统</w:t>
            </w:r>
          </w:p>
        </w:tc>
        <w:tc>
          <w:tcPr>
            <w:tcW w:w="273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6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管造影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机MRC200球管</w:t>
            </w:r>
          </w:p>
        </w:tc>
        <w:tc>
          <w:tcPr>
            <w:tcW w:w="147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eastAsia="zh-CN"/>
              </w:rPr>
              <w:t>球管单价</w:t>
            </w:r>
          </w:p>
        </w:tc>
        <w:tc>
          <w:tcPr>
            <w:tcW w:w="298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730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保次数或时间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480" w:lineRule="atLeast"/>
        <w:rPr>
          <w:rFonts w:hint="eastAsia"/>
          <w:b/>
          <w:bCs/>
          <w:sz w:val="29"/>
          <w:szCs w:val="29"/>
          <w:lang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480" w:lineRule="atLeast"/>
        <w:rPr>
          <w:rFonts w:hint="default"/>
          <w:b/>
          <w:bCs/>
          <w:sz w:val="29"/>
          <w:szCs w:val="29"/>
          <w:lang w:val="en-US" w:eastAsia="zh-CN"/>
        </w:rPr>
      </w:pPr>
      <w:r>
        <w:rPr>
          <w:rFonts w:hint="eastAsia"/>
          <w:b/>
          <w:bCs/>
          <w:sz w:val="29"/>
          <w:szCs w:val="29"/>
          <w:lang w:eastAsia="zh-CN"/>
        </w:rPr>
        <w:t>报价附件</w:t>
      </w:r>
      <w:r>
        <w:rPr>
          <w:rFonts w:hint="eastAsia"/>
          <w:b/>
          <w:bCs/>
          <w:sz w:val="29"/>
          <w:szCs w:val="29"/>
          <w:lang w:val="en-US" w:eastAsia="zh-CN"/>
        </w:rPr>
        <w:t>2</w:t>
      </w:r>
    </w:p>
    <w:tbl>
      <w:tblPr>
        <w:tblStyle w:val="7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84"/>
        <w:gridCol w:w="1155"/>
        <w:gridCol w:w="2766"/>
        <w:gridCol w:w="2610"/>
        <w:gridCol w:w="246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设备名称及型号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保修类型</w:t>
            </w:r>
          </w:p>
        </w:tc>
        <w:tc>
          <w:tcPr>
            <w:tcW w:w="2766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维保范围</w:t>
            </w:r>
          </w:p>
        </w:tc>
        <w:tc>
          <w:tcPr>
            <w:tcW w:w="261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年维保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金额（万元）</w:t>
            </w:r>
          </w:p>
        </w:tc>
        <w:tc>
          <w:tcPr>
            <w:tcW w:w="246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合同期</w:t>
            </w: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val="en-US" w:eastAsia="zh-CN"/>
              </w:rPr>
              <w:t>3年</w:t>
            </w:r>
          </w:p>
        </w:tc>
        <w:tc>
          <w:tcPr>
            <w:tcW w:w="238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9"/>
                <w:szCs w:val="29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4" w:type="dxa"/>
            <w:vMerge w:val="restart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医科达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Synergy 直线加速器</w:t>
            </w:r>
          </w:p>
        </w:tc>
        <w:tc>
          <w:tcPr>
            <w:tcW w:w="115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技术保</w:t>
            </w:r>
          </w:p>
        </w:tc>
        <w:tc>
          <w:tcPr>
            <w:tcW w:w="2766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只含人工技术服务，不包括任何配件</w:t>
            </w:r>
          </w:p>
        </w:tc>
        <w:tc>
          <w:tcPr>
            <w:tcW w:w="261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4" w:type="dxa"/>
            <w:vMerge w:val="continue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标准保</w:t>
            </w:r>
          </w:p>
        </w:tc>
        <w:tc>
          <w:tcPr>
            <w:tcW w:w="2766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除去磁控管、闸流管、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EPID影像板外的配件及人工技术服务</w:t>
            </w:r>
          </w:p>
        </w:tc>
        <w:tc>
          <w:tcPr>
            <w:tcW w:w="261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84" w:type="dxa"/>
            <w:vMerge w:val="continue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全保</w:t>
            </w:r>
          </w:p>
        </w:tc>
        <w:tc>
          <w:tcPr>
            <w:tcW w:w="2766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包含所有人工和配件</w:t>
            </w:r>
          </w:p>
        </w:tc>
        <w:tc>
          <w:tcPr>
            <w:tcW w:w="261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top"/>
          </w:tcPr>
          <w:p>
            <w:pPr>
              <w:pStyle w:val="5"/>
              <w:spacing w:before="0" w:beforeAutospacing="0" w:after="0" w:afterAutospacing="0" w:line="480" w:lineRule="atLeast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685"/>
    <w:rsid w:val="00000AE8"/>
    <w:rsid w:val="00156AC0"/>
    <w:rsid w:val="00193CDD"/>
    <w:rsid w:val="001B48A4"/>
    <w:rsid w:val="00464C47"/>
    <w:rsid w:val="005B7B73"/>
    <w:rsid w:val="005E1901"/>
    <w:rsid w:val="005E2077"/>
    <w:rsid w:val="00646685"/>
    <w:rsid w:val="00681CC5"/>
    <w:rsid w:val="00684D7B"/>
    <w:rsid w:val="006D29A7"/>
    <w:rsid w:val="0071746A"/>
    <w:rsid w:val="008B7C94"/>
    <w:rsid w:val="00926D91"/>
    <w:rsid w:val="00994857"/>
    <w:rsid w:val="009C6877"/>
    <w:rsid w:val="00B86DCA"/>
    <w:rsid w:val="00B87279"/>
    <w:rsid w:val="00BE1E43"/>
    <w:rsid w:val="00C0210E"/>
    <w:rsid w:val="00C41546"/>
    <w:rsid w:val="00CC31E8"/>
    <w:rsid w:val="00CD695B"/>
    <w:rsid w:val="00D35F81"/>
    <w:rsid w:val="00DB5382"/>
    <w:rsid w:val="00E75BA9"/>
    <w:rsid w:val="00F30AE8"/>
    <w:rsid w:val="00FB3B03"/>
    <w:rsid w:val="00FD0FED"/>
    <w:rsid w:val="0B5E0F9B"/>
    <w:rsid w:val="0C785E9A"/>
    <w:rsid w:val="137478E0"/>
    <w:rsid w:val="175977F9"/>
    <w:rsid w:val="1B291720"/>
    <w:rsid w:val="21F41FB3"/>
    <w:rsid w:val="256D7FC9"/>
    <w:rsid w:val="25A54805"/>
    <w:rsid w:val="27ED1022"/>
    <w:rsid w:val="29CA26D2"/>
    <w:rsid w:val="2F753115"/>
    <w:rsid w:val="3C150D73"/>
    <w:rsid w:val="3C720C3C"/>
    <w:rsid w:val="42690930"/>
    <w:rsid w:val="4372605F"/>
    <w:rsid w:val="452E1961"/>
    <w:rsid w:val="499E55C0"/>
    <w:rsid w:val="53CE3833"/>
    <w:rsid w:val="609C01DF"/>
    <w:rsid w:val="69BE5B75"/>
    <w:rsid w:val="70852D5E"/>
    <w:rsid w:val="7AE16A94"/>
    <w:rsid w:val="7CD72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202</Words>
  <Characters>1152</Characters>
  <Lines>9</Lines>
  <Paragraphs>2</Paragraphs>
  <TotalTime>2</TotalTime>
  <ScaleCrop>false</ScaleCrop>
  <LinksUpToDate>false</LinksUpToDate>
  <CharactersWithSpaces>1352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2022-04-18T00:31:00Z</dcterms:created>
  <dc:creator>PC</dc:creator>
  <cp:lastModifiedBy>Administrator</cp:lastModifiedBy>
  <cp:lastPrinted>2022-04-18T00:35:00Z</cp:lastPrinted>
  <dcterms:modified xsi:type="dcterms:W3CDTF">2023-07-06T07:28:22Z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