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5E7E2">
      <w:pPr>
        <w:pStyle w:val="2"/>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textAlignment w:val="auto"/>
        <w:rPr>
          <w:rFonts w:hint="default" w:ascii="黑体" w:hAnsi="黑体" w:eastAsia="黑体" w:cs="黑体"/>
          <w:sz w:val="28"/>
          <w:szCs w:val="28"/>
          <w:highlight w:val="none"/>
          <w:lang w:val="en-US" w:eastAsia="zh-CN"/>
        </w:rPr>
      </w:pPr>
      <w:r>
        <w:rPr>
          <w:rFonts w:hint="eastAsia" w:cs="黑体"/>
          <w:sz w:val="28"/>
          <w:szCs w:val="28"/>
          <w:highlight w:val="none"/>
          <w:lang w:val="en-US" w:eastAsia="zh-CN"/>
        </w:rPr>
        <w:t>采购需求</w:t>
      </w:r>
      <w:bookmarkStart w:id="0" w:name="_GoBack"/>
      <w:bookmarkEnd w:id="0"/>
    </w:p>
    <w:p w14:paraId="3B5F7446">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一、采购内容</w:t>
      </w:r>
    </w:p>
    <w:p w14:paraId="6866A67D">
      <w:pPr>
        <w:pStyle w:val="9"/>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仿宋" w:hAnsi="仿宋" w:eastAsia="仿宋" w:cs="仿宋"/>
          <w:color w:val="FF0000"/>
          <w:kern w:val="2"/>
          <w:sz w:val="28"/>
          <w:szCs w:val="28"/>
          <w:highlight w:val="none"/>
          <w:lang w:val="en-US" w:eastAsia="zh-CN" w:bidi="ar-SA"/>
        </w:rPr>
      </w:pPr>
      <w:r>
        <w:rPr>
          <w:rFonts w:hint="eastAsia" w:ascii="仿宋" w:hAnsi="仿宋" w:eastAsia="仿宋" w:cs="仿宋"/>
          <w:color w:val="FF0000"/>
          <w:kern w:val="2"/>
          <w:sz w:val="28"/>
          <w:szCs w:val="28"/>
          <w:highlight w:val="none"/>
          <w:lang w:val="en-US" w:eastAsia="zh-CN" w:bidi="ar-SA"/>
        </w:rPr>
        <w:t>采购包一：</w:t>
      </w:r>
    </w:p>
    <w:p w14:paraId="06588560">
      <w:pPr>
        <w:pStyle w:val="9"/>
        <w:keepNext w:val="0"/>
        <w:keepLines w:val="0"/>
        <w:pageBreakBefore w:val="0"/>
        <w:kinsoku/>
        <w:wordWrap/>
        <w:overflowPunct/>
        <w:topLinePunct w:val="0"/>
        <w:autoSpaceDE/>
        <w:autoSpaceDN/>
        <w:bidi w:val="0"/>
        <w:adjustRightInd/>
        <w:snapToGrid/>
        <w:spacing w:line="520" w:lineRule="exact"/>
        <w:jc w:val="left"/>
        <w:textAlignment w:val="auto"/>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采购包预算金额:</w:t>
      </w:r>
      <w:r>
        <w:rPr>
          <w:rFonts w:hint="eastAsia" w:ascii="仿宋" w:hAnsi="仿宋" w:eastAsia="仿宋" w:cs="仿宋"/>
          <w:color w:val="FF0000"/>
          <w:kern w:val="2"/>
          <w:sz w:val="28"/>
          <w:szCs w:val="28"/>
          <w:highlight w:val="none"/>
          <w:lang w:val="en-US" w:eastAsia="zh-CN" w:bidi="ar-SA"/>
        </w:rPr>
        <w:t>22万元。</w:t>
      </w:r>
    </w:p>
    <w:p w14:paraId="0D14F0D5">
      <w:pPr>
        <w:pStyle w:val="9"/>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仿宋" w:hAnsi="仿宋" w:eastAsia="仿宋" w:cs="仿宋"/>
          <w:color w:val="FF0000"/>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采购包最高限价:</w:t>
      </w:r>
      <w:r>
        <w:rPr>
          <w:rFonts w:hint="eastAsia" w:ascii="仿宋" w:hAnsi="仿宋" w:eastAsia="仿宋" w:cs="仿宋"/>
          <w:color w:val="FF0000"/>
          <w:kern w:val="2"/>
          <w:sz w:val="28"/>
          <w:szCs w:val="28"/>
          <w:highlight w:val="none"/>
          <w:lang w:val="en-US" w:eastAsia="zh-CN" w:bidi="ar-SA"/>
        </w:rPr>
        <w:t>18.11万元。</w:t>
      </w:r>
    </w:p>
    <w:tbl>
      <w:tblPr>
        <w:tblStyle w:val="6"/>
        <w:tblW w:w="5204" w:type="pct"/>
        <w:jc w:val="center"/>
        <w:tblLayout w:type="fixed"/>
        <w:tblCellMar>
          <w:top w:w="0" w:type="dxa"/>
          <w:left w:w="108" w:type="dxa"/>
          <w:bottom w:w="0" w:type="dxa"/>
          <w:right w:w="108" w:type="dxa"/>
        </w:tblCellMar>
      </w:tblPr>
      <w:tblGrid>
        <w:gridCol w:w="810"/>
        <w:gridCol w:w="2406"/>
        <w:gridCol w:w="808"/>
        <w:gridCol w:w="832"/>
        <w:gridCol w:w="2060"/>
        <w:gridCol w:w="1952"/>
      </w:tblGrid>
      <w:tr w14:paraId="3D4C2CCA">
        <w:tblPrEx>
          <w:tblCellMar>
            <w:top w:w="0" w:type="dxa"/>
            <w:left w:w="108" w:type="dxa"/>
            <w:bottom w:w="0" w:type="dxa"/>
            <w:right w:w="108" w:type="dxa"/>
          </w:tblCellMar>
        </w:tblPrEx>
        <w:trPr>
          <w:trHeight w:val="750" w:hRule="atLeast"/>
          <w:jc w:val="center"/>
        </w:trPr>
        <w:tc>
          <w:tcPr>
            <w:tcW w:w="456" w:type="pct"/>
            <w:tcBorders>
              <w:top w:val="single" w:color="000000" w:sz="4" w:space="0"/>
              <w:left w:val="single" w:color="000000" w:sz="4" w:space="0"/>
              <w:bottom w:val="single" w:color="000000" w:sz="4" w:space="0"/>
              <w:right w:val="single" w:color="000000" w:sz="4" w:space="0"/>
            </w:tcBorders>
            <w:noWrap w:val="0"/>
            <w:vAlign w:val="center"/>
          </w:tcPr>
          <w:p w14:paraId="4AA7FC23">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val="0"/>
                <w:color w:val="000000"/>
                <w:sz w:val="24"/>
                <w:szCs w:val="24"/>
              </w:rPr>
            </w:pPr>
            <w:r>
              <w:rPr>
                <w:rFonts w:hint="eastAsia" w:ascii="仿宋" w:hAnsi="仿宋" w:eastAsia="仿宋" w:cs="仿宋"/>
                <w:b w:val="0"/>
                <w:bCs w:val="0"/>
                <w:color w:val="000000"/>
                <w:kern w:val="0"/>
                <w:sz w:val="24"/>
                <w:szCs w:val="24"/>
                <w:lang w:bidi="ar"/>
              </w:rPr>
              <w:t>序号</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6A6DFB99">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val="0"/>
                <w:color w:val="000000"/>
                <w:sz w:val="24"/>
                <w:szCs w:val="24"/>
                <w:lang w:val="en-US" w:eastAsia="zh-CN"/>
              </w:rPr>
            </w:pPr>
            <w:r>
              <w:rPr>
                <w:rFonts w:hint="eastAsia" w:ascii="仿宋" w:hAnsi="仿宋" w:eastAsia="仿宋" w:cs="仿宋"/>
                <w:b w:val="0"/>
                <w:bCs w:val="0"/>
                <w:color w:val="000000"/>
                <w:kern w:val="0"/>
                <w:sz w:val="24"/>
                <w:szCs w:val="24"/>
                <w:lang w:val="en-US" w:eastAsia="zh-CN" w:bidi="ar"/>
              </w:rPr>
              <w:t>标的名称</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6568EBFE">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kern w:val="0"/>
                <w:sz w:val="24"/>
                <w:szCs w:val="24"/>
                <w:lang w:val="en-US" w:eastAsia="zh-CN" w:bidi="ar"/>
              </w:rPr>
              <w:t>数量</w:t>
            </w:r>
          </w:p>
        </w:tc>
        <w:tc>
          <w:tcPr>
            <w:tcW w:w="469" w:type="pct"/>
            <w:tcBorders>
              <w:top w:val="single" w:color="000000" w:sz="4" w:space="0"/>
              <w:left w:val="single" w:color="000000" w:sz="4" w:space="0"/>
              <w:bottom w:val="single" w:color="000000" w:sz="4" w:space="0"/>
              <w:right w:val="single" w:color="000000" w:sz="4" w:space="0"/>
            </w:tcBorders>
            <w:noWrap w:val="0"/>
            <w:vAlign w:val="center"/>
          </w:tcPr>
          <w:p w14:paraId="00C7ECF0">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eastAsia" w:ascii="仿宋" w:hAnsi="仿宋" w:eastAsia="仿宋" w:cs="仿宋"/>
                <w:b w:val="0"/>
                <w:bCs w:val="0"/>
                <w:color w:val="000000"/>
                <w:kern w:val="0"/>
                <w:sz w:val="24"/>
                <w:szCs w:val="24"/>
                <w:lang w:bidi="ar"/>
              </w:rPr>
            </w:pPr>
            <w:r>
              <w:rPr>
                <w:rFonts w:hint="eastAsia" w:ascii="仿宋" w:hAnsi="仿宋" w:eastAsia="仿宋" w:cs="仿宋"/>
                <w:b w:val="0"/>
                <w:bCs w:val="0"/>
                <w:color w:val="000000"/>
                <w:kern w:val="0"/>
                <w:sz w:val="24"/>
                <w:szCs w:val="24"/>
                <w:lang w:val="en-US" w:eastAsia="zh-CN" w:bidi="ar"/>
              </w:rPr>
              <w:t>单位</w:t>
            </w:r>
          </w:p>
        </w:tc>
        <w:tc>
          <w:tcPr>
            <w:tcW w:w="1161" w:type="pct"/>
            <w:tcBorders>
              <w:top w:val="single" w:color="000000" w:sz="4" w:space="0"/>
              <w:left w:val="single" w:color="000000" w:sz="4" w:space="0"/>
              <w:bottom w:val="single" w:color="000000" w:sz="4" w:space="0"/>
              <w:right w:val="single" w:color="000000" w:sz="4" w:space="0"/>
            </w:tcBorders>
            <w:noWrap w:val="0"/>
            <w:vAlign w:val="center"/>
          </w:tcPr>
          <w:p w14:paraId="4D1D88BB">
            <w:pPr>
              <w:keepNext w:val="0"/>
              <w:keepLines w:val="0"/>
              <w:pageBreakBefore w:val="0"/>
              <w:widowControl/>
              <w:kinsoku/>
              <w:wordWrap/>
              <w:overflowPunct/>
              <w:topLinePunct w:val="0"/>
              <w:autoSpaceDE/>
              <w:autoSpaceDN/>
              <w:bidi w:val="0"/>
              <w:adjustRightInd/>
              <w:snapToGrid/>
              <w:spacing w:line="0" w:lineRule="atLeast"/>
              <w:ind w:right="0" w:rightChars="0"/>
              <w:jc w:val="center"/>
              <w:textAlignment w:val="center"/>
              <w:rPr>
                <w:rFonts w:hint="eastAsia"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标的金额</w:t>
            </w:r>
          </w:p>
          <w:p w14:paraId="24348C80">
            <w:pPr>
              <w:keepNext w:val="0"/>
              <w:keepLines w:val="0"/>
              <w:pageBreakBefore w:val="0"/>
              <w:widowControl/>
              <w:kinsoku/>
              <w:wordWrap/>
              <w:overflowPunct/>
              <w:topLinePunct w:val="0"/>
              <w:autoSpaceDE/>
              <w:autoSpaceDN/>
              <w:bidi w:val="0"/>
              <w:adjustRightInd/>
              <w:snapToGrid/>
              <w:spacing w:line="0" w:lineRule="atLeast"/>
              <w:ind w:right="0" w:rightChars="0"/>
              <w:jc w:val="center"/>
              <w:textAlignment w:val="center"/>
              <w:rPr>
                <w:rFonts w:hint="default"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（最高限价）</w:t>
            </w:r>
          </w:p>
        </w:tc>
        <w:tc>
          <w:tcPr>
            <w:tcW w:w="1100" w:type="pct"/>
            <w:tcBorders>
              <w:top w:val="single" w:color="000000" w:sz="4" w:space="0"/>
              <w:left w:val="single" w:color="000000" w:sz="4" w:space="0"/>
              <w:bottom w:val="single" w:color="000000" w:sz="4" w:space="0"/>
              <w:right w:val="single" w:color="000000" w:sz="4" w:space="0"/>
            </w:tcBorders>
            <w:noWrap w:val="0"/>
            <w:vAlign w:val="center"/>
          </w:tcPr>
          <w:p w14:paraId="3F707DCF">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备注</w:t>
            </w:r>
          </w:p>
        </w:tc>
      </w:tr>
      <w:tr w14:paraId="4EBA5710">
        <w:tblPrEx>
          <w:tblCellMar>
            <w:top w:w="0" w:type="dxa"/>
            <w:left w:w="108" w:type="dxa"/>
            <w:bottom w:w="0" w:type="dxa"/>
            <w:right w:w="108" w:type="dxa"/>
          </w:tblCellMar>
        </w:tblPrEx>
        <w:trPr>
          <w:jc w:val="center"/>
        </w:trPr>
        <w:tc>
          <w:tcPr>
            <w:tcW w:w="456" w:type="pct"/>
            <w:tcBorders>
              <w:top w:val="single" w:color="000000" w:sz="4" w:space="0"/>
              <w:left w:val="single" w:color="000000" w:sz="4" w:space="0"/>
              <w:bottom w:val="single" w:color="000000" w:sz="4" w:space="0"/>
              <w:right w:val="single" w:color="000000" w:sz="4" w:space="0"/>
            </w:tcBorders>
            <w:noWrap w:val="0"/>
            <w:vAlign w:val="center"/>
          </w:tcPr>
          <w:p w14:paraId="3D0FD6E8">
            <w:pPr>
              <w:keepNext w:val="0"/>
              <w:keepLines w:val="0"/>
              <w:pageBreakBefore w:val="0"/>
              <w:widowControl/>
              <w:numPr>
                <w:ilvl w:val="-1"/>
                <w:numId w:val="0"/>
              </w:numPr>
              <w:kinsoku/>
              <w:wordWrap/>
              <w:overflowPunct/>
              <w:topLinePunct w:val="0"/>
              <w:autoSpaceDE/>
              <w:autoSpaceDN/>
              <w:bidi w:val="0"/>
              <w:adjustRightInd/>
              <w:snapToGrid/>
              <w:spacing w:line="0" w:lineRule="atLeast"/>
              <w:ind w:left="0" w:leftChars="0" w:firstLine="0" w:firstLineChars="0"/>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p>
        </w:tc>
        <w:tc>
          <w:tcPr>
            <w:tcW w:w="1356" w:type="pct"/>
            <w:tcBorders>
              <w:top w:val="single" w:color="000000" w:sz="4" w:space="0"/>
              <w:left w:val="single" w:color="000000" w:sz="4" w:space="0"/>
              <w:bottom w:val="single" w:color="000000" w:sz="4" w:space="0"/>
              <w:right w:val="single" w:color="000000" w:sz="4" w:space="0"/>
            </w:tcBorders>
            <w:noWrap w:val="0"/>
            <w:vAlign w:val="center"/>
          </w:tcPr>
          <w:p w14:paraId="372CDD84">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眼科Nd：YAG激光治疗仪</w:t>
            </w:r>
          </w:p>
        </w:tc>
        <w:tc>
          <w:tcPr>
            <w:tcW w:w="455" w:type="pct"/>
            <w:tcBorders>
              <w:top w:val="single" w:color="000000" w:sz="4" w:space="0"/>
              <w:left w:val="single" w:color="000000" w:sz="4" w:space="0"/>
              <w:bottom w:val="single" w:color="000000" w:sz="4" w:space="0"/>
              <w:right w:val="single" w:color="000000" w:sz="4" w:space="0"/>
            </w:tcBorders>
            <w:noWrap w:val="0"/>
            <w:vAlign w:val="center"/>
          </w:tcPr>
          <w:p w14:paraId="248184AA">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w:t>
            </w:r>
          </w:p>
        </w:tc>
        <w:tc>
          <w:tcPr>
            <w:tcW w:w="469" w:type="pct"/>
            <w:tcBorders>
              <w:top w:val="single" w:color="000000" w:sz="4" w:space="0"/>
              <w:left w:val="single" w:color="000000" w:sz="4" w:space="0"/>
              <w:bottom w:val="single" w:color="000000" w:sz="4" w:space="0"/>
              <w:right w:val="single" w:color="000000" w:sz="4" w:space="0"/>
            </w:tcBorders>
            <w:noWrap w:val="0"/>
            <w:vAlign w:val="center"/>
          </w:tcPr>
          <w:p w14:paraId="678F351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台</w:t>
            </w:r>
          </w:p>
        </w:tc>
        <w:tc>
          <w:tcPr>
            <w:tcW w:w="1161" w:type="pct"/>
            <w:tcBorders>
              <w:top w:val="single" w:color="000000" w:sz="4" w:space="0"/>
              <w:left w:val="single" w:color="000000" w:sz="4" w:space="0"/>
              <w:bottom w:val="single" w:color="000000" w:sz="4" w:space="0"/>
              <w:right w:val="single" w:color="000000" w:sz="4" w:space="0"/>
            </w:tcBorders>
            <w:noWrap w:val="0"/>
            <w:vAlign w:val="center"/>
          </w:tcPr>
          <w:p w14:paraId="79B2230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18.11万元</w:t>
            </w:r>
          </w:p>
        </w:tc>
        <w:tc>
          <w:tcPr>
            <w:tcW w:w="1100" w:type="pct"/>
            <w:tcBorders>
              <w:top w:val="single" w:color="000000" w:sz="4" w:space="0"/>
              <w:left w:val="single" w:color="000000" w:sz="4" w:space="0"/>
              <w:bottom w:val="single" w:color="000000" w:sz="4" w:space="0"/>
              <w:right w:val="single" w:color="000000" w:sz="4" w:space="0"/>
            </w:tcBorders>
            <w:noWrap w:val="0"/>
            <w:vAlign w:val="center"/>
          </w:tcPr>
          <w:p w14:paraId="3B6189E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1E1438FF">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default" w:ascii="仿宋" w:hAnsi="仿宋" w:eastAsia="仿宋" w:cs="仿宋"/>
          <w:color w:val="FF0000"/>
          <w:kern w:val="2"/>
          <w:sz w:val="28"/>
          <w:szCs w:val="28"/>
          <w:highlight w:val="none"/>
          <w:lang w:val="en-US" w:eastAsia="zh-CN" w:bidi="ar-SA"/>
        </w:rPr>
      </w:pPr>
      <w:r>
        <w:rPr>
          <w:rFonts w:hint="eastAsia" w:ascii="仿宋" w:hAnsi="仿宋" w:eastAsia="仿宋" w:cs="仿宋"/>
          <w:b/>
          <w:bCs/>
          <w:color w:val="auto"/>
          <w:sz w:val="28"/>
          <w:szCs w:val="28"/>
          <w:highlight w:val="none"/>
          <w:lang w:val="en-US" w:eastAsia="zh-CN"/>
        </w:rPr>
        <w:t>二、技术要求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tbl>
      <w:tblPr>
        <w:tblStyle w:val="6"/>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521"/>
        <w:gridCol w:w="1701"/>
      </w:tblGrid>
      <w:tr w14:paraId="7CB1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418" w:type="dxa"/>
            <w:vAlign w:val="center"/>
          </w:tcPr>
          <w:p w14:paraId="103B0491">
            <w:pPr>
              <w:keepNext w:val="0"/>
              <w:keepLines w:val="0"/>
              <w:pageBreakBefore w:val="0"/>
              <w:kinsoku/>
              <w:wordWrap/>
              <w:overflowPunct/>
              <w:topLinePunct w:val="0"/>
              <w:autoSpaceDE/>
              <w:autoSpaceDN/>
              <w:bidi w:val="0"/>
              <w:adjustRightInd/>
              <w:snapToGrid/>
              <w:spacing w:line="240" w:lineRule="atLeast"/>
              <w:jc w:val="center"/>
              <w:textAlignment w:val="auto"/>
              <w:rPr>
                <w:rFonts w:ascii="仿宋" w:hAnsi="仿宋" w:eastAsia="仿宋" w:cs="宋体"/>
                <w:kern w:val="0"/>
                <w:sz w:val="24"/>
              </w:rPr>
            </w:pPr>
            <w:r>
              <w:rPr>
                <w:rFonts w:hint="eastAsia" w:ascii="仿宋" w:hAnsi="仿宋" w:eastAsia="仿宋" w:cs="宋体"/>
                <w:kern w:val="0"/>
                <w:sz w:val="24"/>
              </w:rPr>
              <w:t>项目内容</w:t>
            </w:r>
          </w:p>
        </w:tc>
        <w:tc>
          <w:tcPr>
            <w:tcW w:w="6521" w:type="dxa"/>
            <w:vAlign w:val="center"/>
          </w:tcPr>
          <w:p w14:paraId="1411FA6E">
            <w:pPr>
              <w:keepNext w:val="0"/>
              <w:keepLines w:val="0"/>
              <w:pageBreakBefore w:val="0"/>
              <w:kinsoku/>
              <w:wordWrap/>
              <w:overflowPunct/>
              <w:topLinePunct w:val="0"/>
              <w:autoSpaceDE/>
              <w:autoSpaceDN/>
              <w:bidi w:val="0"/>
              <w:adjustRightInd/>
              <w:snapToGrid/>
              <w:spacing w:line="240" w:lineRule="atLeast"/>
              <w:jc w:val="center"/>
              <w:textAlignment w:val="auto"/>
              <w:rPr>
                <w:rFonts w:ascii="仿宋" w:hAnsi="仿宋" w:eastAsia="仿宋" w:cs="宋体"/>
                <w:kern w:val="0"/>
                <w:sz w:val="24"/>
              </w:rPr>
            </w:pPr>
            <w:r>
              <w:rPr>
                <w:rFonts w:hint="eastAsia" w:ascii="仿宋" w:hAnsi="仿宋" w:eastAsia="仿宋" w:cs="宋体"/>
                <w:kern w:val="0"/>
                <w:sz w:val="24"/>
              </w:rPr>
              <w:t>技术参数和配置要求</w:t>
            </w:r>
          </w:p>
        </w:tc>
        <w:tc>
          <w:tcPr>
            <w:tcW w:w="1701" w:type="dxa"/>
            <w:vAlign w:val="center"/>
          </w:tcPr>
          <w:p w14:paraId="6B40402A">
            <w:pPr>
              <w:keepNext w:val="0"/>
              <w:keepLines w:val="0"/>
              <w:pageBreakBefore w:val="0"/>
              <w:kinsoku/>
              <w:wordWrap/>
              <w:overflowPunct/>
              <w:topLinePunct w:val="0"/>
              <w:autoSpaceDE/>
              <w:autoSpaceDN/>
              <w:bidi w:val="0"/>
              <w:adjustRightInd/>
              <w:snapToGrid/>
              <w:spacing w:line="240" w:lineRule="atLeast"/>
              <w:jc w:val="center"/>
              <w:textAlignment w:val="auto"/>
              <w:rPr>
                <w:rFonts w:ascii="仿宋" w:hAnsi="仿宋" w:eastAsia="仿宋"/>
                <w:sz w:val="24"/>
              </w:rPr>
            </w:pPr>
            <w:r>
              <w:rPr>
                <w:rFonts w:hint="eastAsia" w:ascii="仿宋" w:hAnsi="仿宋" w:eastAsia="仿宋" w:cs="宋体"/>
                <w:kern w:val="0"/>
                <w:sz w:val="24"/>
              </w:rPr>
              <w:t>备注</w:t>
            </w:r>
          </w:p>
        </w:tc>
      </w:tr>
      <w:tr w14:paraId="2763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418" w:type="dxa"/>
            <w:vAlign w:val="center"/>
          </w:tcPr>
          <w:p w14:paraId="54ABE742">
            <w:pPr>
              <w:keepNext w:val="0"/>
              <w:keepLines w:val="0"/>
              <w:pageBreakBefore w:val="0"/>
              <w:kinsoku/>
              <w:wordWrap/>
              <w:overflowPunct/>
              <w:topLinePunct w:val="0"/>
              <w:autoSpaceDE/>
              <w:autoSpaceDN/>
              <w:bidi w:val="0"/>
              <w:adjustRightInd/>
              <w:snapToGrid/>
              <w:spacing w:line="240" w:lineRule="atLeast"/>
              <w:jc w:val="center"/>
              <w:textAlignment w:val="auto"/>
              <w:rPr>
                <w:rFonts w:ascii="仿宋" w:hAnsi="仿宋" w:eastAsia="仿宋" w:cs="宋体"/>
                <w:kern w:val="0"/>
                <w:sz w:val="24"/>
              </w:rPr>
            </w:pPr>
            <w:r>
              <w:rPr>
                <w:rFonts w:hint="eastAsia" w:ascii="仿宋" w:hAnsi="仿宋" w:eastAsia="仿宋" w:cs="宋体"/>
                <w:kern w:val="0"/>
                <w:sz w:val="24"/>
              </w:rPr>
              <w:t>设备名称</w:t>
            </w:r>
          </w:p>
        </w:tc>
        <w:tc>
          <w:tcPr>
            <w:tcW w:w="6521" w:type="dxa"/>
            <w:vAlign w:val="center"/>
          </w:tcPr>
          <w:p w14:paraId="5D2D67B1">
            <w:pPr>
              <w:keepNext w:val="0"/>
              <w:keepLines w:val="0"/>
              <w:pageBreakBefore w:val="0"/>
              <w:kinsoku/>
              <w:wordWrap/>
              <w:overflowPunct/>
              <w:topLinePunct w:val="0"/>
              <w:autoSpaceDE/>
              <w:autoSpaceDN/>
              <w:bidi w:val="0"/>
              <w:adjustRightInd/>
              <w:snapToGrid/>
              <w:spacing w:line="240" w:lineRule="atLeast"/>
              <w:jc w:val="left"/>
              <w:textAlignment w:val="auto"/>
              <w:rPr>
                <w:rFonts w:hint="eastAsia" w:ascii="仿宋" w:hAnsi="仿宋" w:eastAsia="仿宋"/>
                <w:sz w:val="24"/>
                <w:szCs w:val="40"/>
              </w:rPr>
            </w:pPr>
            <w:r>
              <w:rPr>
                <w:rFonts w:hint="eastAsia" w:ascii="仿宋" w:hAnsi="仿宋" w:eastAsia="仿宋"/>
                <w:color w:val="FF0000"/>
                <w:sz w:val="24"/>
                <w:szCs w:val="40"/>
                <w:lang w:eastAsia="zh-CN"/>
              </w:rPr>
              <w:t>眼科Nd：YAG激光治疗仪</w:t>
            </w:r>
          </w:p>
        </w:tc>
        <w:tc>
          <w:tcPr>
            <w:tcW w:w="1701" w:type="dxa"/>
            <w:vAlign w:val="center"/>
          </w:tcPr>
          <w:p w14:paraId="5FBF44CB">
            <w:pPr>
              <w:numPr>
                <w:ilvl w:val="0"/>
                <w:numId w:val="0"/>
              </w:numPr>
              <w:spacing w:line="240" w:lineRule="auto"/>
              <w:jc w:val="both"/>
              <w:rPr>
                <w:rFonts w:hint="eastAsia" w:ascii="仿宋" w:hAnsi="仿宋" w:eastAsia="仿宋"/>
                <w:kern w:val="0"/>
                <w:sz w:val="24"/>
                <w:lang w:val="en-US" w:eastAsia="zh-CN"/>
              </w:rPr>
            </w:pPr>
            <w:r>
              <w:rPr>
                <w:rFonts w:hint="eastAsia" w:ascii="仿宋" w:hAnsi="仿宋" w:eastAsia="仿宋" w:cs="Times New Roman"/>
                <w:kern w:val="0"/>
                <w:sz w:val="24"/>
                <w:lang w:val="en-US" w:eastAsia="zh-CN" w:bidi="ar-SA"/>
              </w:rPr>
              <w:t>1、</w:t>
            </w:r>
            <w:r>
              <w:rPr>
                <w:rFonts w:hint="eastAsia" w:ascii="仿宋" w:hAnsi="仿宋" w:eastAsia="仿宋"/>
                <w:kern w:val="0"/>
                <w:sz w:val="24"/>
                <w:lang w:val="en-US" w:eastAsia="zh-CN"/>
              </w:rPr>
              <w:t>提供产品的正式技术白皮书或规格手册或说明书；</w:t>
            </w:r>
          </w:p>
          <w:p w14:paraId="4084F923">
            <w:pPr>
              <w:numPr>
                <w:ilvl w:val="0"/>
                <w:numId w:val="0"/>
              </w:numPr>
              <w:spacing w:line="240" w:lineRule="auto"/>
              <w:jc w:val="both"/>
              <w:rPr>
                <w:rFonts w:ascii="仿宋" w:hAnsi="仿宋" w:eastAsia="仿宋"/>
                <w:sz w:val="24"/>
              </w:rPr>
            </w:pPr>
            <w:r>
              <w:rPr>
                <w:rFonts w:ascii="仿宋" w:hAnsi="仿宋" w:eastAsia="仿宋" w:cs="Times New Roman"/>
                <w:kern w:val="2"/>
                <w:sz w:val="24"/>
                <w:lang w:val="en-US" w:eastAsia="zh-CN" w:bidi="ar-SA"/>
              </w:rPr>
              <w:t>2、</w:t>
            </w:r>
            <w:r>
              <w:rPr>
                <w:rFonts w:hint="eastAsia" w:ascii="仿宋" w:hAnsi="仿宋" w:eastAsia="仿宋"/>
                <w:kern w:val="0"/>
                <w:sz w:val="24"/>
                <w:lang w:val="en-US" w:eastAsia="zh-CN"/>
              </w:rPr>
              <w:t>提供产品官方发布的彩页。</w:t>
            </w:r>
          </w:p>
        </w:tc>
      </w:tr>
      <w:tr w14:paraId="0E33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418" w:type="dxa"/>
            <w:vAlign w:val="center"/>
          </w:tcPr>
          <w:p w14:paraId="586525D9">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 w:hAnsi="仿宋" w:eastAsia="仿宋" w:cs="宋体"/>
                <w:kern w:val="0"/>
                <w:sz w:val="24"/>
              </w:rPr>
            </w:pPr>
            <w:r>
              <w:rPr>
                <w:rFonts w:hint="eastAsia" w:ascii="仿宋" w:hAnsi="仿宋" w:eastAsia="仿宋" w:cs="宋体"/>
                <w:kern w:val="0"/>
                <w:sz w:val="24"/>
              </w:rPr>
              <w:t>用途</w:t>
            </w:r>
          </w:p>
        </w:tc>
        <w:tc>
          <w:tcPr>
            <w:tcW w:w="6521" w:type="dxa"/>
            <w:vAlign w:val="center"/>
          </w:tcPr>
          <w:p w14:paraId="6136F84F">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eastAsia" w:ascii="仿宋" w:hAnsi="仿宋" w:eastAsia="仿宋" w:cs="宋体"/>
                <w:kern w:val="0"/>
                <w:sz w:val="24"/>
                <w:lang w:eastAsia="zh-CN"/>
              </w:rPr>
            </w:pPr>
            <w:r>
              <w:rPr>
                <w:rFonts w:hint="eastAsia" w:ascii="仿宋" w:hAnsi="仿宋" w:eastAsia="仿宋" w:cs="宋体"/>
                <w:kern w:val="0"/>
                <w:sz w:val="24"/>
                <w:szCs w:val="22"/>
                <w:lang w:val="en-US" w:eastAsia="zh-CN" w:bidi="ar-SA"/>
              </w:rPr>
              <w:t>用于眼科晶状体囊膜切开、虹膜切开或切除。</w:t>
            </w:r>
          </w:p>
        </w:tc>
        <w:tc>
          <w:tcPr>
            <w:tcW w:w="1701" w:type="dxa"/>
            <w:vAlign w:val="center"/>
          </w:tcPr>
          <w:p w14:paraId="40B3F080">
            <w:pPr>
              <w:spacing w:line="240" w:lineRule="auto"/>
              <w:jc w:val="both"/>
              <w:rPr>
                <w:rFonts w:hint="default" w:ascii="仿宋" w:hAnsi="仿宋" w:eastAsia="仿宋"/>
                <w:kern w:val="0"/>
                <w:sz w:val="24"/>
                <w:lang w:val="en-US" w:eastAsia="zh-CN"/>
              </w:rPr>
            </w:pPr>
            <w:r>
              <w:rPr>
                <w:rFonts w:hint="eastAsia" w:ascii="仿宋" w:hAnsi="仿宋" w:eastAsia="仿宋"/>
                <w:kern w:val="0"/>
                <w:sz w:val="24"/>
                <w:lang w:val="en-US" w:eastAsia="zh-CN"/>
              </w:rPr>
              <w:t>请按注册证适用范围填写</w:t>
            </w:r>
          </w:p>
        </w:tc>
      </w:tr>
      <w:tr w14:paraId="442F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418" w:type="dxa"/>
            <w:vAlign w:val="center"/>
          </w:tcPr>
          <w:p w14:paraId="359DE548">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 w:hAnsi="仿宋" w:eastAsia="仿宋" w:cs="宋体"/>
                <w:kern w:val="0"/>
                <w:sz w:val="24"/>
                <w:lang w:val="en-US" w:eastAsia="zh-CN"/>
              </w:rPr>
            </w:pPr>
            <w:r>
              <w:rPr>
                <w:rFonts w:hint="eastAsia" w:ascii="仿宋" w:hAnsi="仿宋" w:eastAsia="仿宋" w:cs="宋体"/>
                <w:kern w:val="0"/>
                <w:sz w:val="24"/>
              </w:rPr>
              <w:t>技术</w:t>
            </w:r>
            <w:r>
              <w:rPr>
                <w:rFonts w:hint="eastAsia" w:ascii="仿宋" w:hAnsi="仿宋" w:eastAsia="仿宋" w:cs="宋体"/>
                <w:kern w:val="0"/>
                <w:sz w:val="24"/>
                <w:lang w:val="en-US" w:eastAsia="zh-CN"/>
              </w:rPr>
              <w:t>要求</w:t>
            </w:r>
          </w:p>
        </w:tc>
        <w:tc>
          <w:tcPr>
            <w:tcW w:w="6521" w:type="dxa"/>
            <w:vAlign w:val="center"/>
          </w:tcPr>
          <w:p w14:paraId="0C44BA55">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一、治疗激光系统：</w:t>
            </w:r>
          </w:p>
          <w:p w14:paraId="4D7E910E">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1、激光波长：1064nm±5nm。</w:t>
            </w:r>
          </w:p>
          <w:p w14:paraId="0C7A6342">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2、输出方式至少包含：单脉冲、双脉冲、三脉冲。</w:t>
            </w:r>
          </w:p>
          <w:p w14:paraId="333C455A">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3、激光脉冲宽度：≤6ns。</w:t>
            </w:r>
          </w:p>
          <w:p w14:paraId="5C2078E7">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4、激光脉冲序列的最大可发射重复频率：2.5Hz。</w:t>
            </w:r>
          </w:p>
          <w:p w14:paraId="17312B23">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5、能量复现性：RP≤±10%。</w:t>
            </w:r>
          </w:p>
          <w:p w14:paraId="23EFD402">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6、焦平面光斑直径：≤30μm。</w:t>
            </w:r>
          </w:p>
          <w:p w14:paraId="00598125">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7、激光光束汇聚角：≥18°。</w:t>
            </w:r>
          </w:p>
          <w:p w14:paraId="7B567EB9">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二、瞄准激光系统：</w:t>
            </w:r>
          </w:p>
          <w:p w14:paraId="37A5C64F">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1、波长：≤638nm。</w:t>
            </w:r>
          </w:p>
          <w:p w14:paraId="0AB47FBF">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2、输出功率：＜0.4mW。</w:t>
            </w:r>
          </w:p>
          <w:p w14:paraId="08FF005E">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三、裂隙灯观察系统：</w:t>
            </w:r>
          </w:p>
          <w:p w14:paraId="1145FC37">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1、变倍：≥5档变倍。</w:t>
            </w:r>
          </w:p>
          <w:p w14:paraId="5596ACE2">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2、类型：下光源裂隙灯。</w:t>
            </w:r>
          </w:p>
          <w:p w14:paraId="6E3D0800">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四、其他要求：</w:t>
            </w:r>
          </w:p>
          <w:p w14:paraId="4403148C">
            <w:pPr>
              <w:pStyle w:val="10"/>
              <w:rPr>
                <w:rFonts w:hint="eastAsia"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设备使用期限：≥7年。</w:t>
            </w:r>
          </w:p>
        </w:tc>
        <w:tc>
          <w:tcPr>
            <w:tcW w:w="1701" w:type="dxa"/>
            <w:vAlign w:val="center"/>
          </w:tcPr>
          <w:p w14:paraId="72802EC2">
            <w:pPr>
              <w:spacing w:line="240" w:lineRule="auto"/>
              <w:jc w:val="both"/>
              <w:rPr>
                <w:rFonts w:hint="default" w:ascii="仿宋" w:hAnsi="仿宋" w:eastAsia="仿宋"/>
                <w:kern w:val="0"/>
                <w:sz w:val="24"/>
                <w:lang w:val="en-US" w:eastAsia="zh-CN"/>
              </w:rPr>
            </w:pPr>
            <w:r>
              <w:rPr>
                <w:rFonts w:hint="eastAsia" w:ascii="仿宋" w:hAnsi="仿宋" w:eastAsia="仿宋"/>
                <w:kern w:val="0"/>
                <w:sz w:val="24"/>
                <w:lang w:val="en-US" w:eastAsia="zh-CN"/>
              </w:rPr>
              <w:t>请逐条据实响应，不得简单复制粘贴采购文件要求作为应答内容。如设备使用期限</w:t>
            </w:r>
            <w:r>
              <w:rPr>
                <w:rFonts w:hint="eastAsia" w:ascii="仿宋" w:hAnsi="仿宋" w:eastAsia="仿宋" w:cs="宋体"/>
                <w:kern w:val="0"/>
                <w:sz w:val="24"/>
                <w:szCs w:val="22"/>
                <w:lang w:val="en-US" w:eastAsia="zh-CN" w:bidi="ar-SA"/>
              </w:rPr>
              <w:t>≥</w:t>
            </w:r>
            <w:r>
              <w:rPr>
                <w:rFonts w:hint="eastAsia" w:asciiTheme="minorEastAsia" w:hAnsiTheme="minorEastAsia" w:eastAsiaTheme="minorEastAsia" w:cstheme="minorEastAsia"/>
                <w:kern w:val="0"/>
                <w:sz w:val="24"/>
                <w:szCs w:val="22"/>
                <w:lang w:val="en-US" w:eastAsia="zh-CN" w:bidi="ar-SA"/>
              </w:rPr>
              <w:t>×</w:t>
            </w:r>
            <w:r>
              <w:rPr>
                <w:rFonts w:hint="eastAsia" w:ascii="仿宋" w:hAnsi="仿宋" w:eastAsia="仿宋" w:cs="宋体"/>
                <w:kern w:val="0"/>
                <w:sz w:val="24"/>
                <w:szCs w:val="22"/>
                <w:lang w:val="en-US" w:eastAsia="zh-CN" w:bidi="ar-SA"/>
              </w:rPr>
              <w:t>年</w:t>
            </w:r>
            <w:r>
              <w:rPr>
                <w:rFonts w:hint="eastAsia" w:ascii="仿宋" w:hAnsi="仿宋" w:eastAsia="仿宋"/>
                <w:kern w:val="0"/>
                <w:sz w:val="24"/>
                <w:lang w:val="en-US" w:eastAsia="zh-CN"/>
              </w:rPr>
              <w:t>或质保期</w:t>
            </w:r>
            <w:r>
              <w:rPr>
                <w:rFonts w:hint="eastAsia" w:ascii="仿宋" w:hAnsi="仿宋" w:eastAsia="仿宋" w:cs="宋体"/>
                <w:kern w:val="0"/>
                <w:sz w:val="24"/>
                <w:szCs w:val="22"/>
                <w:lang w:val="en-US" w:eastAsia="zh-CN" w:bidi="ar-SA"/>
              </w:rPr>
              <w:t>≥</w:t>
            </w:r>
            <w:r>
              <w:rPr>
                <w:rFonts w:hint="eastAsia" w:asciiTheme="minorEastAsia" w:hAnsiTheme="minorEastAsia" w:eastAsiaTheme="minorEastAsia" w:cstheme="minorEastAsia"/>
                <w:kern w:val="0"/>
                <w:sz w:val="24"/>
                <w:szCs w:val="22"/>
                <w:lang w:val="en-US" w:eastAsia="zh-CN" w:bidi="ar-SA"/>
              </w:rPr>
              <w:t>×</w:t>
            </w:r>
            <w:r>
              <w:rPr>
                <w:rFonts w:hint="eastAsia" w:ascii="仿宋" w:hAnsi="仿宋" w:eastAsia="仿宋" w:cs="宋体"/>
                <w:kern w:val="0"/>
                <w:sz w:val="24"/>
                <w:szCs w:val="22"/>
                <w:lang w:val="en-US" w:eastAsia="zh-CN" w:bidi="ar-SA"/>
              </w:rPr>
              <w:t>年等要求，应明确应答具体年数</w:t>
            </w:r>
            <w:r>
              <w:rPr>
                <w:rFonts w:hint="eastAsia" w:ascii="仿宋" w:hAnsi="仿宋" w:eastAsia="仿宋"/>
                <w:kern w:val="0"/>
                <w:sz w:val="24"/>
                <w:lang w:val="en-US" w:eastAsia="zh-CN"/>
              </w:rPr>
              <w:t>。</w:t>
            </w:r>
          </w:p>
        </w:tc>
      </w:tr>
      <w:tr w14:paraId="620A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418" w:type="dxa"/>
            <w:vAlign w:val="center"/>
          </w:tcPr>
          <w:p w14:paraId="3366EACB">
            <w:pPr>
              <w:keepNext w:val="0"/>
              <w:keepLines w:val="0"/>
              <w:pageBreakBefore w:val="0"/>
              <w:kinsoku/>
              <w:wordWrap/>
              <w:overflowPunct/>
              <w:topLinePunct w:val="0"/>
              <w:autoSpaceDE/>
              <w:autoSpaceDN/>
              <w:bidi w:val="0"/>
              <w:adjustRightInd/>
              <w:snapToGrid/>
              <w:spacing w:line="240" w:lineRule="atLeast"/>
              <w:jc w:val="center"/>
              <w:textAlignment w:val="auto"/>
              <w:rPr>
                <w:rFonts w:hint="eastAsia" w:ascii="仿宋" w:hAnsi="仿宋" w:eastAsia="仿宋" w:cs="宋体"/>
                <w:kern w:val="0"/>
                <w:sz w:val="24"/>
                <w:lang w:eastAsia="zh-CN"/>
              </w:rPr>
            </w:pPr>
            <w:r>
              <w:rPr>
                <w:rFonts w:hint="eastAsia" w:ascii="仿宋" w:hAnsi="仿宋" w:eastAsia="仿宋" w:cs="宋体"/>
                <w:kern w:val="0"/>
                <w:sz w:val="24"/>
                <w:lang w:eastAsia="zh-CN"/>
              </w:rPr>
              <w:t>配置清单</w:t>
            </w:r>
          </w:p>
        </w:tc>
        <w:tc>
          <w:tcPr>
            <w:tcW w:w="6521" w:type="dxa"/>
            <w:vAlign w:val="center"/>
          </w:tcPr>
          <w:p w14:paraId="55A932D6">
            <w:pPr>
              <w:keepNext w:val="0"/>
              <w:keepLines w:val="0"/>
              <w:pageBreakBefore w:val="0"/>
              <w:widowControl/>
              <w:kinsoku/>
              <w:wordWrap/>
              <w:overflowPunct/>
              <w:topLinePunct w:val="0"/>
              <w:autoSpaceDE/>
              <w:autoSpaceDN/>
              <w:bidi w:val="0"/>
              <w:adjustRightInd/>
              <w:snapToGrid w:val="0"/>
              <w:spacing w:line="240" w:lineRule="atLeast"/>
              <w:ind w:left="0" w:leftChars="0" w:firstLine="0" w:firstLineChars="0"/>
              <w:textAlignment w:val="auto"/>
              <w:rPr>
                <w:rFonts w:hint="default" w:ascii="仿宋" w:hAnsi="仿宋" w:eastAsia="仿宋" w:cs="宋体"/>
                <w:kern w:val="0"/>
                <w:sz w:val="24"/>
                <w:szCs w:val="22"/>
                <w:lang w:val="en-US" w:eastAsia="zh-CN" w:bidi="ar-SA"/>
              </w:rPr>
            </w:pPr>
            <w:r>
              <w:rPr>
                <w:rFonts w:hint="eastAsia" w:ascii="仿宋" w:hAnsi="仿宋" w:eastAsia="仿宋" w:cs="宋体"/>
                <w:kern w:val="0"/>
                <w:sz w:val="24"/>
                <w:szCs w:val="22"/>
                <w:lang w:val="en-US" w:eastAsia="zh-CN" w:bidi="ar-SA"/>
              </w:rPr>
              <w:t>至少应包括：</w:t>
            </w:r>
          </w:p>
          <w:p w14:paraId="0ABCC18B">
            <w:pPr>
              <w:rPr>
                <w:rFonts w:ascii="仿宋" w:hAnsi="仿宋" w:eastAsia="仿宋" w:cs="宋体"/>
                <w:kern w:val="0"/>
                <w:sz w:val="24"/>
              </w:rPr>
            </w:pPr>
            <w:r>
              <w:rPr>
                <w:rFonts w:ascii="仿宋" w:hAnsi="仿宋" w:eastAsia="仿宋" w:cs="宋体"/>
                <w:kern w:val="0"/>
                <w:sz w:val="24"/>
              </w:rPr>
              <w:t>1.主机1台；</w:t>
            </w:r>
          </w:p>
          <w:p w14:paraId="02030BA6">
            <w:pPr>
              <w:rPr>
                <w:rFonts w:ascii="仿宋" w:hAnsi="仿宋" w:eastAsia="仿宋" w:cs="宋体"/>
                <w:kern w:val="0"/>
                <w:sz w:val="24"/>
              </w:rPr>
            </w:pPr>
            <w:r>
              <w:rPr>
                <w:rFonts w:ascii="仿宋" w:hAnsi="仿宋" w:eastAsia="仿宋" w:cs="宋体"/>
                <w:kern w:val="0"/>
                <w:sz w:val="24"/>
              </w:rPr>
              <w:t>2.</w:t>
            </w:r>
            <w:r>
              <w:rPr>
                <w:rFonts w:hint="eastAsia" w:ascii="仿宋" w:hAnsi="仿宋" w:eastAsia="仿宋" w:cs="宋体"/>
                <w:kern w:val="0"/>
                <w:sz w:val="24"/>
              </w:rPr>
              <w:t>电动升降台</w:t>
            </w:r>
            <w:r>
              <w:rPr>
                <w:rFonts w:ascii="仿宋" w:hAnsi="仿宋" w:eastAsia="仿宋" w:cs="宋体"/>
                <w:kern w:val="0"/>
                <w:sz w:val="24"/>
              </w:rPr>
              <w:t>1</w:t>
            </w:r>
            <w:r>
              <w:rPr>
                <w:rFonts w:hint="eastAsia" w:ascii="仿宋" w:hAnsi="仿宋" w:eastAsia="仿宋" w:cs="宋体"/>
                <w:kern w:val="0"/>
                <w:sz w:val="24"/>
              </w:rPr>
              <w:t>个</w:t>
            </w:r>
            <w:r>
              <w:rPr>
                <w:rFonts w:ascii="仿宋" w:hAnsi="仿宋" w:eastAsia="仿宋" w:cs="宋体"/>
                <w:kern w:val="0"/>
                <w:sz w:val="24"/>
              </w:rPr>
              <w:t>；</w:t>
            </w:r>
          </w:p>
          <w:p w14:paraId="1A6E9E55">
            <w:pPr>
              <w:pStyle w:val="10"/>
              <w:rPr>
                <w:rFonts w:hint="default" w:ascii="仿宋" w:hAnsi="仿宋" w:eastAsia="仿宋" w:cs="宋体"/>
                <w:kern w:val="0"/>
                <w:sz w:val="24"/>
                <w:szCs w:val="22"/>
                <w:lang w:val="en-US" w:eastAsia="zh-CN" w:bidi="ar-SA"/>
              </w:rPr>
            </w:pPr>
            <w:r>
              <w:rPr>
                <w:rFonts w:ascii="仿宋" w:hAnsi="仿宋" w:eastAsia="仿宋" w:cs="宋体"/>
                <w:kern w:val="0"/>
                <w:sz w:val="24"/>
              </w:rPr>
              <w:t>3.</w:t>
            </w:r>
            <w:r>
              <w:rPr>
                <w:rFonts w:hint="eastAsia" w:ascii="仿宋" w:hAnsi="仿宋" w:eastAsia="仿宋" w:cs="宋体"/>
                <w:kern w:val="0"/>
                <w:sz w:val="24"/>
              </w:rPr>
              <w:t>裂隙灯1台。</w:t>
            </w:r>
          </w:p>
        </w:tc>
        <w:tc>
          <w:tcPr>
            <w:tcW w:w="1701" w:type="dxa"/>
            <w:vAlign w:val="center"/>
          </w:tcPr>
          <w:p w14:paraId="2F55A839">
            <w:pPr>
              <w:spacing w:line="240" w:lineRule="auto"/>
              <w:jc w:val="both"/>
              <w:rPr>
                <w:rFonts w:hint="default" w:ascii="仿宋" w:hAnsi="仿宋" w:eastAsia="仿宋"/>
                <w:sz w:val="24"/>
                <w:lang w:val="en-US" w:eastAsia="zh-CN"/>
              </w:rPr>
            </w:pPr>
            <w:r>
              <w:rPr>
                <w:rFonts w:hint="eastAsia" w:ascii="仿宋" w:hAnsi="仿宋" w:eastAsia="仿宋"/>
                <w:sz w:val="24"/>
                <w:lang w:val="en-US" w:eastAsia="zh-CN"/>
              </w:rPr>
              <w:t>请根据响应产品实际情况逐一列明。</w:t>
            </w:r>
          </w:p>
        </w:tc>
      </w:tr>
    </w:tbl>
    <w:p w14:paraId="0BDF8F3B">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三、服务要求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72E9FA6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（一）供应商负责设备安装、调试，其费用包含在项目报价内。</w:t>
      </w:r>
    </w:p>
    <w:p w14:paraId="140E5A8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二）供应商提供设备操作（使用）培训，其费用包含在项目报价内。保证采购人操作（使用）人员能熟练、独立操作（使用），采购人维修维护人员能完成一般常见故障的维修及日常保养工作，如未达到，医院有权延后支付合同所约定款项。</w:t>
      </w:r>
    </w:p>
    <w:p w14:paraId="5CC902D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（三）供应商应定期进行回访，解决设备运行当中可能出现的疑问，排除潜在的故障，使设备保持正常的工作状态。质保期内，供应商每年提供</w:t>
      </w:r>
      <w:r>
        <w:rPr>
          <w:rFonts w:hint="eastAsia" w:ascii="仿宋" w:hAnsi="仿宋" w:eastAsia="仿宋" w:cs="仿宋"/>
          <w:color w:val="FF0000"/>
          <w:kern w:val="2"/>
          <w:sz w:val="28"/>
          <w:szCs w:val="28"/>
          <w:lang w:val="en-US" w:eastAsia="zh-CN" w:bidi="ar-SA"/>
        </w:rPr>
        <w:t>≥2次</w:t>
      </w:r>
      <w:r>
        <w:rPr>
          <w:rFonts w:hint="eastAsia" w:ascii="仿宋" w:hAnsi="仿宋" w:eastAsia="仿宋" w:cs="仿宋"/>
          <w:kern w:val="2"/>
          <w:sz w:val="28"/>
          <w:szCs w:val="28"/>
          <w:lang w:val="en-US" w:eastAsia="zh-CN" w:bidi="ar-SA"/>
        </w:rPr>
        <w:t>维护保养，并出具维护保养报告，其费用包含在项目报价内。</w:t>
      </w:r>
    </w:p>
    <w:p w14:paraId="2FFBFCF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 xml:space="preserve">（四）售后服务响应时间：供应商应在接到售后服务通知或故障电话 </w:t>
      </w:r>
      <w:r>
        <w:rPr>
          <w:rFonts w:hint="eastAsia" w:ascii="仿宋" w:hAnsi="仿宋" w:eastAsia="仿宋" w:cs="仿宋"/>
          <w:color w:val="FF0000"/>
          <w:kern w:val="2"/>
          <w:sz w:val="28"/>
          <w:szCs w:val="28"/>
          <w:lang w:val="en-US" w:eastAsia="zh-CN" w:bidi="ar-SA"/>
        </w:rPr>
        <w:t>12 小时内响应，48小时内到场维修</w:t>
      </w:r>
      <w:r>
        <w:rPr>
          <w:rFonts w:hint="eastAsia" w:ascii="仿宋" w:hAnsi="仿宋" w:eastAsia="仿宋" w:cs="仿宋"/>
          <w:kern w:val="2"/>
          <w:sz w:val="28"/>
          <w:szCs w:val="28"/>
          <w:lang w:val="en-US" w:eastAsia="zh-CN" w:bidi="ar-SA"/>
        </w:rPr>
        <w:t>。</w:t>
      </w:r>
    </w:p>
    <w:p w14:paraId="6B0BFA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atLeast"/>
        <w:ind w:right="0" w:firstLine="560" w:firstLineChars="200"/>
        <w:jc w:val="both"/>
        <w:textAlignment w:val="auto"/>
        <w:rPr>
          <w:rFonts w:hint="eastAsia" w:ascii="仿宋" w:hAnsi="仿宋" w:eastAsia="仿宋" w:cs="仿宋"/>
          <w:b/>
          <w:bCs/>
          <w:i/>
          <w:iCs/>
          <w:color w:val="FF0000"/>
          <w:kern w:val="2"/>
          <w:sz w:val="28"/>
          <w:szCs w:val="28"/>
          <w:lang w:val="en-US" w:eastAsia="zh-CN" w:bidi="ar-SA"/>
        </w:rPr>
      </w:pPr>
      <w:r>
        <w:rPr>
          <w:rFonts w:hint="eastAsia" w:ascii="仿宋" w:hAnsi="仿宋" w:eastAsia="仿宋" w:cs="仿宋"/>
          <w:kern w:val="2"/>
          <w:sz w:val="28"/>
          <w:szCs w:val="28"/>
          <w:lang w:val="en-US" w:eastAsia="zh-CN" w:bidi="ar-SA"/>
        </w:rPr>
        <w:t>（五）质保期后，供应商应提供标的物终生维修、维护，维修只收取材料成本费。</w:t>
      </w:r>
    </w:p>
    <w:p w14:paraId="7ACE172D">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四、商务要求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此节内容供应商在商务</w:t>
      </w:r>
      <w:r>
        <w:rPr>
          <w:rFonts w:hint="eastAsia" w:ascii="仿宋" w:hAnsi="仿宋" w:eastAsia="仿宋" w:cs="仿宋"/>
          <w:b/>
          <w:bCs/>
          <w:color w:val="auto"/>
          <w:sz w:val="28"/>
          <w:szCs w:val="28"/>
          <w:lang w:eastAsia="zh-CN"/>
        </w:rPr>
        <w:t>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6AD3E8BE">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（一）交货时间：合同签字盖章生效之日起</w:t>
      </w:r>
      <w:r>
        <w:rPr>
          <w:rFonts w:hint="eastAsia" w:ascii="仿宋" w:hAnsi="仿宋" w:eastAsia="仿宋" w:cs="仿宋"/>
          <w:color w:val="FF0000"/>
          <w:sz w:val="28"/>
          <w:szCs w:val="28"/>
          <w:lang w:val="en-US" w:eastAsia="zh-CN"/>
        </w:rPr>
        <w:t>30日</w:t>
      </w:r>
      <w:r>
        <w:rPr>
          <w:rFonts w:hint="eastAsia" w:ascii="仿宋" w:hAnsi="仿宋" w:eastAsia="仿宋" w:cs="仿宋"/>
          <w:color w:val="auto"/>
          <w:sz w:val="28"/>
          <w:szCs w:val="28"/>
          <w:lang w:val="en-US" w:eastAsia="zh-CN"/>
        </w:rPr>
        <w:t>内将标的物交货到采购人指定地点。</w:t>
      </w:r>
    </w:p>
    <w:p w14:paraId="55E0D60C">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（二）交货地点：四川省大竹县白塔街道青年路99号，</w:t>
      </w:r>
      <w:r>
        <w:rPr>
          <w:rFonts w:hint="eastAsia" w:ascii="仿宋" w:hAnsi="仿宋" w:eastAsia="仿宋" w:cs="仿宋"/>
          <w:i w:val="0"/>
          <w:iCs w:val="0"/>
          <w:color w:val="FF0000"/>
          <w:sz w:val="28"/>
          <w:szCs w:val="28"/>
          <w:lang w:val="en-US" w:eastAsia="zh-CN"/>
        </w:rPr>
        <w:t>大竹县人民医院院门诊大楼四楼眼科</w:t>
      </w:r>
      <w:r>
        <w:rPr>
          <w:rFonts w:hint="eastAsia" w:ascii="仿宋" w:hAnsi="仿宋" w:eastAsia="仿宋" w:cs="仿宋"/>
          <w:i w:val="0"/>
          <w:iCs w:val="0"/>
          <w:color w:val="auto"/>
          <w:sz w:val="28"/>
          <w:szCs w:val="28"/>
          <w:lang w:val="en-US" w:eastAsia="zh-CN"/>
        </w:rPr>
        <w:t>。标的物交付采购人之前，标的物的损</w:t>
      </w:r>
      <w:r>
        <w:rPr>
          <w:rFonts w:hint="eastAsia" w:ascii="仿宋" w:hAnsi="仿宋" w:eastAsia="仿宋" w:cs="仿宋"/>
          <w:color w:val="auto"/>
          <w:sz w:val="28"/>
          <w:szCs w:val="28"/>
          <w:lang w:val="en-US" w:eastAsia="zh-CN"/>
        </w:rPr>
        <w:t>毁、灭失风险由供应商承担。</w:t>
      </w:r>
    </w:p>
    <w:p w14:paraId="7E0884D6">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（三）付款方式</w:t>
      </w:r>
    </w:p>
    <w:p w14:paraId="2277F65F">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1、支付方式：</w:t>
      </w:r>
      <w:r>
        <w:rPr>
          <w:rFonts w:hint="eastAsia" w:ascii="仿宋" w:hAnsi="仿宋" w:eastAsia="仿宋" w:cs="仿宋"/>
          <w:color w:val="FF0000"/>
          <w:sz w:val="28"/>
          <w:szCs w:val="28"/>
          <w:lang w:val="en-US" w:eastAsia="zh-CN"/>
        </w:rPr>
        <w:t>分期付款</w:t>
      </w:r>
    </w:p>
    <w:p w14:paraId="10029541">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2、付款进度安排</w:t>
      </w:r>
    </w:p>
    <w:p w14:paraId="36962375">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ascii="仿宋" w:hAnsi="仿宋" w:eastAsia="仿宋" w:cs="仿宋"/>
          <w:color w:val="auto"/>
          <w:sz w:val="28"/>
          <w:szCs w:val="28"/>
          <w:lang w:val="en-US" w:eastAsia="zh-CN"/>
        </w:rPr>
      </w:pPr>
      <w:r>
        <w:rPr>
          <w:rFonts w:hint="default" w:ascii="仿宋" w:hAnsi="仿宋" w:eastAsia="仿宋" w:cs="仿宋"/>
          <w:color w:val="auto"/>
          <w:sz w:val="28"/>
          <w:szCs w:val="28"/>
          <w:lang w:val="en-US" w:eastAsia="zh-CN"/>
        </w:rPr>
        <w:t>（1）</w:t>
      </w:r>
      <w:r>
        <w:rPr>
          <w:rFonts w:hint="eastAsia" w:ascii="仿宋" w:hAnsi="仿宋" w:eastAsia="仿宋" w:cs="仿宋"/>
          <w:color w:val="auto"/>
          <w:sz w:val="28"/>
          <w:szCs w:val="28"/>
          <w:lang w:val="en-US" w:eastAsia="zh-CN"/>
        </w:rPr>
        <w:t>标的物</w:t>
      </w:r>
      <w:r>
        <w:rPr>
          <w:rFonts w:hint="default" w:ascii="仿宋" w:hAnsi="仿宋" w:eastAsia="仿宋" w:cs="仿宋"/>
          <w:color w:val="auto"/>
          <w:sz w:val="28"/>
          <w:szCs w:val="28"/>
          <w:lang w:val="en-US" w:eastAsia="zh-CN"/>
        </w:rPr>
        <w:t>安装、调试、培训完成并最终验收合格交付使用，开具国家认可足额有效票据，达到付款条件起</w:t>
      </w:r>
      <w:r>
        <w:rPr>
          <w:rFonts w:hint="eastAsia" w:ascii="仿宋" w:hAnsi="仿宋" w:eastAsia="仿宋" w:cs="仿宋"/>
          <w:color w:val="FF0000"/>
          <w:sz w:val="28"/>
          <w:szCs w:val="28"/>
          <w:lang w:val="en-US" w:eastAsia="zh-CN"/>
        </w:rPr>
        <w:t>60</w:t>
      </w:r>
      <w:r>
        <w:rPr>
          <w:rFonts w:hint="default" w:ascii="仿宋" w:hAnsi="仿宋" w:eastAsia="仿宋" w:cs="仿宋"/>
          <w:color w:val="FF0000"/>
          <w:sz w:val="28"/>
          <w:szCs w:val="28"/>
          <w:lang w:val="en-US" w:eastAsia="zh-CN"/>
        </w:rPr>
        <w:t>日</w:t>
      </w:r>
      <w:r>
        <w:rPr>
          <w:rFonts w:hint="default" w:ascii="仿宋" w:hAnsi="仿宋" w:eastAsia="仿宋" w:cs="仿宋"/>
          <w:color w:val="auto"/>
          <w:sz w:val="28"/>
          <w:szCs w:val="28"/>
          <w:lang w:val="en-US" w:eastAsia="zh-CN"/>
        </w:rPr>
        <w:t>内，支付合同总金额的90%；</w:t>
      </w:r>
    </w:p>
    <w:p w14:paraId="62F0DE77">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default" w:ascii="仿宋" w:hAnsi="仿宋" w:eastAsia="仿宋" w:cs="仿宋"/>
          <w:color w:val="auto"/>
          <w:sz w:val="28"/>
          <w:szCs w:val="28"/>
          <w:lang w:val="en-US" w:eastAsia="zh-CN"/>
        </w:rPr>
      </w:pPr>
      <w:r>
        <w:rPr>
          <w:rFonts w:hint="default" w:ascii="仿宋" w:hAnsi="仿宋" w:eastAsia="仿宋" w:cs="仿宋"/>
          <w:color w:val="auto"/>
          <w:sz w:val="28"/>
          <w:szCs w:val="28"/>
          <w:lang w:val="en-US" w:eastAsia="zh-CN"/>
        </w:rPr>
        <w:t>（2）质保期满，且</w:t>
      </w:r>
      <w:r>
        <w:rPr>
          <w:rFonts w:hint="eastAsia" w:ascii="仿宋" w:hAnsi="仿宋" w:eastAsia="仿宋" w:cs="仿宋"/>
          <w:color w:val="auto"/>
          <w:sz w:val="28"/>
          <w:szCs w:val="28"/>
          <w:lang w:val="en-US" w:eastAsia="zh-CN"/>
        </w:rPr>
        <w:t>标的物</w:t>
      </w:r>
      <w:r>
        <w:rPr>
          <w:rFonts w:hint="default" w:ascii="仿宋" w:hAnsi="仿宋" w:eastAsia="仿宋" w:cs="仿宋"/>
          <w:color w:val="auto"/>
          <w:sz w:val="28"/>
          <w:szCs w:val="28"/>
          <w:lang w:val="en-US" w:eastAsia="zh-CN"/>
        </w:rPr>
        <w:t>无质量问题，达到付款条件起</w:t>
      </w:r>
      <w:r>
        <w:rPr>
          <w:rFonts w:hint="eastAsia" w:ascii="仿宋" w:hAnsi="仿宋" w:eastAsia="仿宋" w:cs="仿宋"/>
          <w:color w:val="FF0000"/>
          <w:sz w:val="28"/>
          <w:szCs w:val="28"/>
          <w:lang w:val="en-US" w:eastAsia="zh-CN"/>
        </w:rPr>
        <w:t>60</w:t>
      </w:r>
      <w:r>
        <w:rPr>
          <w:rFonts w:hint="default" w:ascii="仿宋" w:hAnsi="仿宋" w:eastAsia="仿宋" w:cs="仿宋"/>
          <w:color w:val="FF0000"/>
          <w:sz w:val="28"/>
          <w:szCs w:val="28"/>
          <w:lang w:val="en-US" w:eastAsia="zh-CN"/>
        </w:rPr>
        <w:t>日</w:t>
      </w:r>
      <w:r>
        <w:rPr>
          <w:rFonts w:hint="default" w:ascii="仿宋" w:hAnsi="仿宋" w:eastAsia="仿宋" w:cs="仿宋"/>
          <w:color w:val="auto"/>
          <w:sz w:val="28"/>
          <w:szCs w:val="28"/>
          <w:lang w:val="en-US" w:eastAsia="zh-CN"/>
        </w:rPr>
        <w:t>内，支付合同总金额的10%。</w:t>
      </w:r>
    </w:p>
    <w:p w14:paraId="0FA3F9BE">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（四）验收、交付标准和方法</w:t>
      </w:r>
    </w:p>
    <w:p w14:paraId="6410047A">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1、验收交付标准：按国家相关法律法规、行业标准、技术规范；招标文件相关技术、服务要求、中标供应商投标文件相关响应内容；中标产品生产厂家出具的产品说明书、技术白皮书、医疗器械注册证或备案凭证等技术资料(如涉及)；如验收时双方对技术指标、质量要求等约定标准有相互抵触或异议的事项,双方须按照国家相关规定及招标文件相关技术、服务要求、中标供应商投标文件相关响应内容中质量要求和技术指标较严格的原则确定该事项的标准并进行验收。 </w:t>
      </w:r>
    </w:p>
    <w:p w14:paraId="7E83D707">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2、验收交付方法：</w:t>
      </w:r>
    </w:p>
    <w:p w14:paraId="4589B66E">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（1）供应商按合同约定将标的物交到采购人指定地点和完成合同规定服务内容，并完成安装、调试、培训后可向采购人提出初步验收；初步验收合格后进入</w:t>
      </w:r>
      <w:r>
        <w:rPr>
          <w:rFonts w:hint="eastAsia" w:ascii="仿宋" w:hAnsi="仿宋" w:eastAsia="仿宋" w:cs="仿宋"/>
          <w:color w:val="FF0000"/>
          <w:sz w:val="28"/>
          <w:szCs w:val="28"/>
          <w:lang w:val="en-US" w:eastAsia="zh-CN"/>
        </w:rPr>
        <w:t>1个月试运行期</w:t>
      </w:r>
      <w:r>
        <w:rPr>
          <w:rFonts w:hint="eastAsia" w:ascii="仿宋" w:hAnsi="仿宋" w:eastAsia="仿宋" w:cs="仿宋"/>
          <w:color w:val="auto"/>
          <w:sz w:val="28"/>
          <w:szCs w:val="28"/>
          <w:lang w:val="en-US" w:eastAsia="zh-CN"/>
        </w:rPr>
        <w:t>，试运行期满无任何质量问题供应商可向采购人提出最终验收；最终验收合格，甲乙双方签署验收报告后视为供应商正式将标的物产权移交采购人。如由于采购人的原因造成延迟交付的，时间顺延。</w:t>
      </w:r>
    </w:p>
    <w:p w14:paraId="0018A05F">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验收方式。验收由采购人组织，供应商配合、协助提供验收所需资料及功能演示，按照本项目采购文件、响应文件以及合同约定进行验收。若标的物存在质量问题或未按照合同规定提供服务，采购人有权拒绝验收和支付合同款项。</w:t>
      </w:r>
    </w:p>
    <w:p w14:paraId="5DF60DAF">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验收时如发现供应商提供的标的物和服务有不符合本合同规定之情形，验收时应做出详尽的现场记录，或由验收方与供应商签署备忘录，此现场记录或备忘录可用作补充、缺失和进行整改的有效证据，由此产生的时间延误与有关费用由供应商承担，验收期限相应顺延。</w:t>
      </w:r>
    </w:p>
    <w:p w14:paraId="10B7DED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（五）质量保修范围和保修期</w:t>
      </w:r>
    </w:p>
    <w:p w14:paraId="5F0496A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1、质保期：</w:t>
      </w:r>
      <w:r>
        <w:rPr>
          <w:rFonts w:hint="eastAsia" w:ascii="仿宋" w:hAnsi="仿宋" w:eastAsia="仿宋" w:cs="仿宋"/>
          <w:color w:val="FF0000"/>
          <w:kern w:val="2"/>
          <w:sz w:val="28"/>
          <w:szCs w:val="28"/>
          <w:lang w:val="en-US" w:eastAsia="zh-CN" w:bidi="ar-SA"/>
        </w:rPr>
        <w:t>≥壹年</w:t>
      </w:r>
      <w:r>
        <w:rPr>
          <w:rFonts w:hint="eastAsia" w:ascii="仿宋" w:hAnsi="仿宋" w:eastAsia="仿宋" w:cs="仿宋"/>
          <w:color w:val="auto"/>
          <w:kern w:val="2"/>
          <w:sz w:val="28"/>
          <w:szCs w:val="28"/>
          <w:lang w:val="en-US" w:eastAsia="zh-CN" w:bidi="ar-SA"/>
        </w:rPr>
        <w:t>。响应的质保期不得超过响应产品的官方技术文件中写明的最长使用期限（不包括易损附件的使用期限），否则视为虚假响应，供应商须承担相应后果。</w:t>
      </w:r>
      <w:r>
        <w:rPr>
          <w:rFonts w:hint="eastAsia" w:ascii="仿宋" w:hAnsi="仿宋" w:eastAsia="仿宋" w:cs="仿宋"/>
          <w:b w:val="0"/>
          <w:bCs w:val="0"/>
          <w:color w:val="auto"/>
          <w:kern w:val="2"/>
          <w:sz w:val="28"/>
          <w:szCs w:val="28"/>
          <w:lang w:val="en-US" w:eastAsia="zh-CN" w:bidi="ar-SA"/>
        </w:rPr>
        <w:t>供应商须在《报价一览表》中明确具体质保期时间。</w:t>
      </w:r>
    </w:p>
    <w:p w14:paraId="54487CD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2、在验收期或质保期内，如果标的物的数量、规格、质量或性能与合同和投标文件不符，或证实是有缺陷的，包括潜在的缺陷或使用不符合要求的材料等，以及出现某种或某部件出现经常性故障，供应商</w:t>
      </w:r>
      <w:r>
        <w:rPr>
          <w:rFonts w:hint="eastAsia" w:ascii="仿宋" w:hAnsi="仿宋" w:eastAsia="仿宋" w:cs="仿宋"/>
          <w:color w:val="auto"/>
          <w:kern w:val="2"/>
          <w:sz w:val="28"/>
          <w:szCs w:val="28"/>
          <w:highlight w:val="none"/>
          <w:lang w:val="en-US" w:eastAsia="zh-CN" w:bidi="ar-SA"/>
        </w:rPr>
        <w:t>应提供维修、更换或退货等服务，其产生的一切费用（含货物、人工、运输费等）由乙方承担。货物更换必须是等于或优于本合同要求的</w:t>
      </w:r>
      <w:r>
        <w:rPr>
          <w:rFonts w:hint="eastAsia" w:ascii="仿宋" w:hAnsi="仿宋" w:eastAsia="仿宋" w:cs="仿宋"/>
          <w:color w:val="auto"/>
          <w:sz w:val="28"/>
          <w:szCs w:val="28"/>
          <w:highlight w:val="none"/>
          <w:lang w:val="en-US" w:eastAsia="zh-CN"/>
        </w:rPr>
        <w:t>。</w:t>
      </w:r>
      <w:r>
        <w:rPr>
          <w:rFonts w:hint="eastAsia" w:ascii="仿宋" w:hAnsi="仿宋" w:eastAsia="仿宋" w:cs="仿宋"/>
          <w:b w:val="0"/>
          <w:bCs/>
          <w:color w:val="auto"/>
          <w:sz w:val="28"/>
          <w:szCs w:val="28"/>
          <w:u w:val="none"/>
          <w:lang w:val="en-US" w:eastAsia="zh-CN"/>
        </w:rPr>
        <w:t>乙方应在双方协商的时间内完成维修或更换有缺陷的货物</w:t>
      </w:r>
      <w:r>
        <w:rPr>
          <w:rFonts w:hint="eastAsia" w:ascii="仿宋" w:hAnsi="仿宋" w:eastAsia="仿宋" w:cs="仿宋"/>
          <w:b w:val="0"/>
          <w:bCs/>
          <w:sz w:val="28"/>
          <w:szCs w:val="28"/>
          <w:u w:val="none"/>
          <w:lang w:val="en-US" w:eastAsia="zh-CN"/>
        </w:rPr>
        <w:t>或部件，否则视为乙方违约</w:t>
      </w:r>
      <w:r>
        <w:rPr>
          <w:rFonts w:hint="eastAsia" w:ascii="仿宋" w:hAnsi="仿宋" w:eastAsia="仿宋" w:cs="仿宋"/>
          <w:color w:val="auto"/>
          <w:kern w:val="2"/>
          <w:sz w:val="28"/>
          <w:szCs w:val="28"/>
          <w:lang w:val="en-US" w:eastAsia="zh-CN" w:bidi="ar-SA"/>
        </w:rPr>
        <w:t>。</w:t>
      </w:r>
    </w:p>
    <w:p w14:paraId="6B1429A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质保范围：供应商供货的标的物生产厂家生产的产品的质保范围为整机所有部件，配套三方产品的质保期及质保范围按配套产品生产厂家质保标准执行，供应商提供必要的协助。质保期内标的物出现故障或质量问题，供应商负责维修或者更换，涉及的维修、产品更换、人工费用等一切费用包含在本项目报价中。</w:t>
      </w:r>
    </w:p>
    <w:p w14:paraId="7107B5B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4、标的物在质保期内出现质量问题，供应商应将有质量问题的标的物更换，更换的标的物必须是等于或优于本文件要求的。在双方协商的时间内不能更换的由供应商提供备选方案，供应商怠于或不履行或瑕疵履行售后义务的或更换的标的物仍存在问题的，采购人将采取必要的补救措施（采购人自行更换或委托第三方替代供应商更换），其产生的因处理标的物问题的所有费用及风险由供应商承担，同时视为供应商违约，采购人要求供应商承担违约责任。</w:t>
      </w:r>
    </w:p>
    <w:p w14:paraId="2351AF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（六）违约责任</w:t>
      </w:r>
    </w:p>
    <w:p w14:paraId="6A21D29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供应商必须严格按照国家相关法律法规和本文件要求及供应商提交的响应文件约定履行合同，按时全面履行本项目的各项义务，供应商不履行本项目义务或瑕疵履行本项目义务或延迟履行本项目义务或履行合同义务不符合合同约定的，则成交供应商违约。</w:t>
      </w:r>
    </w:p>
    <w:p w14:paraId="2F3042DD">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根据《中华人民共和国民法典》合同编的法律规定，采购人有权解除合同，并要求成交供应商承担相应违约责任并支付相应金额的违约金。采购人有权直接从成交供应商的合同货款中扣除违约金，成交供应商因违约行为偿付的违约金不足以弥补采购人损失的，还应按采购人损失尚未弥补的部分，支付赔偿金全额赔偿采购人损失。</w:t>
      </w:r>
    </w:p>
    <w:p w14:paraId="503E0A7A">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有下列情形之一行为视为供应商违约，采购人有权按照以下条款要求成交供应商承担违约金及违约责任：</w:t>
      </w:r>
    </w:p>
    <w:p w14:paraId="398700D8">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（1）供应商根本违约的违约责任。</w:t>
      </w:r>
    </w:p>
    <w:p w14:paraId="13A1C43E">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合同履行期限内，供应商明确表示或者以自己的行为表明不履行本合同的主要义务，或提供假冒伪劣产品、以次充好、以旧充新等，致使合同的目的不能实现的，则供应商根本违约，供应商应向采购人支付合同金额20%的违约金，同时采购人有权解除合同。违约金由甲采购人直接从合同款项中扣除。</w:t>
      </w:r>
    </w:p>
    <w:p w14:paraId="5DF68D98">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（2）供应商延迟履约的违约责任。</w:t>
      </w:r>
    </w:p>
    <w:p w14:paraId="6A73B54D">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供应商未按照本合同约定的时间、地点交货或提供相关服务，则供应商构成延迟履约。供应商延迟履约的，除应及时按照本合同约定的时间、地点交货或提供相关服务外，还应向采购人偿付逾期交货部分货款总额的万分之三/天的违约金；逾期交货超过60天，供应商应向采购人支付合同总价款20%的违约金，同时采购人有权解除合同。违约金由采购人直接从供应商合同款项中扣除。</w:t>
      </w:r>
    </w:p>
    <w:p w14:paraId="51E954C3">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在履行合同过程中，如果供应商遇到可能影响按时交货和提供服务的情形时，应及时以书面形式将迟延的事实、可能迟延的期限和理由通知采购人。采购人在收到供应商通知后，应尽快对情况进行评价，并确定是否同意延长交货时间或延期提供服务。未经采购人书面同意，供应商不得自行延期。</w:t>
      </w:r>
    </w:p>
    <w:p w14:paraId="3A8811A6">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如果供应商没有按照合同约定的时间交货或提供服务，采购人有权从货款中扣除误期赔偿费而不影响合同项下的其他补救方法。如果涉及公共利益，且赔偿金额无法弥补公共利益损失，采购人可要求继续履行或者采取其他补救措施。</w:t>
      </w:r>
    </w:p>
    <w:p w14:paraId="1100A2DF">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供应商瑕疵履约的违约责任。供应商所提供的货物不符合合同约定的质量标准或存在产品质量缺陷或服务瑕疵违约，与本合同要求不符的，供应商应承担及时修理、重作、更换、退货、减少价款或者报酬等违约责任，供应商应向采购人支付合同总价款10%的违约金，同时采购人有权解除合同。违约金由采购人直接从供应商合同款项中扣除。</w:t>
      </w:r>
    </w:p>
    <w:p w14:paraId="160CE2CC">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如任何第三方经法院（或仲裁机构）裁决有权对供应商交付标的物主张权利或国家机关依法对标的物进行没收查处的，供应商除应向采购人返还已收款项外，还应按合同总价款20%向采购人支付违约金并赔偿因此给采购人造成的一切损失。</w:t>
      </w:r>
    </w:p>
    <w:p w14:paraId="5D3654DD">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（5）供应商偿付的违约金不足以弥补采购人损失的，还应按采购人损失尚未弥补的部分支付赔偿金给采购人。</w:t>
      </w:r>
    </w:p>
    <w:p w14:paraId="61ECCF2F">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（6）分包、转包的违约责任。本合同不允许供应商将项目分包、转包给任何第三方，否则采购人可以解除合同，并可要求供应商向采购人缴纳合同金额20%的违约金。</w:t>
      </w:r>
    </w:p>
    <w:p w14:paraId="01291110">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供应商须遵守采购人规定的院内各项制度和要求，并在指定的区域内进行作业，供应商应做好各项安全保障工作和预案，做好员工安全教育工作，严格执行国家相关法律法规、安全规章制度，采取有效的安全措施，确保安全履行合同。合同履行过程中由供应商及员工原因造成的一切安全事故、人身伤亡、经济损失均由供应商自行负责承担，其责任与采购人无关。若供应商造成采购人损失的，包括但不限于采购人本身的财产损失或人身伤害或由此而导致的采购人对任何第三方的法律责任等，供应商对此均应承担全部的赔偿责任和法律责任。</w:t>
      </w:r>
    </w:p>
    <w:p w14:paraId="7D25C3E2">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（七）标的物包装、运输要求</w:t>
      </w:r>
    </w:p>
    <w:p w14:paraId="2A4CB4CB">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1、供应商须提供全新的标的物，符合国家相关质量标准、技术标准、安全认证和合同要求，且应保证标的物是全新、未使用过的原厂原包装合格正品，标的物表面无划伤、无碰撞痕迹，无损坏。标的物包装应干净、结实、无破损、封口严密、方便储存、运输和使用。包装上必须标明品名、规格、生产厂家、出厂日期或质保期。标的物为医疗器械的应符合《医疗器械说明书和标签管理规定》要求，特别是进口产品一定要有中文标识。中文标识至少应包括：产品名称、型号、规格、有效期、医疗器械注册证编号或者备案凭证编号、注册人（代理人）或者生产企业的名称、住所、生产地址、联系方式及生产许可证编号等。</w:t>
      </w:r>
    </w:p>
    <w:p w14:paraId="5DEFF1AE">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供应商保证所提供的标的物在装卸、运输和仓储过程中有足够的包装保护，满足远距离运输、防潮、防震、防锈和防野蛮装卸等要求，防止标的物受潮、变质、受到冲撞以及其他不可预见的损坏，符合环保和国家强制要求。供应商提供标的物运输过程中造成标的物泄露、损坏、灭失等，造成的一切经济损失由供应商自行承担。发生破损、受潮、容量不足、疑似瑕疵品等情况，采购人有权拒收标的物。</w:t>
      </w:r>
    </w:p>
    <w:p w14:paraId="7F4C7798">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对运输、存储条件有特殊要求的货物（如冷链管理的医疗器械等）需按照说明书和标签标示要求进行运输与贮存，并做好相关记录。需单独包装、且应在外包装显著位置说明运输及存储条件，以便医院收货后能按要求保存或迅速移交科室存放，否则由此造成的一切损失由乙方承担。冷链管理医疗器械根据《医疗器械冷链（运输、贮存）管理指南》（2016第154号）的相关要求执行。</w:t>
      </w:r>
    </w:p>
    <w:p w14:paraId="0B33B659">
      <w:pPr>
        <w:pStyle w:val="3"/>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4、设备每一个包装箱内应附详细装箱清单。耗材试剂每批次货物应附随货同行清单，清单按合同要求制作。</w:t>
      </w:r>
    </w:p>
    <w:p w14:paraId="77609839">
      <w:pPr>
        <w:pageBreakBefore w:val="0"/>
        <w:numPr>
          <w:ilvl w:val="0"/>
          <w:numId w:val="0"/>
        </w:numPr>
        <w:kinsoku/>
        <w:wordWrap/>
        <w:overflowPunct/>
        <w:topLinePunct w:val="0"/>
        <w:autoSpaceDE/>
        <w:autoSpaceDN/>
        <w:bidi w:val="0"/>
        <w:adjustRightInd/>
        <w:snapToGrid/>
        <w:spacing w:beforeLines="50" w:afterLines="50" w:line="560" w:lineRule="exact"/>
        <w:ind w:firstLine="562" w:firstLineChars="200"/>
        <w:outlineLvl w:val="1"/>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五、其他要求</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此节内容供应商在</w:t>
      </w:r>
      <w:r>
        <w:rPr>
          <w:rFonts w:hint="eastAsia" w:ascii="仿宋" w:hAnsi="仿宋" w:eastAsia="仿宋" w:cs="仿宋"/>
          <w:b/>
          <w:bCs/>
          <w:color w:val="auto"/>
          <w:sz w:val="28"/>
          <w:szCs w:val="28"/>
          <w:lang w:eastAsia="zh-CN"/>
        </w:rPr>
        <w:t>技术、服务及其他要求应答表</w:t>
      </w:r>
      <w:r>
        <w:rPr>
          <w:rFonts w:hint="eastAsia" w:ascii="仿宋" w:hAnsi="仿宋" w:eastAsia="仿宋" w:cs="仿宋"/>
          <w:b/>
          <w:bCs/>
          <w:color w:val="auto"/>
          <w:sz w:val="28"/>
          <w:szCs w:val="28"/>
          <w:lang w:val="en-US" w:eastAsia="zh-CN"/>
        </w:rPr>
        <w:t>中响应</w:t>
      </w:r>
      <w:r>
        <w:rPr>
          <w:rFonts w:hint="eastAsia" w:ascii="仿宋" w:hAnsi="仿宋" w:eastAsia="仿宋" w:cs="仿宋"/>
          <w:b/>
          <w:bCs/>
          <w:color w:val="auto"/>
          <w:sz w:val="28"/>
          <w:szCs w:val="28"/>
          <w:lang w:eastAsia="zh-CN"/>
        </w:rPr>
        <w:t>）</w:t>
      </w:r>
    </w:p>
    <w:p w14:paraId="7694A6B7">
      <w:pPr>
        <w:pageBreakBefore w:val="0"/>
        <w:numPr>
          <w:ilvl w:val="0"/>
          <w:numId w:val="0"/>
        </w:numPr>
        <w:kinsoku/>
        <w:wordWrap/>
        <w:overflowPunct/>
        <w:topLinePunct w:val="0"/>
        <w:autoSpaceDE/>
        <w:autoSpaceDN/>
        <w:bidi w:val="0"/>
        <w:adjustRightInd/>
        <w:snapToGrid/>
        <w:spacing w:beforeLines="50" w:afterLines="50" w:line="560" w:lineRule="exact"/>
        <w:ind w:firstLine="560" w:firstLineChars="200"/>
        <w:outlineLvl w:val="1"/>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无</w:t>
      </w:r>
    </w:p>
    <w:p w14:paraId="489147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346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360" w:after="360" w:line="400" w:lineRule="exact"/>
      <w:ind w:firstLine="2564" w:firstLineChars="798"/>
      <w:jc w:val="center"/>
      <w:outlineLvl w:val="0"/>
    </w:pPr>
    <w:rPr>
      <w:rFonts w:ascii="黑体" w:hAnsi="黑体" w:eastAsia="黑体"/>
      <w:b/>
      <w:kern w:val="44"/>
      <w:sz w:val="32"/>
      <w:szCs w:val="32"/>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Subtitle"/>
    <w:basedOn w:val="1"/>
    <w:next w:val="1"/>
    <w:qFormat/>
    <w:uiPriority w:val="0"/>
    <w:pPr>
      <w:spacing w:before="240" w:after="60" w:line="312" w:lineRule="auto"/>
      <w:jc w:val="center"/>
      <w:outlineLvl w:val="1"/>
    </w:pPr>
    <w:rPr>
      <w:rFonts w:ascii="Cambria" w:hAnsi="Cambria"/>
      <w:b/>
      <w:bCs/>
      <w:color w:val="000000"/>
      <w:kern w:val="28"/>
      <w:sz w:val="32"/>
      <w:szCs w:val="32"/>
    </w:rPr>
  </w:style>
  <w:style w:type="paragraph" w:styleId="5">
    <w:name w:val="Normal (Web)"/>
    <w:basedOn w:val="1"/>
    <w:unhideWhenUsed/>
    <w:qFormat/>
    <w:uiPriority w:val="0"/>
    <w:pPr>
      <w:widowControl/>
      <w:spacing w:before="100" w:beforeAutospacing="1" w:after="100" w:afterAutospacing="1"/>
      <w:jc w:val="left"/>
    </w:pPr>
    <w:rPr>
      <w:rFonts w:ascii="宋体" w:hAnsi="宋体"/>
      <w:kern w:val="0"/>
      <w:sz w:val="24"/>
    </w:rPr>
  </w:style>
  <w:style w:type="paragraph" w:styleId="8">
    <w:name w:val="List Paragraph"/>
    <w:basedOn w:val="1"/>
    <w:autoRedefine/>
    <w:qFormat/>
    <w:uiPriority w:val="0"/>
    <w:pPr>
      <w:ind w:firstLine="420" w:firstLineChars="200"/>
    </w:pPr>
    <w:rPr>
      <w:szCs w:val="24"/>
    </w:rPr>
  </w:style>
  <w:style w:type="paragraph" w:customStyle="1" w:styleId="9">
    <w:name w:val="null3"/>
    <w:hidden/>
    <w:qFormat/>
    <w:uiPriority w:val="0"/>
    <w:rPr>
      <w:rFonts w:hint="eastAsia" w:asciiTheme="minorHAnsi" w:hAnsiTheme="minorHAnsi" w:eastAsiaTheme="minorEastAsia" w:cstheme="minorBidi"/>
      <w:lang w:val="en-US" w:eastAsia="zh-Hans"/>
    </w:rPr>
  </w:style>
  <w:style w:type="paragraph" w:customStyle="1" w:styleId="10">
    <w:name w:val="参数正文"/>
    <w:basedOn w:val="1"/>
    <w:qFormat/>
    <w:uiPriority w:val="0"/>
    <w:rPr>
      <w:rFonts w:ascii="宋体" w:hAnsi="宋体" w:cs="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4611</Words>
  <Characters>4685</Characters>
  <Lines>0</Lines>
  <Paragraphs>0</Paragraphs>
  <TotalTime>0</TotalTime>
  <ScaleCrop>false</ScaleCrop>
  <LinksUpToDate>false</LinksUpToDate>
  <CharactersWithSpaces>4691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2026-09-14T07:20:11Z</dcterms:created>
  <dc:creator>Administrator</dc:creator>
  <cp:lastModifiedBy>杨渊</cp:lastModifiedBy>
  <dcterms:modified xsi:type="dcterms:W3CDTF">2026-09-14T07:20:28Z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eyJoZGlkIjoiY2Y2MTBmZGIzOTYwMzFkMDI1MjVlNDdhYjY3NDk1ZTAiLCJ1c2VySWQiOiIyMzM3NTg3OTYifQ==</vt:lpwstr>
  </property>
  <property fmtid="{D5CDD505-2E9C-101B-9397-08002B2CF9AE}" pid="4" name="ICV">
    <vt:lpwstr>B44B137946394D049DA6CD95ED9464A1_12</vt:lpwstr>
  </property>
</Properties>
</file>