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153CBE">
      <w:pPr>
        <w:spacing w:line="360" w:lineRule="auto"/>
        <w:jc w:val="center"/>
        <w:rPr>
          <w:rFonts w:hint="eastAsia" w:ascii="黑体" w:hAnsi="黑体" w:eastAsia="黑体" w:cs="黑体"/>
          <w:b/>
          <w:color w:val="000000" w:themeColor="text1"/>
          <w:kern w:val="0"/>
          <w:sz w:val="36"/>
          <w:szCs w:val="36"/>
          <w:highlight w:val="none"/>
          <w:lang w:eastAsia="zh-CN"/>
          <w14:textFill>
            <w14:solidFill>
              <w14:schemeClr w14:val="tx1"/>
            </w14:solidFill>
          </w14:textFill>
        </w:rPr>
      </w:pPr>
      <w:r>
        <w:rPr>
          <w:rFonts w:hint="eastAsia" w:ascii="黑体" w:hAnsi="黑体" w:eastAsia="黑体" w:cs="黑体"/>
          <w:b/>
          <w:color w:val="000000" w:themeColor="text1"/>
          <w:kern w:val="0"/>
          <w:sz w:val="36"/>
          <w:szCs w:val="36"/>
          <w:highlight w:val="none"/>
          <w:lang w:eastAsia="zh-CN"/>
          <w14:textFill>
            <w14:solidFill>
              <w14:schemeClr w14:val="tx1"/>
            </w14:solidFill>
          </w14:textFill>
        </w:rPr>
        <w:t>大竹县人民医院医用气体站房及附属设施设备、全院供氧、负压空气系统、病房呼叫系统及输液天轨的维护保养服务</w:t>
      </w:r>
    </w:p>
    <w:p w14:paraId="72663BE1">
      <w:pPr>
        <w:spacing w:line="360" w:lineRule="auto"/>
        <w:jc w:val="center"/>
        <w:rPr>
          <w:rFonts w:hint="eastAsia" w:ascii="黑体" w:hAnsi="黑体" w:eastAsia="黑体" w:cs="黑体"/>
          <w:b/>
          <w:color w:val="000000" w:themeColor="text1"/>
          <w:kern w:val="0"/>
          <w:sz w:val="36"/>
          <w:szCs w:val="36"/>
          <w:highlight w:val="none"/>
          <w:lang w:eastAsia="zh-CN"/>
          <w14:textFill>
            <w14:solidFill>
              <w14:schemeClr w14:val="tx1"/>
            </w14:solidFill>
          </w14:textFill>
        </w:rPr>
      </w:pPr>
      <w:r>
        <w:rPr>
          <w:rFonts w:hint="eastAsia" w:ascii="黑体" w:hAnsi="黑体" w:eastAsia="黑体" w:cs="黑体"/>
          <w:b/>
          <w:color w:val="000000" w:themeColor="text1"/>
          <w:kern w:val="0"/>
          <w:sz w:val="36"/>
          <w:szCs w:val="36"/>
          <w:highlight w:val="none"/>
          <w:lang w:eastAsia="zh-CN"/>
          <w14:textFill>
            <w14:solidFill>
              <w14:schemeClr w14:val="tx1"/>
            </w14:solidFill>
          </w14:textFill>
        </w:rPr>
        <w:t>院内自主采购项目</w:t>
      </w:r>
    </w:p>
    <w:p w14:paraId="380F8D98">
      <w:pPr>
        <w:pStyle w:val="2"/>
        <w:rPr>
          <w:rFonts w:hint="eastAsia" w:ascii="方正公文小标宋" w:hAnsi="方正公文小标宋" w:eastAsia="方正公文小标宋" w:cs="方正公文小标宋"/>
          <w:color w:val="auto"/>
          <w:sz w:val="32"/>
          <w:szCs w:val="36"/>
          <w:lang w:val="en-US" w:eastAsia="zh-CN"/>
        </w:rPr>
      </w:pPr>
    </w:p>
    <w:p w14:paraId="7E9BDB75">
      <w:pPr>
        <w:pStyle w:val="25"/>
        <w:keepNext w:val="0"/>
        <w:keepLines w:val="0"/>
        <w:pageBreakBefore w:val="0"/>
        <w:widowControl/>
        <w:kinsoku/>
        <w:wordWrap/>
        <w:overflowPunct/>
        <w:topLinePunct w:val="0"/>
        <w:autoSpaceDE/>
        <w:autoSpaceDN/>
        <w:bidi w:val="0"/>
        <w:adjustRightInd/>
        <w:snapToGrid/>
        <w:spacing w:line="560" w:lineRule="exact"/>
        <w:ind w:firstLine="562" w:firstLineChars="200"/>
        <w:jc w:val="left"/>
        <w:textAlignment w:val="auto"/>
        <w:rPr>
          <w:rFonts w:hint="eastAsia" w:ascii="仿宋" w:hAnsi="仿宋" w:eastAsia="仿宋" w:cs="仿宋"/>
          <w:color w:val="FF0000"/>
          <w:kern w:val="2"/>
          <w:sz w:val="28"/>
          <w:szCs w:val="28"/>
          <w:highlight w:val="none"/>
          <w:lang w:val="en-US" w:eastAsia="zh-CN" w:bidi="ar-SA"/>
        </w:rPr>
      </w:pPr>
      <w:r>
        <w:rPr>
          <w:rFonts w:hint="eastAsia" w:ascii="仿宋" w:hAnsi="仿宋" w:eastAsia="仿宋" w:cs="仿宋"/>
          <w:b/>
          <w:bCs/>
          <w:color w:val="auto"/>
          <w:sz w:val="28"/>
          <w:szCs w:val="28"/>
          <w:highlight w:val="none"/>
          <w:lang w:val="en-US" w:eastAsia="zh-CN"/>
        </w:rPr>
        <w:t>一、采购预算</w:t>
      </w:r>
    </w:p>
    <w:p w14:paraId="605AD7F2">
      <w:pPr>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kern w:val="2"/>
          <w:sz w:val="28"/>
          <w:szCs w:val="28"/>
          <w:highlight w:val="none"/>
          <w:lang w:val="en-US" w:eastAsia="zh-CN" w:bidi="ar-SA"/>
        </w:rPr>
        <w:t>采购包预算金额（元）:</w:t>
      </w:r>
      <w:r>
        <w:rPr>
          <w:rFonts w:hint="eastAsia" w:ascii="仿宋" w:hAnsi="仿宋" w:eastAsia="仿宋" w:cs="仿宋"/>
          <w:color w:val="FF0000"/>
          <w:kern w:val="2"/>
          <w:sz w:val="28"/>
          <w:szCs w:val="28"/>
          <w:highlight w:val="none"/>
          <w:lang w:val="en-US" w:eastAsia="zh-CN" w:bidi="ar-SA"/>
        </w:rPr>
        <w:t>130000.00。</w:t>
      </w:r>
      <w:r>
        <w:rPr>
          <w:rFonts w:hint="eastAsia" w:ascii="仿宋" w:hAnsi="仿宋" w:eastAsia="仿宋" w:cs="仿宋"/>
          <w:sz w:val="28"/>
          <w:szCs w:val="28"/>
          <w:lang w:val="en-US" w:eastAsia="zh-CN"/>
        </w:rPr>
        <w:t>超出预算报价为无效报价。</w:t>
      </w:r>
      <w:r>
        <w:rPr>
          <w:rFonts w:hint="eastAsia" w:ascii="仿宋" w:hAnsi="仿宋" w:eastAsia="仿宋" w:cs="仿宋"/>
          <w:color w:val="auto"/>
          <w:sz w:val="28"/>
          <w:szCs w:val="28"/>
        </w:rPr>
        <w:t>要求供应商报价为</w:t>
      </w:r>
      <w:r>
        <w:rPr>
          <w:rFonts w:hint="eastAsia" w:ascii="仿宋" w:hAnsi="仿宋" w:eastAsia="仿宋" w:cs="仿宋"/>
          <w:color w:val="auto"/>
          <w:sz w:val="28"/>
          <w:szCs w:val="28"/>
          <w:lang w:eastAsia="zh-CN"/>
        </w:rPr>
        <w:t>一年</w:t>
      </w:r>
      <w:r>
        <w:rPr>
          <w:rFonts w:hint="eastAsia" w:ascii="仿宋" w:hAnsi="仿宋" w:eastAsia="仿宋" w:cs="仿宋"/>
          <w:color w:val="auto"/>
          <w:sz w:val="28"/>
          <w:szCs w:val="28"/>
        </w:rPr>
        <w:t>维保服务的包干价，供应商的报价是供应商响应本项目服务内容、范围、要求等全部工作的价格体现，包括供应商完成本项目所需的一切费用，包括且不限于：人工劳动报酬、福利待遇、在职体检费、社会保险费、意外保险费、加班费用等人工费用，供应商办公费、工具装备购置费、物资耗材费、搬运费、工器具费、服装费、管理费、税费等满足本项目需求的全部费用。</w:t>
      </w:r>
    </w:p>
    <w:p w14:paraId="4995AD23">
      <w:pPr>
        <w:pStyle w:val="25"/>
        <w:keepNext w:val="0"/>
        <w:keepLines w:val="0"/>
        <w:pageBreakBefore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FF0000"/>
          <w:kern w:val="2"/>
          <w:sz w:val="28"/>
          <w:szCs w:val="28"/>
          <w:highlight w:val="none"/>
          <w:lang w:val="en-US" w:eastAsia="zh-CN" w:bidi="ar-SA"/>
        </w:rPr>
      </w:pPr>
      <w:r>
        <w:rPr>
          <w:rFonts w:hint="eastAsia" w:ascii="仿宋" w:hAnsi="仿宋" w:eastAsia="仿宋" w:cs="仿宋"/>
          <w:color w:val="auto"/>
          <w:sz w:val="28"/>
          <w:szCs w:val="28"/>
        </w:rPr>
        <w:t>本项目无成本补偿和风险分担，供应商应充分考虑可能影响报价的情况，自行考虑</w:t>
      </w:r>
      <w:r>
        <w:rPr>
          <w:rFonts w:hint="eastAsia" w:ascii="仿宋" w:hAnsi="仿宋" w:eastAsia="仿宋" w:cs="仿宋"/>
          <w:color w:val="auto"/>
          <w:sz w:val="28"/>
          <w:szCs w:val="28"/>
          <w:lang w:eastAsia="zh-CN"/>
        </w:rPr>
        <w:t>一年</w:t>
      </w:r>
      <w:r>
        <w:rPr>
          <w:rFonts w:hint="eastAsia" w:ascii="仿宋" w:hAnsi="仿宋" w:eastAsia="仿宋" w:cs="仿宋"/>
          <w:color w:val="auto"/>
          <w:sz w:val="28"/>
          <w:szCs w:val="28"/>
        </w:rPr>
        <w:t>履约期内，供应商的工作人员社保或最低工资变动，及物资耗材、物价变动情况。合同履行期间，采购人按成交金额支付项目服务费，项目服务费为包干价，在合同期内固定不变，不受任何因素影响（如工资上涨等）。</w:t>
      </w:r>
    </w:p>
    <w:p w14:paraId="0FB31AE2">
      <w:pPr>
        <w:keepNext w:val="0"/>
        <w:keepLines w:val="0"/>
        <w:pageBreakBefore w:val="0"/>
        <w:numPr>
          <w:ilvl w:val="0"/>
          <w:numId w:val="0"/>
        </w:numPr>
        <w:kinsoku/>
        <w:wordWrap/>
        <w:overflowPunct/>
        <w:topLinePunct w:val="0"/>
        <w:autoSpaceDE/>
        <w:autoSpaceDN/>
        <w:bidi w:val="0"/>
        <w:adjustRightInd/>
        <w:snapToGrid/>
        <w:spacing w:beforeLines="50" w:afterLines="50" w:line="560" w:lineRule="exact"/>
        <w:ind w:firstLine="562" w:firstLineChars="200"/>
        <w:outlineLvl w:val="1"/>
        <w:rPr>
          <w:rFonts w:hint="default"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二、采购标的</w:t>
      </w:r>
    </w:p>
    <w:p w14:paraId="4A23602F">
      <w:pPr>
        <w:pStyle w:val="14"/>
        <w:spacing w:line="360" w:lineRule="auto"/>
        <w:ind w:firstLine="560" w:firstLineChars="200"/>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本项目需供应商进行维护保养的</w:t>
      </w:r>
      <w:r>
        <w:rPr>
          <w:rFonts w:hint="eastAsia" w:ascii="仿宋" w:hAnsi="仿宋" w:eastAsia="仿宋" w:cs="仿宋"/>
          <w:color w:val="auto"/>
          <w:sz w:val="28"/>
          <w:szCs w:val="28"/>
        </w:rPr>
        <w:t>服务</w:t>
      </w:r>
      <w:r>
        <w:rPr>
          <w:rFonts w:hint="eastAsia" w:ascii="仿宋" w:hAnsi="仿宋" w:eastAsia="仿宋" w:cs="仿宋"/>
          <w:color w:val="auto"/>
          <w:sz w:val="28"/>
          <w:szCs w:val="28"/>
          <w:lang w:val="en-US" w:eastAsia="zh-CN"/>
        </w:rPr>
        <w:t>范围</w:t>
      </w:r>
      <w:r>
        <w:rPr>
          <w:rFonts w:hint="eastAsia" w:ascii="仿宋" w:hAnsi="仿宋" w:eastAsia="仿宋" w:cs="仿宋"/>
          <w:color w:val="auto"/>
          <w:sz w:val="28"/>
          <w:szCs w:val="28"/>
        </w:rPr>
        <w:t>包括</w:t>
      </w:r>
      <w:r>
        <w:rPr>
          <w:rFonts w:hint="eastAsia" w:ascii="仿宋" w:hAnsi="仿宋" w:eastAsia="仿宋" w:cs="仿宋"/>
          <w:color w:val="auto"/>
          <w:sz w:val="28"/>
          <w:szCs w:val="28"/>
          <w:lang w:val="en-US" w:eastAsia="zh-CN"/>
        </w:rPr>
        <w:t>:</w:t>
      </w:r>
    </w:p>
    <w:p w14:paraId="0D07253F">
      <w:pPr>
        <w:pStyle w:val="14"/>
        <w:numPr>
          <w:ilvl w:val="0"/>
          <w:numId w:val="0"/>
        </w:numPr>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1.采购人</w:t>
      </w:r>
      <w:r>
        <w:rPr>
          <w:rFonts w:hint="eastAsia" w:ascii="仿宋" w:hAnsi="仿宋" w:eastAsia="仿宋" w:cs="仿宋"/>
          <w:color w:val="auto"/>
          <w:sz w:val="28"/>
          <w:szCs w:val="28"/>
        </w:rPr>
        <w:t>医用气体站房</w:t>
      </w:r>
      <w:r>
        <w:rPr>
          <w:rFonts w:hint="eastAsia" w:ascii="仿宋" w:hAnsi="仿宋" w:eastAsia="仿宋" w:cs="仿宋"/>
          <w:color w:val="auto"/>
          <w:sz w:val="28"/>
          <w:szCs w:val="28"/>
          <w:lang w:val="en-US" w:eastAsia="zh-CN"/>
        </w:rPr>
        <w:t>及该站房内所有的设施设备，包括且不限于</w:t>
      </w:r>
      <w:r>
        <w:rPr>
          <w:rFonts w:hint="eastAsia" w:ascii="仿宋" w:hAnsi="仿宋" w:eastAsia="仿宋" w:cs="仿宋"/>
          <w:color w:val="auto"/>
          <w:sz w:val="28"/>
          <w:szCs w:val="28"/>
        </w:rPr>
        <w:t>医用液氧罐供气系统、医用负压供气系统、医用空气供气系统；</w:t>
      </w:r>
    </w:p>
    <w:p w14:paraId="5FB3598E">
      <w:pPr>
        <w:pStyle w:val="14"/>
        <w:numPr>
          <w:ilvl w:val="0"/>
          <w:numId w:val="0"/>
        </w:numPr>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2</w:t>
      </w:r>
      <w:r>
        <w:rPr>
          <w:rFonts w:hint="eastAsia" w:ascii="仿宋" w:hAnsi="仿宋" w:eastAsia="仿宋" w:cs="仿宋"/>
          <w:color w:val="auto"/>
          <w:sz w:val="28"/>
          <w:szCs w:val="28"/>
          <w:lang w:val="en-US" w:eastAsia="zh-CN"/>
        </w:rPr>
        <w:t>.采购人</w:t>
      </w:r>
      <w:r>
        <w:rPr>
          <w:rFonts w:hint="eastAsia" w:ascii="仿宋" w:hAnsi="仿宋" w:eastAsia="仿宋" w:cs="仿宋"/>
          <w:color w:val="auto"/>
          <w:sz w:val="28"/>
          <w:szCs w:val="28"/>
        </w:rPr>
        <w:t>病房医气系统</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范围包括外科大楼约679床</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内科大楼约498床</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门诊约64床</w:t>
      </w:r>
      <w:r>
        <w:rPr>
          <w:rFonts w:hint="eastAsia" w:ascii="仿宋" w:hAnsi="仿宋" w:eastAsia="仿宋" w:cs="仿宋"/>
          <w:color w:val="auto"/>
          <w:sz w:val="28"/>
          <w:szCs w:val="28"/>
          <w:lang w:val="en-US" w:eastAsia="zh-CN"/>
        </w:rPr>
        <w:t>、感染科大楼约65床</w:t>
      </w:r>
      <w:r>
        <w:rPr>
          <w:rFonts w:hint="eastAsia" w:ascii="仿宋" w:hAnsi="仿宋" w:eastAsia="仿宋" w:cs="仿宋"/>
          <w:color w:val="auto"/>
          <w:sz w:val="28"/>
          <w:szCs w:val="28"/>
        </w:rPr>
        <w:t>的</w:t>
      </w:r>
      <w:r>
        <w:rPr>
          <w:rFonts w:hint="eastAsia" w:ascii="仿宋" w:hAnsi="仿宋" w:eastAsia="仿宋" w:cs="仿宋"/>
          <w:color w:val="auto"/>
          <w:sz w:val="28"/>
          <w:szCs w:val="28"/>
          <w:lang w:val="en-US" w:eastAsia="zh-CN"/>
        </w:rPr>
        <w:t>所有采购人</w:t>
      </w:r>
      <w:r>
        <w:rPr>
          <w:rFonts w:hint="eastAsia" w:ascii="仿宋" w:hAnsi="仿宋" w:eastAsia="仿宋" w:cs="仿宋"/>
          <w:color w:val="auto"/>
          <w:sz w:val="28"/>
          <w:szCs w:val="28"/>
        </w:rPr>
        <w:t>病床设备带的终端、电器、呼叫对讲系统</w:t>
      </w:r>
      <w:r>
        <w:rPr>
          <w:rFonts w:hint="eastAsia" w:ascii="仿宋" w:hAnsi="仿宋" w:eastAsia="仿宋" w:cs="仿宋"/>
          <w:color w:val="auto"/>
          <w:sz w:val="28"/>
          <w:szCs w:val="28"/>
          <w:lang w:eastAsia="zh-CN"/>
        </w:rPr>
        <w:t>及输液导轨</w:t>
      </w:r>
      <w:r>
        <w:rPr>
          <w:rFonts w:hint="eastAsia" w:ascii="仿宋" w:hAnsi="仿宋" w:eastAsia="仿宋" w:cs="仿宋"/>
          <w:color w:val="auto"/>
          <w:sz w:val="28"/>
          <w:szCs w:val="28"/>
        </w:rPr>
        <w:t>的运行维保。</w:t>
      </w:r>
    </w:p>
    <w:p w14:paraId="65789403">
      <w:pPr>
        <w:pStyle w:val="14"/>
        <w:numPr>
          <w:ilvl w:val="0"/>
          <w:numId w:val="0"/>
        </w:numPr>
        <w:spacing w:line="360" w:lineRule="auto"/>
        <w:ind w:firstLine="560" w:firstLineChars="200"/>
        <w:jc w:val="left"/>
        <w:rPr>
          <w:rFonts w:hint="eastAsia" w:ascii="仿宋" w:hAnsi="仿宋" w:eastAsia="仿宋" w:cs="仿宋"/>
          <w:color w:val="auto"/>
          <w:sz w:val="28"/>
          <w:szCs w:val="28"/>
          <w:u w:val="single"/>
          <w:lang w:eastAsia="zh-CN"/>
        </w:rPr>
      </w:pPr>
      <w:r>
        <w:rPr>
          <w:rFonts w:hint="eastAsia" w:ascii="仿宋" w:hAnsi="仿宋" w:eastAsia="仿宋" w:cs="仿宋"/>
          <w:color w:val="auto"/>
          <w:sz w:val="28"/>
          <w:szCs w:val="28"/>
          <w:lang w:val="en-US" w:eastAsia="zh-CN"/>
        </w:rPr>
        <w:t>采购人青年路99号院区内，属于</w:t>
      </w:r>
      <w:r>
        <w:rPr>
          <w:rFonts w:hint="eastAsia" w:ascii="仿宋" w:hAnsi="仿宋" w:eastAsia="仿宋" w:cs="仿宋"/>
          <w:color w:val="auto"/>
          <w:sz w:val="28"/>
          <w:szCs w:val="28"/>
          <w:u w:val="single"/>
        </w:rPr>
        <w:t>医用气体系统功能构成的设施及设备均应在本项目维保范围内</w:t>
      </w:r>
      <w:r>
        <w:rPr>
          <w:rFonts w:hint="eastAsia" w:ascii="仿宋" w:hAnsi="仿宋" w:eastAsia="仿宋" w:cs="仿宋"/>
          <w:color w:val="auto"/>
          <w:sz w:val="28"/>
          <w:szCs w:val="28"/>
          <w:u w:val="single"/>
          <w:lang w:eastAsia="zh-CN"/>
        </w:rPr>
        <w:t>。</w:t>
      </w:r>
    </w:p>
    <w:p w14:paraId="18EE1B71">
      <w:pPr>
        <w:pStyle w:val="2"/>
        <w:spacing w:line="360" w:lineRule="auto"/>
        <w:jc w:val="center"/>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lang w:val="en-US" w:eastAsia="zh-CN"/>
        </w:rPr>
        <w:t>（ 本表只列了部分设施设备，便于供应商参考报价，本表未列明但属于本项目要求范围内的设施设备均属于供应商服务范围内</w:t>
      </w:r>
      <w:r>
        <w:rPr>
          <w:rFonts w:hint="eastAsia" w:ascii="仿宋" w:hAnsi="仿宋" w:eastAsia="仿宋" w:cs="仿宋"/>
          <w:b/>
          <w:bCs/>
          <w:color w:val="auto"/>
          <w:sz w:val="28"/>
          <w:szCs w:val="28"/>
          <w:lang w:eastAsia="zh-CN"/>
        </w:rPr>
        <w:t>）</w:t>
      </w:r>
    </w:p>
    <w:tbl>
      <w:tblPr>
        <w:tblStyle w:val="9"/>
        <w:tblW w:w="92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27"/>
        <w:gridCol w:w="2126"/>
        <w:gridCol w:w="850"/>
        <w:gridCol w:w="851"/>
        <w:gridCol w:w="1703"/>
        <w:gridCol w:w="2215"/>
      </w:tblGrid>
      <w:tr w14:paraId="7D2206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527" w:type="dxa"/>
            <w:tcBorders>
              <w:tl2br w:val="nil"/>
              <w:tr2bl w:val="nil"/>
            </w:tcBorders>
            <w:vAlign w:val="center"/>
          </w:tcPr>
          <w:p w14:paraId="0C07CF27">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序号</w:t>
            </w:r>
          </w:p>
        </w:tc>
        <w:tc>
          <w:tcPr>
            <w:tcW w:w="2126" w:type="dxa"/>
            <w:tcBorders>
              <w:tl2br w:val="nil"/>
              <w:tr2bl w:val="nil"/>
            </w:tcBorders>
            <w:vAlign w:val="center"/>
          </w:tcPr>
          <w:p w14:paraId="4E0F2D86">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名称</w:t>
            </w:r>
          </w:p>
        </w:tc>
        <w:tc>
          <w:tcPr>
            <w:tcW w:w="850" w:type="dxa"/>
            <w:tcBorders>
              <w:tl2br w:val="nil"/>
              <w:tr2bl w:val="nil"/>
            </w:tcBorders>
            <w:vAlign w:val="center"/>
          </w:tcPr>
          <w:p w14:paraId="30548690">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单位</w:t>
            </w:r>
          </w:p>
        </w:tc>
        <w:tc>
          <w:tcPr>
            <w:tcW w:w="851" w:type="dxa"/>
            <w:tcBorders>
              <w:tl2br w:val="nil"/>
              <w:tr2bl w:val="nil"/>
            </w:tcBorders>
            <w:vAlign w:val="center"/>
          </w:tcPr>
          <w:p w14:paraId="57D42598">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数量</w:t>
            </w:r>
          </w:p>
        </w:tc>
        <w:tc>
          <w:tcPr>
            <w:tcW w:w="1703" w:type="dxa"/>
            <w:tcBorders>
              <w:tl2br w:val="nil"/>
              <w:tr2bl w:val="nil"/>
            </w:tcBorders>
            <w:vAlign w:val="center"/>
          </w:tcPr>
          <w:p w14:paraId="3745572A">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技术参数</w:t>
            </w:r>
          </w:p>
        </w:tc>
        <w:tc>
          <w:tcPr>
            <w:tcW w:w="2215" w:type="dxa"/>
            <w:tcBorders>
              <w:tl2br w:val="nil"/>
              <w:tr2bl w:val="nil"/>
            </w:tcBorders>
            <w:vAlign w:val="center"/>
          </w:tcPr>
          <w:p w14:paraId="25786D50">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品牌</w:t>
            </w:r>
          </w:p>
        </w:tc>
      </w:tr>
      <w:tr w14:paraId="59C509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272" w:type="dxa"/>
            <w:gridSpan w:val="6"/>
            <w:tcBorders>
              <w:tl2br w:val="nil"/>
              <w:tr2bl w:val="nil"/>
            </w:tcBorders>
            <w:vAlign w:val="center"/>
          </w:tcPr>
          <w:p w14:paraId="7D6A239B">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医用气体站房设备</w:t>
            </w:r>
          </w:p>
        </w:tc>
      </w:tr>
      <w:tr w14:paraId="73FD12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527" w:type="dxa"/>
            <w:tcBorders>
              <w:tl2br w:val="nil"/>
              <w:tr2bl w:val="nil"/>
            </w:tcBorders>
            <w:vAlign w:val="center"/>
          </w:tcPr>
          <w:p w14:paraId="5A9098AA">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1</w:t>
            </w:r>
          </w:p>
        </w:tc>
        <w:tc>
          <w:tcPr>
            <w:tcW w:w="2126" w:type="dxa"/>
            <w:tcBorders>
              <w:tl2br w:val="nil"/>
              <w:tr2bl w:val="nil"/>
            </w:tcBorders>
            <w:vAlign w:val="center"/>
          </w:tcPr>
          <w:p w14:paraId="39BDF652">
            <w:pPr>
              <w:spacing w:line="360" w:lineRule="auto"/>
              <w:jc w:val="left"/>
              <w:rPr>
                <w:rFonts w:hint="eastAsia" w:ascii="仿宋" w:hAnsi="仿宋" w:eastAsia="仿宋" w:cs="仿宋"/>
                <w:color w:val="auto"/>
                <w:sz w:val="28"/>
                <w:szCs w:val="28"/>
              </w:rPr>
            </w:pPr>
            <w:r>
              <w:rPr>
                <w:rFonts w:hint="eastAsia" w:ascii="仿宋" w:hAnsi="仿宋" w:eastAsia="仿宋" w:cs="仿宋"/>
                <w:color w:val="auto"/>
                <w:sz w:val="28"/>
                <w:szCs w:val="28"/>
              </w:rPr>
              <w:t>液氧罐</w:t>
            </w:r>
          </w:p>
        </w:tc>
        <w:tc>
          <w:tcPr>
            <w:tcW w:w="850" w:type="dxa"/>
            <w:tcBorders>
              <w:tl2br w:val="nil"/>
              <w:tr2bl w:val="nil"/>
            </w:tcBorders>
            <w:vAlign w:val="center"/>
          </w:tcPr>
          <w:p w14:paraId="5D07084D">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台</w:t>
            </w:r>
          </w:p>
        </w:tc>
        <w:tc>
          <w:tcPr>
            <w:tcW w:w="851" w:type="dxa"/>
            <w:tcBorders>
              <w:tl2br w:val="nil"/>
              <w:tr2bl w:val="nil"/>
            </w:tcBorders>
            <w:vAlign w:val="center"/>
          </w:tcPr>
          <w:p w14:paraId="70C9DBEF">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2</w:t>
            </w:r>
          </w:p>
        </w:tc>
        <w:tc>
          <w:tcPr>
            <w:tcW w:w="1703" w:type="dxa"/>
            <w:tcBorders>
              <w:tl2br w:val="nil"/>
              <w:tr2bl w:val="nil"/>
            </w:tcBorders>
            <w:vAlign w:val="center"/>
          </w:tcPr>
          <w:p w14:paraId="11E0C842">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10m³</w:t>
            </w:r>
          </w:p>
        </w:tc>
        <w:tc>
          <w:tcPr>
            <w:tcW w:w="2215" w:type="dxa"/>
            <w:tcBorders>
              <w:tl2br w:val="nil"/>
              <w:tr2bl w:val="nil"/>
            </w:tcBorders>
            <w:vAlign w:val="center"/>
          </w:tcPr>
          <w:p w14:paraId="00F4957E">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金海鑫</w:t>
            </w:r>
          </w:p>
        </w:tc>
      </w:tr>
      <w:tr w14:paraId="64AC3F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 w:hRule="atLeast"/>
          <w:jc w:val="center"/>
        </w:trPr>
        <w:tc>
          <w:tcPr>
            <w:tcW w:w="1527" w:type="dxa"/>
            <w:tcBorders>
              <w:tl2br w:val="nil"/>
              <w:tr2bl w:val="nil"/>
            </w:tcBorders>
            <w:vAlign w:val="center"/>
          </w:tcPr>
          <w:p w14:paraId="25DDD9E4">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2</w:t>
            </w:r>
          </w:p>
        </w:tc>
        <w:tc>
          <w:tcPr>
            <w:tcW w:w="2126" w:type="dxa"/>
            <w:tcBorders>
              <w:tl2br w:val="nil"/>
              <w:tr2bl w:val="nil"/>
            </w:tcBorders>
            <w:vAlign w:val="center"/>
          </w:tcPr>
          <w:p w14:paraId="2A8A3792">
            <w:pPr>
              <w:spacing w:line="360" w:lineRule="auto"/>
              <w:jc w:val="left"/>
              <w:rPr>
                <w:rFonts w:hint="eastAsia" w:ascii="仿宋" w:hAnsi="仿宋" w:eastAsia="仿宋" w:cs="仿宋"/>
                <w:color w:val="auto"/>
                <w:sz w:val="28"/>
                <w:szCs w:val="28"/>
              </w:rPr>
            </w:pPr>
            <w:r>
              <w:rPr>
                <w:rFonts w:hint="eastAsia" w:ascii="仿宋" w:hAnsi="仿宋" w:eastAsia="仿宋" w:cs="仿宋"/>
                <w:color w:val="auto"/>
                <w:sz w:val="28"/>
                <w:szCs w:val="28"/>
              </w:rPr>
              <w:t>氧气汽化器</w:t>
            </w:r>
          </w:p>
        </w:tc>
        <w:tc>
          <w:tcPr>
            <w:tcW w:w="850" w:type="dxa"/>
            <w:tcBorders>
              <w:tl2br w:val="nil"/>
              <w:tr2bl w:val="nil"/>
            </w:tcBorders>
            <w:vAlign w:val="center"/>
          </w:tcPr>
          <w:p w14:paraId="2562C2E7">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台</w:t>
            </w:r>
          </w:p>
        </w:tc>
        <w:tc>
          <w:tcPr>
            <w:tcW w:w="851" w:type="dxa"/>
            <w:tcBorders>
              <w:tl2br w:val="nil"/>
              <w:tr2bl w:val="nil"/>
            </w:tcBorders>
            <w:vAlign w:val="center"/>
          </w:tcPr>
          <w:p w14:paraId="024B5189">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2</w:t>
            </w:r>
          </w:p>
        </w:tc>
        <w:tc>
          <w:tcPr>
            <w:tcW w:w="1703" w:type="dxa"/>
            <w:tcBorders>
              <w:tl2br w:val="nil"/>
              <w:tr2bl w:val="nil"/>
            </w:tcBorders>
            <w:vAlign w:val="center"/>
          </w:tcPr>
          <w:p w14:paraId="0E32D742">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200 m³</w:t>
            </w:r>
          </w:p>
        </w:tc>
        <w:tc>
          <w:tcPr>
            <w:tcW w:w="2215" w:type="dxa"/>
            <w:tcBorders>
              <w:tl2br w:val="nil"/>
              <w:tr2bl w:val="nil"/>
            </w:tcBorders>
            <w:vAlign w:val="center"/>
          </w:tcPr>
          <w:p w14:paraId="70671907">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金海鑫</w:t>
            </w:r>
          </w:p>
        </w:tc>
      </w:tr>
      <w:tr w14:paraId="6D7A42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527" w:type="dxa"/>
            <w:tcBorders>
              <w:tl2br w:val="nil"/>
              <w:tr2bl w:val="nil"/>
            </w:tcBorders>
            <w:vAlign w:val="center"/>
          </w:tcPr>
          <w:p w14:paraId="3CE23CF5">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3</w:t>
            </w:r>
          </w:p>
        </w:tc>
        <w:tc>
          <w:tcPr>
            <w:tcW w:w="2126" w:type="dxa"/>
            <w:tcBorders>
              <w:tl2br w:val="nil"/>
              <w:tr2bl w:val="nil"/>
            </w:tcBorders>
            <w:vAlign w:val="center"/>
          </w:tcPr>
          <w:p w14:paraId="77BA1E96">
            <w:pPr>
              <w:spacing w:line="360" w:lineRule="auto"/>
              <w:jc w:val="left"/>
              <w:rPr>
                <w:rFonts w:hint="eastAsia" w:ascii="仿宋" w:hAnsi="仿宋" w:eastAsia="仿宋" w:cs="仿宋"/>
                <w:color w:val="auto"/>
                <w:sz w:val="28"/>
                <w:szCs w:val="28"/>
              </w:rPr>
            </w:pPr>
            <w:r>
              <w:rPr>
                <w:rFonts w:hint="eastAsia" w:ascii="仿宋" w:hAnsi="仿宋" w:eastAsia="仿宋" w:cs="仿宋"/>
                <w:color w:val="auto"/>
                <w:sz w:val="28"/>
                <w:szCs w:val="28"/>
              </w:rPr>
              <w:t>氧气汇流排</w:t>
            </w:r>
          </w:p>
        </w:tc>
        <w:tc>
          <w:tcPr>
            <w:tcW w:w="850" w:type="dxa"/>
            <w:tcBorders>
              <w:tl2br w:val="nil"/>
              <w:tr2bl w:val="nil"/>
            </w:tcBorders>
            <w:vAlign w:val="center"/>
          </w:tcPr>
          <w:p w14:paraId="07B168B3">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组</w:t>
            </w:r>
          </w:p>
        </w:tc>
        <w:tc>
          <w:tcPr>
            <w:tcW w:w="851" w:type="dxa"/>
            <w:tcBorders>
              <w:tl2br w:val="nil"/>
              <w:tr2bl w:val="nil"/>
            </w:tcBorders>
            <w:vAlign w:val="center"/>
          </w:tcPr>
          <w:p w14:paraId="4E204E3D">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1</w:t>
            </w:r>
          </w:p>
        </w:tc>
        <w:tc>
          <w:tcPr>
            <w:tcW w:w="1703" w:type="dxa"/>
            <w:tcBorders>
              <w:tl2br w:val="nil"/>
              <w:tr2bl w:val="nil"/>
            </w:tcBorders>
            <w:vAlign w:val="center"/>
          </w:tcPr>
          <w:p w14:paraId="36FFA93E">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2×10S</w:t>
            </w:r>
          </w:p>
        </w:tc>
        <w:tc>
          <w:tcPr>
            <w:tcW w:w="2215" w:type="dxa"/>
            <w:tcBorders>
              <w:tl2br w:val="nil"/>
              <w:tr2bl w:val="nil"/>
            </w:tcBorders>
            <w:vAlign w:val="center"/>
          </w:tcPr>
          <w:p w14:paraId="74DA47FF">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w:t>
            </w:r>
          </w:p>
        </w:tc>
      </w:tr>
      <w:tr w14:paraId="0A7107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 w:hRule="atLeast"/>
          <w:jc w:val="center"/>
        </w:trPr>
        <w:tc>
          <w:tcPr>
            <w:tcW w:w="1527" w:type="dxa"/>
            <w:tcBorders>
              <w:tl2br w:val="nil"/>
              <w:tr2bl w:val="nil"/>
            </w:tcBorders>
            <w:vAlign w:val="center"/>
          </w:tcPr>
          <w:p w14:paraId="230E5D38">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4</w:t>
            </w:r>
          </w:p>
        </w:tc>
        <w:tc>
          <w:tcPr>
            <w:tcW w:w="2126" w:type="dxa"/>
            <w:tcBorders>
              <w:tl2br w:val="nil"/>
              <w:tr2bl w:val="nil"/>
            </w:tcBorders>
            <w:vAlign w:val="center"/>
          </w:tcPr>
          <w:p w14:paraId="02069177">
            <w:pPr>
              <w:pStyle w:val="2"/>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负压泵</w:t>
            </w:r>
          </w:p>
        </w:tc>
        <w:tc>
          <w:tcPr>
            <w:tcW w:w="850" w:type="dxa"/>
            <w:tcBorders>
              <w:tl2br w:val="nil"/>
              <w:tr2bl w:val="nil"/>
            </w:tcBorders>
            <w:vAlign w:val="center"/>
          </w:tcPr>
          <w:p w14:paraId="07E01297">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台</w:t>
            </w:r>
          </w:p>
        </w:tc>
        <w:tc>
          <w:tcPr>
            <w:tcW w:w="851" w:type="dxa"/>
            <w:tcBorders>
              <w:tl2br w:val="nil"/>
              <w:tr2bl w:val="nil"/>
            </w:tcBorders>
            <w:vAlign w:val="center"/>
          </w:tcPr>
          <w:p w14:paraId="39742A74">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2</w:t>
            </w:r>
          </w:p>
        </w:tc>
        <w:tc>
          <w:tcPr>
            <w:tcW w:w="1703" w:type="dxa"/>
            <w:tcBorders>
              <w:tl2br w:val="nil"/>
              <w:tr2bl w:val="nil"/>
            </w:tcBorders>
            <w:vAlign w:val="center"/>
          </w:tcPr>
          <w:p w14:paraId="1FF53EF2">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500m³/H</w:t>
            </w:r>
          </w:p>
        </w:tc>
        <w:tc>
          <w:tcPr>
            <w:tcW w:w="2215" w:type="dxa"/>
            <w:tcBorders>
              <w:tl2br w:val="nil"/>
              <w:tr2bl w:val="nil"/>
            </w:tcBorders>
            <w:vAlign w:val="center"/>
          </w:tcPr>
          <w:p w14:paraId="242D28BC">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w:t>
            </w:r>
          </w:p>
        </w:tc>
      </w:tr>
      <w:tr w14:paraId="3486D8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 w:hRule="atLeast"/>
          <w:jc w:val="center"/>
        </w:trPr>
        <w:tc>
          <w:tcPr>
            <w:tcW w:w="1527" w:type="dxa"/>
            <w:tcBorders>
              <w:tl2br w:val="nil"/>
              <w:tr2bl w:val="nil"/>
            </w:tcBorders>
            <w:vAlign w:val="center"/>
          </w:tcPr>
          <w:p w14:paraId="15144817">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5</w:t>
            </w:r>
          </w:p>
        </w:tc>
        <w:tc>
          <w:tcPr>
            <w:tcW w:w="2126" w:type="dxa"/>
            <w:tcBorders>
              <w:tl2br w:val="nil"/>
              <w:tr2bl w:val="nil"/>
            </w:tcBorders>
            <w:vAlign w:val="center"/>
          </w:tcPr>
          <w:p w14:paraId="20028944">
            <w:pPr>
              <w:pStyle w:val="2"/>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负压罐</w:t>
            </w:r>
          </w:p>
        </w:tc>
        <w:tc>
          <w:tcPr>
            <w:tcW w:w="850" w:type="dxa"/>
            <w:tcBorders>
              <w:tl2br w:val="nil"/>
              <w:tr2bl w:val="nil"/>
            </w:tcBorders>
            <w:vAlign w:val="center"/>
          </w:tcPr>
          <w:p w14:paraId="704712C4">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台</w:t>
            </w:r>
          </w:p>
        </w:tc>
        <w:tc>
          <w:tcPr>
            <w:tcW w:w="851" w:type="dxa"/>
            <w:tcBorders>
              <w:tl2br w:val="nil"/>
              <w:tr2bl w:val="nil"/>
            </w:tcBorders>
            <w:vAlign w:val="center"/>
          </w:tcPr>
          <w:p w14:paraId="11073F06">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2</w:t>
            </w:r>
          </w:p>
        </w:tc>
        <w:tc>
          <w:tcPr>
            <w:tcW w:w="1703" w:type="dxa"/>
            <w:tcBorders>
              <w:tl2br w:val="nil"/>
              <w:tr2bl w:val="nil"/>
            </w:tcBorders>
            <w:vAlign w:val="center"/>
          </w:tcPr>
          <w:p w14:paraId="7200842E">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1.5 m³</w:t>
            </w:r>
          </w:p>
        </w:tc>
        <w:tc>
          <w:tcPr>
            <w:tcW w:w="2215" w:type="dxa"/>
            <w:tcBorders>
              <w:tl2br w:val="nil"/>
              <w:tr2bl w:val="nil"/>
            </w:tcBorders>
            <w:vAlign w:val="center"/>
          </w:tcPr>
          <w:p w14:paraId="7F27B4B6">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w:t>
            </w:r>
          </w:p>
        </w:tc>
      </w:tr>
      <w:tr w14:paraId="4BFC71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527" w:type="dxa"/>
            <w:tcBorders>
              <w:tl2br w:val="nil"/>
              <w:tr2bl w:val="nil"/>
            </w:tcBorders>
            <w:vAlign w:val="center"/>
          </w:tcPr>
          <w:p w14:paraId="6ED95B46">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6</w:t>
            </w:r>
          </w:p>
        </w:tc>
        <w:tc>
          <w:tcPr>
            <w:tcW w:w="2126" w:type="dxa"/>
            <w:tcBorders>
              <w:tl2br w:val="nil"/>
              <w:tr2bl w:val="nil"/>
            </w:tcBorders>
            <w:vAlign w:val="center"/>
          </w:tcPr>
          <w:p w14:paraId="07BBDFDA">
            <w:pPr>
              <w:pStyle w:val="2"/>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空压机</w:t>
            </w:r>
          </w:p>
        </w:tc>
        <w:tc>
          <w:tcPr>
            <w:tcW w:w="850" w:type="dxa"/>
            <w:tcBorders>
              <w:tl2br w:val="nil"/>
              <w:tr2bl w:val="nil"/>
            </w:tcBorders>
            <w:vAlign w:val="center"/>
          </w:tcPr>
          <w:p w14:paraId="5E3177E6">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台</w:t>
            </w:r>
          </w:p>
        </w:tc>
        <w:tc>
          <w:tcPr>
            <w:tcW w:w="851" w:type="dxa"/>
            <w:tcBorders>
              <w:tl2br w:val="nil"/>
              <w:tr2bl w:val="nil"/>
            </w:tcBorders>
            <w:vAlign w:val="center"/>
          </w:tcPr>
          <w:p w14:paraId="4C8C890B">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2</w:t>
            </w:r>
          </w:p>
        </w:tc>
        <w:tc>
          <w:tcPr>
            <w:tcW w:w="1703" w:type="dxa"/>
            <w:tcBorders>
              <w:tl2br w:val="nil"/>
              <w:tr2bl w:val="nil"/>
            </w:tcBorders>
            <w:vAlign w:val="center"/>
          </w:tcPr>
          <w:p w14:paraId="76F66A17">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180m³/H</w:t>
            </w:r>
          </w:p>
        </w:tc>
        <w:tc>
          <w:tcPr>
            <w:tcW w:w="2215" w:type="dxa"/>
            <w:tcBorders>
              <w:tl2br w:val="nil"/>
              <w:tr2bl w:val="nil"/>
            </w:tcBorders>
            <w:vAlign w:val="center"/>
          </w:tcPr>
          <w:p w14:paraId="61A0B866">
            <w:pPr>
              <w:spacing w:line="360" w:lineRule="auto"/>
              <w:jc w:val="center"/>
              <w:rPr>
                <w:rFonts w:hint="eastAsia" w:ascii="仿宋" w:hAnsi="仿宋" w:eastAsia="仿宋" w:cs="仿宋"/>
                <w:color w:val="auto"/>
                <w:sz w:val="28"/>
                <w:szCs w:val="28"/>
              </w:rPr>
            </w:pPr>
          </w:p>
        </w:tc>
      </w:tr>
      <w:tr w14:paraId="7CB260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527" w:type="dxa"/>
            <w:tcBorders>
              <w:tl2br w:val="nil"/>
              <w:tr2bl w:val="nil"/>
            </w:tcBorders>
            <w:vAlign w:val="center"/>
          </w:tcPr>
          <w:p w14:paraId="39B8AB4A">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7</w:t>
            </w:r>
          </w:p>
        </w:tc>
        <w:tc>
          <w:tcPr>
            <w:tcW w:w="2126" w:type="dxa"/>
            <w:tcBorders>
              <w:tl2br w:val="nil"/>
              <w:tr2bl w:val="nil"/>
            </w:tcBorders>
            <w:vAlign w:val="center"/>
          </w:tcPr>
          <w:p w14:paraId="41936FA0">
            <w:pPr>
              <w:pStyle w:val="2"/>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冷干机</w:t>
            </w:r>
          </w:p>
        </w:tc>
        <w:tc>
          <w:tcPr>
            <w:tcW w:w="850" w:type="dxa"/>
            <w:tcBorders>
              <w:tl2br w:val="nil"/>
              <w:tr2bl w:val="nil"/>
            </w:tcBorders>
            <w:vAlign w:val="center"/>
          </w:tcPr>
          <w:p w14:paraId="5B2860C8">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台</w:t>
            </w:r>
          </w:p>
        </w:tc>
        <w:tc>
          <w:tcPr>
            <w:tcW w:w="851" w:type="dxa"/>
            <w:tcBorders>
              <w:tl2br w:val="nil"/>
              <w:tr2bl w:val="nil"/>
            </w:tcBorders>
            <w:vAlign w:val="center"/>
          </w:tcPr>
          <w:p w14:paraId="123FF540">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2</w:t>
            </w:r>
          </w:p>
        </w:tc>
        <w:tc>
          <w:tcPr>
            <w:tcW w:w="1703" w:type="dxa"/>
            <w:tcBorders>
              <w:tl2br w:val="nil"/>
              <w:tr2bl w:val="nil"/>
            </w:tcBorders>
            <w:vAlign w:val="center"/>
          </w:tcPr>
          <w:p w14:paraId="36ABBDBE">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200 m³/H</w:t>
            </w:r>
          </w:p>
        </w:tc>
        <w:tc>
          <w:tcPr>
            <w:tcW w:w="2215" w:type="dxa"/>
            <w:tcBorders>
              <w:tl2br w:val="nil"/>
              <w:tr2bl w:val="nil"/>
            </w:tcBorders>
            <w:vAlign w:val="center"/>
          </w:tcPr>
          <w:p w14:paraId="1B433503">
            <w:pPr>
              <w:spacing w:line="360" w:lineRule="auto"/>
              <w:jc w:val="center"/>
              <w:rPr>
                <w:rFonts w:hint="eastAsia" w:ascii="仿宋" w:hAnsi="仿宋" w:eastAsia="仿宋" w:cs="仿宋"/>
                <w:color w:val="auto"/>
                <w:sz w:val="28"/>
                <w:szCs w:val="28"/>
              </w:rPr>
            </w:pPr>
          </w:p>
        </w:tc>
      </w:tr>
      <w:tr w14:paraId="5791CC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527" w:type="dxa"/>
            <w:tcBorders>
              <w:tl2br w:val="nil"/>
              <w:tr2bl w:val="nil"/>
            </w:tcBorders>
            <w:vAlign w:val="center"/>
          </w:tcPr>
          <w:p w14:paraId="78F2A11A">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8</w:t>
            </w:r>
          </w:p>
        </w:tc>
        <w:tc>
          <w:tcPr>
            <w:tcW w:w="2126" w:type="dxa"/>
            <w:tcBorders>
              <w:tl2br w:val="nil"/>
              <w:tr2bl w:val="nil"/>
            </w:tcBorders>
            <w:vAlign w:val="center"/>
          </w:tcPr>
          <w:p w14:paraId="56C8145B">
            <w:pPr>
              <w:pStyle w:val="2"/>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空气罐</w:t>
            </w:r>
          </w:p>
        </w:tc>
        <w:tc>
          <w:tcPr>
            <w:tcW w:w="850" w:type="dxa"/>
            <w:tcBorders>
              <w:tl2br w:val="nil"/>
              <w:tr2bl w:val="nil"/>
            </w:tcBorders>
            <w:vAlign w:val="center"/>
          </w:tcPr>
          <w:p w14:paraId="6642AC9D">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台</w:t>
            </w:r>
          </w:p>
        </w:tc>
        <w:tc>
          <w:tcPr>
            <w:tcW w:w="851" w:type="dxa"/>
            <w:tcBorders>
              <w:tl2br w:val="nil"/>
              <w:tr2bl w:val="nil"/>
            </w:tcBorders>
            <w:vAlign w:val="center"/>
          </w:tcPr>
          <w:p w14:paraId="08088F64">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2</w:t>
            </w:r>
          </w:p>
        </w:tc>
        <w:tc>
          <w:tcPr>
            <w:tcW w:w="1703" w:type="dxa"/>
            <w:tcBorders>
              <w:tl2br w:val="nil"/>
              <w:tr2bl w:val="nil"/>
            </w:tcBorders>
            <w:vAlign w:val="center"/>
          </w:tcPr>
          <w:p w14:paraId="5B40594B">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1.5m³/H</w:t>
            </w:r>
          </w:p>
        </w:tc>
        <w:tc>
          <w:tcPr>
            <w:tcW w:w="2215" w:type="dxa"/>
            <w:tcBorders>
              <w:tl2br w:val="nil"/>
              <w:tr2bl w:val="nil"/>
            </w:tcBorders>
            <w:vAlign w:val="center"/>
          </w:tcPr>
          <w:p w14:paraId="0A153366">
            <w:pPr>
              <w:spacing w:line="360" w:lineRule="auto"/>
              <w:jc w:val="center"/>
              <w:rPr>
                <w:rFonts w:hint="eastAsia" w:ascii="仿宋" w:hAnsi="仿宋" w:eastAsia="仿宋" w:cs="仿宋"/>
                <w:color w:val="auto"/>
                <w:sz w:val="28"/>
                <w:szCs w:val="28"/>
              </w:rPr>
            </w:pPr>
          </w:p>
        </w:tc>
      </w:tr>
      <w:tr w14:paraId="719A63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1527" w:type="dxa"/>
            <w:tcBorders>
              <w:tl2br w:val="nil"/>
              <w:tr2bl w:val="nil"/>
            </w:tcBorders>
            <w:vAlign w:val="center"/>
          </w:tcPr>
          <w:p w14:paraId="2C77EB64">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9</w:t>
            </w:r>
          </w:p>
        </w:tc>
        <w:tc>
          <w:tcPr>
            <w:tcW w:w="2126" w:type="dxa"/>
            <w:tcBorders>
              <w:tl2br w:val="nil"/>
              <w:tr2bl w:val="nil"/>
            </w:tcBorders>
            <w:vAlign w:val="center"/>
          </w:tcPr>
          <w:p w14:paraId="155BD9D0">
            <w:pPr>
              <w:pStyle w:val="2"/>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氧气浓度报警仪</w:t>
            </w:r>
          </w:p>
        </w:tc>
        <w:tc>
          <w:tcPr>
            <w:tcW w:w="850" w:type="dxa"/>
            <w:tcBorders>
              <w:tl2br w:val="nil"/>
              <w:tr2bl w:val="nil"/>
            </w:tcBorders>
            <w:vAlign w:val="center"/>
          </w:tcPr>
          <w:p w14:paraId="54D8F18E">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套</w:t>
            </w:r>
          </w:p>
        </w:tc>
        <w:tc>
          <w:tcPr>
            <w:tcW w:w="851" w:type="dxa"/>
            <w:tcBorders>
              <w:tl2br w:val="nil"/>
              <w:tr2bl w:val="nil"/>
            </w:tcBorders>
            <w:vAlign w:val="center"/>
          </w:tcPr>
          <w:p w14:paraId="60D34C74">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1</w:t>
            </w:r>
          </w:p>
        </w:tc>
        <w:tc>
          <w:tcPr>
            <w:tcW w:w="1703" w:type="dxa"/>
            <w:tcBorders>
              <w:tl2br w:val="nil"/>
              <w:tr2bl w:val="nil"/>
            </w:tcBorders>
            <w:vAlign w:val="center"/>
          </w:tcPr>
          <w:p w14:paraId="3BD489DD">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电子</w:t>
            </w:r>
          </w:p>
        </w:tc>
        <w:tc>
          <w:tcPr>
            <w:tcW w:w="2215" w:type="dxa"/>
            <w:tcBorders>
              <w:tl2br w:val="nil"/>
              <w:tr2bl w:val="nil"/>
            </w:tcBorders>
            <w:vAlign w:val="center"/>
          </w:tcPr>
          <w:p w14:paraId="21DE1B52">
            <w:pPr>
              <w:spacing w:line="360" w:lineRule="auto"/>
              <w:jc w:val="center"/>
              <w:rPr>
                <w:rFonts w:hint="eastAsia" w:ascii="仿宋" w:hAnsi="仿宋" w:eastAsia="仿宋" w:cs="仿宋"/>
                <w:color w:val="auto"/>
                <w:sz w:val="28"/>
                <w:szCs w:val="28"/>
              </w:rPr>
            </w:pPr>
          </w:p>
        </w:tc>
      </w:tr>
      <w:tr w14:paraId="758A52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527" w:type="dxa"/>
            <w:tcBorders>
              <w:tl2br w:val="nil"/>
              <w:tr2bl w:val="nil"/>
            </w:tcBorders>
            <w:vAlign w:val="center"/>
          </w:tcPr>
          <w:p w14:paraId="5380C715">
            <w:pPr>
              <w:spacing w:line="360" w:lineRule="auto"/>
              <w:jc w:val="center"/>
              <w:rPr>
                <w:rFonts w:hint="eastAsia" w:ascii="仿宋" w:hAnsi="仿宋" w:eastAsia="仿宋" w:cs="仿宋"/>
                <w:color w:val="auto"/>
                <w:sz w:val="28"/>
                <w:szCs w:val="28"/>
              </w:rPr>
            </w:pPr>
          </w:p>
        </w:tc>
        <w:tc>
          <w:tcPr>
            <w:tcW w:w="7745" w:type="dxa"/>
            <w:gridSpan w:val="5"/>
            <w:tcBorders>
              <w:tl2br w:val="nil"/>
              <w:tr2bl w:val="nil"/>
            </w:tcBorders>
            <w:vAlign w:val="center"/>
          </w:tcPr>
          <w:p w14:paraId="0EF11127">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病房医用气体系统</w:t>
            </w:r>
          </w:p>
        </w:tc>
      </w:tr>
      <w:tr w14:paraId="7D6423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527" w:type="dxa"/>
            <w:tcBorders>
              <w:tl2br w:val="nil"/>
              <w:tr2bl w:val="nil"/>
            </w:tcBorders>
            <w:vAlign w:val="center"/>
          </w:tcPr>
          <w:p w14:paraId="03E85458">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10</w:t>
            </w:r>
          </w:p>
        </w:tc>
        <w:tc>
          <w:tcPr>
            <w:tcW w:w="2126" w:type="dxa"/>
            <w:tcBorders>
              <w:tl2br w:val="nil"/>
              <w:tr2bl w:val="nil"/>
            </w:tcBorders>
            <w:vAlign w:val="center"/>
          </w:tcPr>
          <w:p w14:paraId="3D37DF7A">
            <w:pPr>
              <w:pStyle w:val="2"/>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氧气终端</w:t>
            </w:r>
          </w:p>
        </w:tc>
        <w:tc>
          <w:tcPr>
            <w:tcW w:w="850" w:type="dxa"/>
            <w:tcBorders>
              <w:tl2br w:val="nil"/>
              <w:tr2bl w:val="nil"/>
            </w:tcBorders>
            <w:vAlign w:val="center"/>
          </w:tcPr>
          <w:p w14:paraId="479546AD">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套</w:t>
            </w:r>
          </w:p>
        </w:tc>
        <w:tc>
          <w:tcPr>
            <w:tcW w:w="851" w:type="dxa"/>
            <w:tcBorders>
              <w:tl2br w:val="nil"/>
              <w:tr2bl w:val="nil"/>
            </w:tcBorders>
            <w:vAlign w:val="center"/>
          </w:tcPr>
          <w:p w14:paraId="2A040EBC">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1</w:t>
            </w:r>
          </w:p>
        </w:tc>
        <w:tc>
          <w:tcPr>
            <w:tcW w:w="1703" w:type="dxa"/>
            <w:tcBorders>
              <w:tl2br w:val="nil"/>
              <w:tr2bl w:val="nil"/>
            </w:tcBorders>
            <w:vAlign w:val="center"/>
          </w:tcPr>
          <w:p w14:paraId="4BC6101D">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约1300</w:t>
            </w:r>
          </w:p>
        </w:tc>
        <w:tc>
          <w:tcPr>
            <w:tcW w:w="2215" w:type="dxa"/>
            <w:tcBorders>
              <w:tl2br w:val="nil"/>
              <w:tr2bl w:val="nil"/>
            </w:tcBorders>
            <w:vAlign w:val="center"/>
          </w:tcPr>
          <w:p w14:paraId="2080CD9E">
            <w:pPr>
              <w:spacing w:line="360" w:lineRule="auto"/>
              <w:jc w:val="center"/>
              <w:rPr>
                <w:rFonts w:hint="eastAsia" w:ascii="仿宋" w:hAnsi="仿宋" w:eastAsia="仿宋" w:cs="仿宋"/>
                <w:color w:val="auto"/>
                <w:sz w:val="28"/>
                <w:szCs w:val="28"/>
              </w:rPr>
            </w:pPr>
          </w:p>
        </w:tc>
      </w:tr>
      <w:tr w14:paraId="4E69CC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527" w:type="dxa"/>
            <w:tcBorders>
              <w:tl2br w:val="nil"/>
              <w:tr2bl w:val="nil"/>
            </w:tcBorders>
            <w:vAlign w:val="center"/>
          </w:tcPr>
          <w:p w14:paraId="0176DC79">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11</w:t>
            </w:r>
          </w:p>
        </w:tc>
        <w:tc>
          <w:tcPr>
            <w:tcW w:w="2126" w:type="dxa"/>
            <w:tcBorders>
              <w:tl2br w:val="nil"/>
              <w:tr2bl w:val="nil"/>
            </w:tcBorders>
            <w:vAlign w:val="center"/>
          </w:tcPr>
          <w:p w14:paraId="5326B7AB">
            <w:pPr>
              <w:pStyle w:val="2"/>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负压终端</w:t>
            </w:r>
          </w:p>
        </w:tc>
        <w:tc>
          <w:tcPr>
            <w:tcW w:w="850" w:type="dxa"/>
            <w:tcBorders>
              <w:tl2br w:val="nil"/>
              <w:tr2bl w:val="nil"/>
            </w:tcBorders>
            <w:vAlign w:val="center"/>
          </w:tcPr>
          <w:p w14:paraId="79C89D09">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套</w:t>
            </w:r>
          </w:p>
        </w:tc>
        <w:tc>
          <w:tcPr>
            <w:tcW w:w="851" w:type="dxa"/>
            <w:tcBorders>
              <w:tl2br w:val="nil"/>
              <w:tr2bl w:val="nil"/>
            </w:tcBorders>
            <w:vAlign w:val="center"/>
          </w:tcPr>
          <w:p w14:paraId="79A35622">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1</w:t>
            </w:r>
          </w:p>
        </w:tc>
        <w:tc>
          <w:tcPr>
            <w:tcW w:w="1703" w:type="dxa"/>
            <w:tcBorders>
              <w:tl2br w:val="nil"/>
              <w:tr2bl w:val="nil"/>
            </w:tcBorders>
            <w:vAlign w:val="center"/>
          </w:tcPr>
          <w:p w14:paraId="5C839027">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约1300</w:t>
            </w:r>
          </w:p>
        </w:tc>
        <w:tc>
          <w:tcPr>
            <w:tcW w:w="2215" w:type="dxa"/>
            <w:tcBorders>
              <w:tl2br w:val="nil"/>
              <w:tr2bl w:val="nil"/>
            </w:tcBorders>
            <w:vAlign w:val="center"/>
          </w:tcPr>
          <w:p w14:paraId="1B172B20">
            <w:pPr>
              <w:spacing w:line="360" w:lineRule="auto"/>
              <w:jc w:val="center"/>
              <w:rPr>
                <w:rFonts w:hint="eastAsia" w:ascii="仿宋" w:hAnsi="仿宋" w:eastAsia="仿宋" w:cs="仿宋"/>
                <w:color w:val="auto"/>
                <w:sz w:val="28"/>
                <w:szCs w:val="28"/>
              </w:rPr>
            </w:pPr>
          </w:p>
        </w:tc>
      </w:tr>
      <w:tr w14:paraId="4E49B9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527" w:type="dxa"/>
            <w:tcBorders>
              <w:tl2br w:val="nil"/>
              <w:tr2bl w:val="nil"/>
            </w:tcBorders>
            <w:vAlign w:val="center"/>
          </w:tcPr>
          <w:p w14:paraId="58E0056E">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12</w:t>
            </w:r>
          </w:p>
        </w:tc>
        <w:tc>
          <w:tcPr>
            <w:tcW w:w="2126" w:type="dxa"/>
            <w:tcBorders>
              <w:tl2br w:val="nil"/>
              <w:tr2bl w:val="nil"/>
            </w:tcBorders>
            <w:vAlign w:val="center"/>
          </w:tcPr>
          <w:p w14:paraId="1A7B9984">
            <w:pPr>
              <w:pStyle w:val="2"/>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空气终端</w:t>
            </w:r>
          </w:p>
        </w:tc>
        <w:tc>
          <w:tcPr>
            <w:tcW w:w="850" w:type="dxa"/>
            <w:tcBorders>
              <w:tl2br w:val="nil"/>
              <w:tr2bl w:val="nil"/>
            </w:tcBorders>
            <w:vAlign w:val="center"/>
          </w:tcPr>
          <w:p w14:paraId="47E3C679">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套</w:t>
            </w:r>
          </w:p>
        </w:tc>
        <w:tc>
          <w:tcPr>
            <w:tcW w:w="851" w:type="dxa"/>
            <w:tcBorders>
              <w:tl2br w:val="nil"/>
              <w:tr2bl w:val="nil"/>
            </w:tcBorders>
            <w:vAlign w:val="center"/>
          </w:tcPr>
          <w:p w14:paraId="71D37D02">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1</w:t>
            </w:r>
          </w:p>
        </w:tc>
        <w:tc>
          <w:tcPr>
            <w:tcW w:w="1703" w:type="dxa"/>
            <w:tcBorders>
              <w:tl2br w:val="nil"/>
              <w:tr2bl w:val="nil"/>
            </w:tcBorders>
            <w:vAlign w:val="center"/>
          </w:tcPr>
          <w:p w14:paraId="0A500BF3">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约300</w:t>
            </w:r>
          </w:p>
        </w:tc>
        <w:tc>
          <w:tcPr>
            <w:tcW w:w="2215" w:type="dxa"/>
            <w:tcBorders>
              <w:tl2br w:val="nil"/>
              <w:tr2bl w:val="nil"/>
            </w:tcBorders>
            <w:vAlign w:val="center"/>
          </w:tcPr>
          <w:p w14:paraId="506FE54D">
            <w:pPr>
              <w:spacing w:line="360" w:lineRule="auto"/>
              <w:jc w:val="center"/>
              <w:rPr>
                <w:rFonts w:hint="eastAsia" w:ascii="仿宋" w:hAnsi="仿宋" w:eastAsia="仿宋" w:cs="仿宋"/>
                <w:color w:val="auto"/>
                <w:sz w:val="28"/>
                <w:szCs w:val="28"/>
              </w:rPr>
            </w:pPr>
          </w:p>
        </w:tc>
      </w:tr>
      <w:tr w14:paraId="673CD8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527" w:type="dxa"/>
            <w:tcBorders>
              <w:tl2br w:val="nil"/>
              <w:tr2bl w:val="nil"/>
            </w:tcBorders>
            <w:vAlign w:val="center"/>
          </w:tcPr>
          <w:p w14:paraId="61C2815B">
            <w:pPr>
              <w:spacing w:line="360" w:lineRule="auto"/>
              <w:jc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13</w:t>
            </w:r>
          </w:p>
        </w:tc>
        <w:tc>
          <w:tcPr>
            <w:tcW w:w="2126" w:type="dxa"/>
            <w:tcBorders>
              <w:tl2br w:val="nil"/>
              <w:tr2bl w:val="nil"/>
            </w:tcBorders>
            <w:vAlign w:val="center"/>
          </w:tcPr>
          <w:p w14:paraId="2FC1AF87">
            <w:pPr>
              <w:pStyle w:val="2"/>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呼叫分机</w:t>
            </w:r>
          </w:p>
        </w:tc>
        <w:tc>
          <w:tcPr>
            <w:tcW w:w="850" w:type="dxa"/>
            <w:tcBorders>
              <w:tl2br w:val="nil"/>
              <w:tr2bl w:val="nil"/>
            </w:tcBorders>
            <w:vAlign w:val="center"/>
          </w:tcPr>
          <w:p w14:paraId="6B0B927F">
            <w:pPr>
              <w:spacing w:line="360" w:lineRule="auto"/>
              <w:ind w:firstLine="280" w:firstLineChars="100"/>
              <w:rPr>
                <w:rFonts w:hint="eastAsia" w:ascii="仿宋" w:hAnsi="仿宋" w:eastAsia="仿宋" w:cs="仿宋"/>
                <w:color w:val="auto"/>
                <w:sz w:val="28"/>
                <w:szCs w:val="28"/>
              </w:rPr>
            </w:pPr>
            <w:r>
              <w:rPr>
                <w:rFonts w:hint="eastAsia" w:ascii="仿宋" w:hAnsi="仿宋" w:eastAsia="仿宋" w:cs="仿宋"/>
                <w:color w:val="auto"/>
                <w:sz w:val="28"/>
                <w:szCs w:val="28"/>
              </w:rPr>
              <w:t>台</w:t>
            </w:r>
          </w:p>
        </w:tc>
        <w:tc>
          <w:tcPr>
            <w:tcW w:w="851" w:type="dxa"/>
            <w:tcBorders>
              <w:tl2br w:val="nil"/>
              <w:tr2bl w:val="nil"/>
            </w:tcBorders>
            <w:vAlign w:val="center"/>
          </w:tcPr>
          <w:p w14:paraId="6D6A1334">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1</w:t>
            </w:r>
          </w:p>
        </w:tc>
        <w:tc>
          <w:tcPr>
            <w:tcW w:w="1703" w:type="dxa"/>
            <w:tcBorders>
              <w:tl2br w:val="nil"/>
              <w:tr2bl w:val="nil"/>
            </w:tcBorders>
            <w:vAlign w:val="center"/>
          </w:tcPr>
          <w:p w14:paraId="078446EA">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约1200</w:t>
            </w:r>
          </w:p>
        </w:tc>
        <w:tc>
          <w:tcPr>
            <w:tcW w:w="2215" w:type="dxa"/>
            <w:tcBorders>
              <w:tl2br w:val="nil"/>
              <w:tr2bl w:val="nil"/>
            </w:tcBorders>
            <w:vAlign w:val="center"/>
          </w:tcPr>
          <w:p w14:paraId="601512FA">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亚华</w:t>
            </w:r>
          </w:p>
        </w:tc>
      </w:tr>
      <w:tr w14:paraId="149F3F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527" w:type="dxa"/>
            <w:tcBorders>
              <w:tl2br w:val="nil"/>
              <w:tr2bl w:val="nil"/>
            </w:tcBorders>
            <w:vAlign w:val="center"/>
          </w:tcPr>
          <w:p w14:paraId="61FD9E8C">
            <w:pPr>
              <w:spacing w:line="360" w:lineRule="auto"/>
              <w:jc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1</w:t>
            </w:r>
            <w:r>
              <w:rPr>
                <w:rFonts w:hint="eastAsia" w:ascii="仿宋" w:hAnsi="仿宋" w:eastAsia="仿宋" w:cs="仿宋"/>
                <w:color w:val="auto"/>
                <w:sz w:val="28"/>
                <w:szCs w:val="28"/>
                <w:lang w:val="en-US" w:eastAsia="zh-CN"/>
              </w:rPr>
              <w:t>4</w:t>
            </w:r>
          </w:p>
        </w:tc>
        <w:tc>
          <w:tcPr>
            <w:tcW w:w="2126" w:type="dxa"/>
            <w:tcBorders>
              <w:tl2br w:val="nil"/>
              <w:tr2bl w:val="nil"/>
            </w:tcBorders>
            <w:vAlign w:val="center"/>
          </w:tcPr>
          <w:p w14:paraId="4FEA01F0">
            <w:pPr>
              <w:pStyle w:val="2"/>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防水分机</w:t>
            </w:r>
          </w:p>
        </w:tc>
        <w:tc>
          <w:tcPr>
            <w:tcW w:w="850" w:type="dxa"/>
            <w:tcBorders>
              <w:tl2br w:val="nil"/>
              <w:tr2bl w:val="nil"/>
            </w:tcBorders>
            <w:vAlign w:val="center"/>
          </w:tcPr>
          <w:p w14:paraId="09EFFF0F">
            <w:pPr>
              <w:spacing w:line="360" w:lineRule="auto"/>
              <w:ind w:firstLine="280" w:firstLineChars="100"/>
              <w:rPr>
                <w:rFonts w:hint="eastAsia" w:ascii="仿宋" w:hAnsi="仿宋" w:eastAsia="仿宋" w:cs="仿宋"/>
                <w:color w:val="auto"/>
                <w:sz w:val="28"/>
                <w:szCs w:val="28"/>
              </w:rPr>
            </w:pPr>
            <w:r>
              <w:rPr>
                <w:rFonts w:hint="eastAsia" w:ascii="仿宋" w:hAnsi="仿宋" w:eastAsia="仿宋" w:cs="仿宋"/>
                <w:color w:val="auto"/>
                <w:sz w:val="28"/>
                <w:szCs w:val="28"/>
              </w:rPr>
              <w:t>台</w:t>
            </w:r>
          </w:p>
        </w:tc>
        <w:tc>
          <w:tcPr>
            <w:tcW w:w="851" w:type="dxa"/>
            <w:tcBorders>
              <w:tl2br w:val="nil"/>
              <w:tr2bl w:val="nil"/>
            </w:tcBorders>
            <w:vAlign w:val="center"/>
          </w:tcPr>
          <w:p w14:paraId="76DEE412">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1</w:t>
            </w:r>
          </w:p>
        </w:tc>
        <w:tc>
          <w:tcPr>
            <w:tcW w:w="1703" w:type="dxa"/>
            <w:tcBorders>
              <w:tl2br w:val="nil"/>
              <w:tr2bl w:val="nil"/>
            </w:tcBorders>
            <w:vAlign w:val="center"/>
          </w:tcPr>
          <w:p w14:paraId="7306528A">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约400</w:t>
            </w:r>
          </w:p>
        </w:tc>
        <w:tc>
          <w:tcPr>
            <w:tcW w:w="2215" w:type="dxa"/>
            <w:tcBorders>
              <w:tl2br w:val="nil"/>
              <w:tr2bl w:val="nil"/>
            </w:tcBorders>
            <w:vAlign w:val="center"/>
          </w:tcPr>
          <w:p w14:paraId="51786F18">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亚华</w:t>
            </w:r>
          </w:p>
        </w:tc>
      </w:tr>
      <w:tr w14:paraId="72F150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527" w:type="dxa"/>
            <w:tcBorders>
              <w:tl2br w:val="nil"/>
              <w:tr2bl w:val="nil"/>
            </w:tcBorders>
            <w:vAlign w:val="center"/>
          </w:tcPr>
          <w:p w14:paraId="25A187AB">
            <w:pPr>
              <w:spacing w:line="360" w:lineRule="auto"/>
              <w:jc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1</w:t>
            </w:r>
            <w:r>
              <w:rPr>
                <w:rFonts w:hint="eastAsia" w:ascii="仿宋" w:hAnsi="仿宋" w:eastAsia="仿宋" w:cs="仿宋"/>
                <w:color w:val="auto"/>
                <w:sz w:val="28"/>
                <w:szCs w:val="28"/>
                <w:lang w:val="en-US" w:eastAsia="zh-CN"/>
              </w:rPr>
              <w:t>5</w:t>
            </w:r>
          </w:p>
        </w:tc>
        <w:tc>
          <w:tcPr>
            <w:tcW w:w="2126" w:type="dxa"/>
            <w:tcBorders>
              <w:tl2br w:val="nil"/>
              <w:tr2bl w:val="nil"/>
            </w:tcBorders>
            <w:vAlign w:val="center"/>
          </w:tcPr>
          <w:p w14:paraId="38B9B6AB">
            <w:pPr>
              <w:pStyle w:val="2"/>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呼叫主机</w:t>
            </w:r>
          </w:p>
        </w:tc>
        <w:tc>
          <w:tcPr>
            <w:tcW w:w="850" w:type="dxa"/>
            <w:tcBorders>
              <w:tl2br w:val="nil"/>
              <w:tr2bl w:val="nil"/>
            </w:tcBorders>
            <w:vAlign w:val="center"/>
          </w:tcPr>
          <w:p w14:paraId="5AC40626">
            <w:pPr>
              <w:spacing w:line="360" w:lineRule="auto"/>
              <w:ind w:firstLine="280" w:firstLineChars="100"/>
              <w:rPr>
                <w:rFonts w:hint="eastAsia" w:ascii="仿宋" w:hAnsi="仿宋" w:eastAsia="仿宋" w:cs="仿宋"/>
                <w:color w:val="auto"/>
                <w:sz w:val="28"/>
                <w:szCs w:val="28"/>
              </w:rPr>
            </w:pPr>
            <w:r>
              <w:rPr>
                <w:rFonts w:hint="eastAsia" w:ascii="仿宋" w:hAnsi="仿宋" w:eastAsia="仿宋" w:cs="仿宋"/>
                <w:color w:val="auto"/>
                <w:sz w:val="28"/>
                <w:szCs w:val="28"/>
              </w:rPr>
              <w:t>台</w:t>
            </w:r>
          </w:p>
        </w:tc>
        <w:tc>
          <w:tcPr>
            <w:tcW w:w="851" w:type="dxa"/>
            <w:tcBorders>
              <w:tl2br w:val="nil"/>
              <w:tr2bl w:val="nil"/>
            </w:tcBorders>
            <w:vAlign w:val="center"/>
          </w:tcPr>
          <w:p w14:paraId="6164FC9A">
            <w:pPr>
              <w:spacing w:line="360" w:lineRule="auto"/>
              <w:jc w:val="center"/>
              <w:rPr>
                <w:rFonts w:hint="eastAsia" w:ascii="仿宋" w:hAnsi="仿宋" w:eastAsia="仿宋" w:cs="仿宋"/>
                <w:color w:val="auto"/>
                <w:sz w:val="28"/>
                <w:szCs w:val="28"/>
              </w:rPr>
            </w:pPr>
          </w:p>
        </w:tc>
        <w:tc>
          <w:tcPr>
            <w:tcW w:w="1703" w:type="dxa"/>
            <w:tcBorders>
              <w:tl2br w:val="nil"/>
              <w:tr2bl w:val="nil"/>
            </w:tcBorders>
            <w:vAlign w:val="center"/>
          </w:tcPr>
          <w:p w14:paraId="3E879BE9">
            <w:pPr>
              <w:spacing w:line="360" w:lineRule="auto"/>
              <w:jc w:val="center"/>
              <w:rPr>
                <w:rFonts w:hint="eastAsia" w:ascii="仿宋" w:hAnsi="仿宋" w:eastAsia="仿宋" w:cs="仿宋"/>
                <w:color w:val="auto"/>
                <w:sz w:val="28"/>
                <w:szCs w:val="28"/>
              </w:rPr>
            </w:pPr>
          </w:p>
        </w:tc>
        <w:tc>
          <w:tcPr>
            <w:tcW w:w="2215" w:type="dxa"/>
            <w:tcBorders>
              <w:tl2br w:val="nil"/>
              <w:tr2bl w:val="nil"/>
            </w:tcBorders>
            <w:vAlign w:val="center"/>
          </w:tcPr>
          <w:p w14:paraId="4D99DD4C">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亚华</w:t>
            </w:r>
          </w:p>
        </w:tc>
      </w:tr>
      <w:tr w14:paraId="5D8A6F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527" w:type="dxa"/>
            <w:tcBorders>
              <w:tl2br w:val="nil"/>
              <w:tr2bl w:val="nil"/>
            </w:tcBorders>
            <w:vAlign w:val="center"/>
          </w:tcPr>
          <w:p w14:paraId="3B97BB32">
            <w:pPr>
              <w:spacing w:line="360" w:lineRule="auto"/>
              <w:jc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1</w:t>
            </w:r>
            <w:r>
              <w:rPr>
                <w:rFonts w:hint="eastAsia" w:ascii="仿宋" w:hAnsi="仿宋" w:eastAsia="仿宋" w:cs="仿宋"/>
                <w:color w:val="auto"/>
                <w:sz w:val="28"/>
                <w:szCs w:val="28"/>
                <w:lang w:val="en-US" w:eastAsia="zh-CN"/>
              </w:rPr>
              <w:t>6</w:t>
            </w:r>
          </w:p>
        </w:tc>
        <w:tc>
          <w:tcPr>
            <w:tcW w:w="2126" w:type="dxa"/>
            <w:tcBorders>
              <w:tl2br w:val="nil"/>
              <w:tr2bl w:val="nil"/>
            </w:tcBorders>
            <w:vAlign w:val="center"/>
          </w:tcPr>
          <w:p w14:paraId="4568E403">
            <w:pPr>
              <w:pStyle w:val="2"/>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呼叫显示屏</w:t>
            </w:r>
          </w:p>
        </w:tc>
        <w:tc>
          <w:tcPr>
            <w:tcW w:w="850" w:type="dxa"/>
            <w:tcBorders>
              <w:tl2br w:val="nil"/>
              <w:tr2bl w:val="nil"/>
            </w:tcBorders>
            <w:vAlign w:val="center"/>
          </w:tcPr>
          <w:p w14:paraId="65A71929">
            <w:pPr>
              <w:spacing w:line="360" w:lineRule="auto"/>
              <w:ind w:firstLine="280" w:firstLineChars="100"/>
              <w:rPr>
                <w:rFonts w:hint="eastAsia" w:ascii="仿宋" w:hAnsi="仿宋" w:eastAsia="仿宋" w:cs="仿宋"/>
                <w:color w:val="auto"/>
                <w:sz w:val="28"/>
                <w:szCs w:val="28"/>
              </w:rPr>
            </w:pPr>
            <w:r>
              <w:rPr>
                <w:rFonts w:hint="eastAsia" w:ascii="仿宋" w:hAnsi="仿宋" w:eastAsia="仿宋" w:cs="仿宋"/>
                <w:color w:val="auto"/>
                <w:sz w:val="28"/>
                <w:szCs w:val="28"/>
              </w:rPr>
              <w:t>台</w:t>
            </w:r>
          </w:p>
        </w:tc>
        <w:tc>
          <w:tcPr>
            <w:tcW w:w="851" w:type="dxa"/>
            <w:tcBorders>
              <w:tl2br w:val="nil"/>
              <w:tr2bl w:val="nil"/>
            </w:tcBorders>
            <w:vAlign w:val="center"/>
          </w:tcPr>
          <w:p w14:paraId="109D6A10">
            <w:pPr>
              <w:spacing w:line="360" w:lineRule="auto"/>
              <w:jc w:val="center"/>
              <w:rPr>
                <w:rFonts w:hint="eastAsia" w:ascii="仿宋" w:hAnsi="仿宋" w:eastAsia="仿宋" w:cs="仿宋"/>
                <w:color w:val="auto"/>
                <w:sz w:val="28"/>
                <w:szCs w:val="28"/>
              </w:rPr>
            </w:pPr>
          </w:p>
        </w:tc>
        <w:tc>
          <w:tcPr>
            <w:tcW w:w="1703" w:type="dxa"/>
            <w:tcBorders>
              <w:tl2br w:val="nil"/>
              <w:tr2bl w:val="nil"/>
            </w:tcBorders>
            <w:vAlign w:val="center"/>
          </w:tcPr>
          <w:p w14:paraId="790CB55D">
            <w:pPr>
              <w:spacing w:line="360" w:lineRule="auto"/>
              <w:jc w:val="center"/>
              <w:rPr>
                <w:rFonts w:hint="eastAsia" w:ascii="仿宋" w:hAnsi="仿宋" w:eastAsia="仿宋" w:cs="仿宋"/>
                <w:color w:val="auto"/>
                <w:sz w:val="28"/>
                <w:szCs w:val="28"/>
              </w:rPr>
            </w:pPr>
          </w:p>
        </w:tc>
        <w:tc>
          <w:tcPr>
            <w:tcW w:w="2215" w:type="dxa"/>
            <w:tcBorders>
              <w:tl2br w:val="nil"/>
              <w:tr2bl w:val="nil"/>
            </w:tcBorders>
            <w:vAlign w:val="center"/>
          </w:tcPr>
          <w:p w14:paraId="08434C7C">
            <w:pPr>
              <w:spacing w:line="360"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亚华</w:t>
            </w:r>
          </w:p>
        </w:tc>
      </w:tr>
      <w:tr w14:paraId="6D8107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527" w:type="dxa"/>
            <w:tcBorders>
              <w:tl2br w:val="nil"/>
              <w:tr2bl w:val="nil"/>
            </w:tcBorders>
            <w:vAlign w:val="center"/>
          </w:tcPr>
          <w:p w14:paraId="668B95AE">
            <w:pPr>
              <w:spacing w:line="360" w:lineRule="auto"/>
              <w:jc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1</w:t>
            </w:r>
            <w:r>
              <w:rPr>
                <w:rFonts w:hint="eastAsia" w:ascii="仿宋" w:hAnsi="仿宋" w:eastAsia="仿宋" w:cs="仿宋"/>
                <w:color w:val="auto"/>
                <w:sz w:val="28"/>
                <w:szCs w:val="28"/>
                <w:lang w:val="en-US" w:eastAsia="zh-CN"/>
              </w:rPr>
              <w:t>7</w:t>
            </w:r>
          </w:p>
        </w:tc>
        <w:tc>
          <w:tcPr>
            <w:tcW w:w="2126" w:type="dxa"/>
            <w:tcBorders>
              <w:tl2br w:val="nil"/>
              <w:tr2bl w:val="nil"/>
            </w:tcBorders>
            <w:vAlign w:val="center"/>
          </w:tcPr>
          <w:p w14:paraId="36FF8B26">
            <w:pPr>
              <w:pStyle w:val="2"/>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输液导轨</w:t>
            </w:r>
          </w:p>
        </w:tc>
        <w:tc>
          <w:tcPr>
            <w:tcW w:w="850" w:type="dxa"/>
            <w:tcBorders>
              <w:tl2br w:val="nil"/>
              <w:tr2bl w:val="nil"/>
            </w:tcBorders>
            <w:vAlign w:val="center"/>
          </w:tcPr>
          <w:p w14:paraId="450342E8">
            <w:pPr>
              <w:spacing w:line="360" w:lineRule="auto"/>
              <w:ind w:firstLine="280" w:firstLineChars="100"/>
              <w:rPr>
                <w:rFonts w:hint="eastAsia" w:ascii="仿宋" w:hAnsi="仿宋" w:eastAsia="仿宋" w:cs="仿宋"/>
                <w:color w:val="auto"/>
                <w:sz w:val="28"/>
                <w:szCs w:val="28"/>
              </w:rPr>
            </w:pPr>
            <w:r>
              <w:rPr>
                <w:rFonts w:hint="eastAsia" w:ascii="仿宋" w:hAnsi="仿宋" w:eastAsia="仿宋" w:cs="仿宋"/>
                <w:color w:val="auto"/>
                <w:sz w:val="28"/>
                <w:szCs w:val="28"/>
              </w:rPr>
              <w:t>套</w:t>
            </w:r>
          </w:p>
        </w:tc>
        <w:tc>
          <w:tcPr>
            <w:tcW w:w="851" w:type="dxa"/>
            <w:tcBorders>
              <w:tl2br w:val="nil"/>
              <w:tr2bl w:val="nil"/>
            </w:tcBorders>
            <w:vAlign w:val="center"/>
          </w:tcPr>
          <w:p w14:paraId="2C3B3EE1">
            <w:pPr>
              <w:spacing w:line="360" w:lineRule="auto"/>
              <w:jc w:val="center"/>
              <w:rPr>
                <w:rFonts w:hint="eastAsia" w:ascii="仿宋" w:hAnsi="仿宋" w:eastAsia="仿宋" w:cs="仿宋"/>
                <w:color w:val="auto"/>
                <w:sz w:val="28"/>
                <w:szCs w:val="28"/>
              </w:rPr>
            </w:pPr>
          </w:p>
        </w:tc>
        <w:tc>
          <w:tcPr>
            <w:tcW w:w="1703" w:type="dxa"/>
            <w:tcBorders>
              <w:tl2br w:val="nil"/>
              <w:tr2bl w:val="nil"/>
            </w:tcBorders>
            <w:vAlign w:val="center"/>
          </w:tcPr>
          <w:p w14:paraId="51DF9751">
            <w:pPr>
              <w:spacing w:line="360" w:lineRule="auto"/>
              <w:jc w:val="center"/>
              <w:rPr>
                <w:rFonts w:hint="eastAsia" w:ascii="仿宋" w:hAnsi="仿宋" w:eastAsia="仿宋" w:cs="仿宋"/>
                <w:color w:val="auto"/>
                <w:sz w:val="28"/>
                <w:szCs w:val="28"/>
              </w:rPr>
            </w:pPr>
          </w:p>
        </w:tc>
        <w:tc>
          <w:tcPr>
            <w:tcW w:w="2215" w:type="dxa"/>
            <w:tcBorders>
              <w:tl2br w:val="nil"/>
              <w:tr2bl w:val="nil"/>
            </w:tcBorders>
            <w:vAlign w:val="center"/>
          </w:tcPr>
          <w:p w14:paraId="1A4D32FA">
            <w:pPr>
              <w:spacing w:line="360" w:lineRule="auto"/>
              <w:jc w:val="center"/>
              <w:rPr>
                <w:rFonts w:hint="eastAsia" w:ascii="仿宋" w:hAnsi="仿宋" w:eastAsia="仿宋" w:cs="仿宋"/>
                <w:color w:val="auto"/>
                <w:sz w:val="28"/>
                <w:szCs w:val="28"/>
              </w:rPr>
            </w:pPr>
          </w:p>
        </w:tc>
      </w:tr>
      <w:tr w14:paraId="61CA56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527" w:type="dxa"/>
            <w:tcBorders>
              <w:tl2br w:val="nil"/>
              <w:tr2bl w:val="nil"/>
            </w:tcBorders>
            <w:vAlign w:val="center"/>
          </w:tcPr>
          <w:p w14:paraId="18BB5482">
            <w:pPr>
              <w:spacing w:line="360" w:lineRule="auto"/>
              <w:jc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w:t>
            </w:r>
          </w:p>
        </w:tc>
        <w:tc>
          <w:tcPr>
            <w:tcW w:w="2126" w:type="dxa"/>
            <w:tcBorders>
              <w:tl2br w:val="nil"/>
              <w:tr2bl w:val="nil"/>
            </w:tcBorders>
            <w:vAlign w:val="center"/>
          </w:tcPr>
          <w:p w14:paraId="7013BABA">
            <w:pPr>
              <w:pStyle w:val="2"/>
              <w:spacing w:line="360" w:lineRule="auto"/>
              <w:rPr>
                <w:rFonts w:hint="eastAsia" w:ascii="仿宋" w:hAnsi="仿宋" w:eastAsia="仿宋" w:cs="仿宋"/>
                <w:color w:val="auto"/>
                <w:sz w:val="28"/>
                <w:szCs w:val="28"/>
                <w:lang w:val="en-US" w:eastAsia="zh-CN"/>
              </w:rPr>
            </w:pPr>
          </w:p>
        </w:tc>
        <w:tc>
          <w:tcPr>
            <w:tcW w:w="850" w:type="dxa"/>
            <w:tcBorders>
              <w:tl2br w:val="nil"/>
              <w:tr2bl w:val="nil"/>
            </w:tcBorders>
            <w:vAlign w:val="center"/>
          </w:tcPr>
          <w:p w14:paraId="1B7F92D5">
            <w:pPr>
              <w:spacing w:line="360" w:lineRule="auto"/>
              <w:ind w:firstLine="280" w:firstLineChars="100"/>
              <w:rPr>
                <w:rFonts w:hint="eastAsia" w:ascii="仿宋" w:hAnsi="仿宋" w:eastAsia="仿宋" w:cs="仿宋"/>
                <w:color w:val="auto"/>
                <w:sz w:val="28"/>
                <w:szCs w:val="28"/>
              </w:rPr>
            </w:pPr>
          </w:p>
        </w:tc>
        <w:tc>
          <w:tcPr>
            <w:tcW w:w="851" w:type="dxa"/>
            <w:tcBorders>
              <w:tl2br w:val="nil"/>
              <w:tr2bl w:val="nil"/>
            </w:tcBorders>
            <w:vAlign w:val="center"/>
          </w:tcPr>
          <w:p w14:paraId="57E4A72E">
            <w:pPr>
              <w:spacing w:line="360" w:lineRule="auto"/>
              <w:jc w:val="center"/>
              <w:rPr>
                <w:rFonts w:hint="eastAsia" w:ascii="仿宋" w:hAnsi="仿宋" w:eastAsia="仿宋" w:cs="仿宋"/>
                <w:color w:val="auto"/>
                <w:sz w:val="28"/>
                <w:szCs w:val="28"/>
              </w:rPr>
            </w:pPr>
          </w:p>
        </w:tc>
        <w:tc>
          <w:tcPr>
            <w:tcW w:w="1703" w:type="dxa"/>
            <w:tcBorders>
              <w:tl2br w:val="nil"/>
              <w:tr2bl w:val="nil"/>
            </w:tcBorders>
            <w:vAlign w:val="center"/>
          </w:tcPr>
          <w:p w14:paraId="25223A5C">
            <w:pPr>
              <w:spacing w:line="360" w:lineRule="auto"/>
              <w:jc w:val="center"/>
              <w:rPr>
                <w:rFonts w:hint="eastAsia" w:ascii="仿宋" w:hAnsi="仿宋" w:eastAsia="仿宋" w:cs="仿宋"/>
                <w:color w:val="auto"/>
                <w:sz w:val="28"/>
                <w:szCs w:val="28"/>
              </w:rPr>
            </w:pPr>
          </w:p>
        </w:tc>
        <w:tc>
          <w:tcPr>
            <w:tcW w:w="2215" w:type="dxa"/>
            <w:tcBorders>
              <w:tl2br w:val="nil"/>
              <w:tr2bl w:val="nil"/>
            </w:tcBorders>
            <w:vAlign w:val="center"/>
          </w:tcPr>
          <w:p w14:paraId="0B61130A">
            <w:pPr>
              <w:spacing w:line="360" w:lineRule="auto"/>
              <w:jc w:val="center"/>
              <w:rPr>
                <w:rFonts w:hint="eastAsia" w:ascii="仿宋" w:hAnsi="仿宋" w:eastAsia="仿宋" w:cs="仿宋"/>
                <w:color w:val="auto"/>
                <w:sz w:val="28"/>
                <w:szCs w:val="28"/>
              </w:rPr>
            </w:pPr>
          </w:p>
        </w:tc>
      </w:tr>
    </w:tbl>
    <w:p w14:paraId="38F8C812">
      <w:pPr>
        <w:pStyle w:val="14"/>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现采购人将</w:t>
      </w:r>
      <w:r>
        <w:rPr>
          <w:rFonts w:hint="eastAsia" w:ascii="仿宋" w:hAnsi="仿宋" w:eastAsia="仿宋" w:cs="仿宋"/>
          <w:color w:val="auto"/>
          <w:sz w:val="28"/>
          <w:szCs w:val="28"/>
          <w:lang w:val="en-US" w:eastAsia="zh-CN"/>
        </w:rPr>
        <w:t>上述维保范围的维护</w:t>
      </w:r>
      <w:r>
        <w:rPr>
          <w:rFonts w:hint="eastAsia" w:ascii="仿宋" w:hAnsi="仿宋" w:eastAsia="仿宋" w:cs="仿宋"/>
          <w:color w:val="auto"/>
          <w:sz w:val="28"/>
          <w:szCs w:val="28"/>
        </w:rPr>
        <w:t>服务打包招供应商承接。维保期</w:t>
      </w:r>
      <w:r>
        <w:rPr>
          <w:rFonts w:hint="eastAsia" w:ascii="仿宋" w:hAnsi="仿宋" w:eastAsia="仿宋" w:cs="仿宋"/>
          <w:color w:val="auto"/>
          <w:sz w:val="28"/>
          <w:szCs w:val="28"/>
          <w:lang w:eastAsia="zh-CN"/>
        </w:rPr>
        <w:t>一年</w:t>
      </w:r>
      <w:r>
        <w:rPr>
          <w:rFonts w:hint="eastAsia" w:ascii="仿宋" w:hAnsi="仿宋" w:eastAsia="仿宋" w:cs="仿宋"/>
          <w:color w:val="auto"/>
          <w:sz w:val="28"/>
          <w:szCs w:val="28"/>
        </w:rPr>
        <w:t>，要求供应商提供的维护保养服务</w:t>
      </w:r>
      <w:r>
        <w:rPr>
          <w:rFonts w:hint="eastAsia" w:ascii="仿宋" w:hAnsi="仿宋" w:eastAsia="仿宋" w:cs="仿宋"/>
          <w:color w:val="auto"/>
          <w:sz w:val="28"/>
          <w:szCs w:val="28"/>
          <w:lang w:val="en-US" w:eastAsia="zh-CN"/>
        </w:rPr>
        <w:t>保障本项目设施设备</w:t>
      </w:r>
      <w:r>
        <w:rPr>
          <w:rFonts w:hint="eastAsia" w:ascii="仿宋" w:hAnsi="仿宋" w:eastAsia="仿宋" w:cs="仿宋"/>
          <w:color w:val="auto"/>
          <w:sz w:val="28"/>
          <w:szCs w:val="28"/>
        </w:rPr>
        <w:t>始终处于良好的运行状态，并</w:t>
      </w:r>
      <w:r>
        <w:rPr>
          <w:rFonts w:hint="eastAsia" w:ascii="仿宋" w:hAnsi="仿宋" w:eastAsia="仿宋" w:cs="仿宋"/>
          <w:color w:val="auto"/>
          <w:sz w:val="28"/>
          <w:szCs w:val="28"/>
          <w:lang w:eastAsia="zh-CN"/>
        </w:rPr>
        <w:t>符合</w:t>
      </w:r>
      <w:r>
        <w:rPr>
          <w:rFonts w:hint="eastAsia" w:ascii="仿宋" w:hAnsi="仿宋" w:eastAsia="仿宋" w:cs="仿宋"/>
          <w:color w:val="auto"/>
          <w:sz w:val="28"/>
          <w:szCs w:val="28"/>
        </w:rPr>
        <w:t>《医用气体技术规范》GB50751-2012 标准。</w:t>
      </w:r>
    </w:p>
    <w:p w14:paraId="4172C0CE">
      <w:pPr>
        <w:keepNext w:val="0"/>
        <w:keepLines w:val="0"/>
        <w:pageBreakBefore w:val="0"/>
        <w:numPr>
          <w:ilvl w:val="0"/>
          <w:numId w:val="0"/>
        </w:numPr>
        <w:kinsoku/>
        <w:wordWrap/>
        <w:overflowPunct/>
        <w:topLinePunct w:val="0"/>
        <w:autoSpaceDE/>
        <w:autoSpaceDN/>
        <w:bidi w:val="0"/>
        <w:adjustRightInd/>
        <w:snapToGrid/>
        <w:spacing w:beforeLines="50" w:afterLines="50" w:line="560" w:lineRule="exact"/>
        <w:ind w:firstLine="562" w:firstLineChars="200"/>
        <w:outlineLvl w:val="1"/>
        <w:rPr>
          <w:rFonts w:hint="eastAsia" w:ascii="仿宋" w:hAnsi="仿宋" w:eastAsia="仿宋" w:cs="仿宋"/>
          <w:b/>
          <w:bCs/>
          <w:color w:val="auto"/>
          <w:sz w:val="28"/>
          <w:szCs w:val="28"/>
        </w:rPr>
      </w:pPr>
      <w:r>
        <w:rPr>
          <w:rFonts w:hint="eastAsia" w:ascii="仿宋" w:hAnsi="仿宋" w:eastAsia="仿宋" w:cs="仿宋"/>
          <w:b/>
          <w:bCs/>
          <w:color w:val="auto"/>
          <w:sz w:val="28"/>
          <w:szCs w:val="28"/>
          <w:lang w:val="en-US" w:eastAsia="zh-CN"/>
        </w:rPr>
        <w:t>三</w:t>
      </w:r>
      <w:r>
        <w:rPr>
          <w:rFonts w:hint="eastAsia" w:ascii="仿宋" w:hAnsi="仿宋" w:eastAsia="仿宋" w:cs="仿宋"/>
          <w:b/>
          <w:bCs/>
          <w:color w:val="auto"/>
          <w:sz w:val="28"/>
          <w:szCs w:val="28"/>
        </w:rPr>
        <w:t>、项目服务范围及质量标准</w:t>
      </w:r>
    </w:p>
    <w:p w14:paraId="624C29C8">
      <w:pPr>
        <w:spacing w:line="360" w:lineRule="auto"/>
        <w:ind w:firstLine="562" w:firstLineChars="200"/>
        <w:jc w:val="left"/>
        <w:rPr>
          <w:rFonts w:hint="eastAsia" w:ascii="仿宋" w:hAnsi="仿宋" w:eastAsia="仿宋" w:cs="仿宋"/>
          <w:b/>
          <w:bCs/>
          <w:color w:val="auto"/>
          <w:sz w:val="28"/>
          <w:szCs w:val="28"/>
        </w:rPr>
      </w:pPr>
      <w:r>
        <w:rPr>
          <w:rFonts w:hint="eastAsia" w:ascii="仿宋" w:hAnsi="仿宋" w:eastAsia="仿宋" w:cs="仿宋"/>
          <w:b/>
          <w:bCs/>
          <w:color w:val="auto"/>
          <w:sz w:val="28"/>
          <w:szCs w:val="28"/>
        </w:rPr>
        <w:t>（一）维保服务范围及要求：</w:t>
      </w:r>
    </w:p>
    <w:p w14:paraId="6B47E465">
      <w:pPr>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1.服务范围：</w:t>
      </w:r>
    </w:p>
    <w:p w14:paraId="2BF4C8CC">
      <w:pPr>
        <w:spacing w:line="360" w:lineRule="auto"/>
        <w:ind w:left="210" w:leftChars="100"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(1）医用气体站房设备运行维保；</w:t>
      </w:r>
    </w:p>
    <w:p w14:paraId="7B9D57C8">
      <w:pPr>
        <w:spacing w:line="360" w:lineRule="auto"/>
        <w:ind w:left="210" w:leftChars="100"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(2) 病房医用气体系统运行维保；</w:t>
      </w:r>
    </w:p>
    <w:p w14:paraId="1098DCC6">
      <w:pPr>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2.服务主体部分</w:t>
      </w:r>
    </w:p>
    <w:p w14:paraId="1D1F760D">
      <w:pPr>
        <w:spacing w:line="360" w:lineRule="auto"/>
        <w:ind w:left="210" w:leftChars="100"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(1)液氧罐、汽化器的运行维保；</w:t>
      </w:r>
    </w:p>
    <w:p w14:paraId="76532CDD">
      <w:pPr>
        <w:spacing w:line="360" w:lineRule="auto"/>
        <w:ind w:left="210" w:leftChars="100"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(2)负压泵、负压罐的运行维保；</w:t>
      </w:r>
    </w:p>
    <w:p w14:paraId="2398F67D">
      <w:pPr>
        <w:spacing w:line="360" w:lineRule="auto"/>
        <w:ind w:left="210" w:leftChars="100"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(3)空压机、冷干机、空气罐的运行维保；</w:t>
      </w:r>
    </w:p>
    <w:p w14:paraId="56A7FB1C">
      <w:pPr>
        <w:spacing w:line="360" w:lineRule="auto"/>
        <w:ind w:left="210" w:leftChars="100"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(4)氧气汇流排的运行维保；</w:t>
      </w:r>
    </w:p>
    <w:p w14:paraId="64F0EB20">
      <w:pPr>
        <w:spacing w:line="360" w:lineRule="auto"/>
        <w:ind w:left="210" w:leftChars="100"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(5)站房辅助运行设备（报警设备、电路控制系统等）；</w:t>
      </w:r>
    </w:p>
    <w:p w14:paraId="41F639EF">
      <w:pPr>
        <w:spacing w:line="360" w:lineRule="auto"/>
        <w:ind w:left="210" w:leftChars="100"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(6)门诊楼、外科楼、内科楼</w:t>
      </w:r>
      <w:r>
        <w:rPr>
          <w:rFonts w:hint="eastAsia" w:ascii="仿宋" w:hAnsi="仿宋" w:eastAsia="仿宋" w:cs="仿宋"/>
          <w:color w:val="auto"/>
          <w:sz w:val="28"/>
          <w:szCs w:val="28"/>
          <w:lang w:eastAsia="zh-CN"/>
        </w:rPr>
        <w:t>、感染科楼</w:t>
      </w:r>
      <w:r>
        <w:rPr>
          <w:rFonts w:hint="eastAsia" w:ascii="仿宋" w:hAnsi="仿宋" w:eastAsia="仿宋" w:cs="仿宋"/>
          <w:color w:val="auto"/>
          <w:sz w:val="28"/>
          <w:szCs w:val="28"/>
        </w:rPr>
        <w:t>的所有医用气体管道、阀门、减压箱、医用气体终端（氧气、负压、空气终端）、输液导轨、医用呼叫设备等。</w:t>
      </w:r>
    </w:p>
    <w:p w14:paraId="1757297E">
      <w:pPr>
        <w:spacing w:line="360" w:lineRule="auto"/>
        <w:ind w:firstLine="562" w:firstLineChars="200"/>
        <w:jc w:val="left"/>
        <w:rPr>
          <w:rFonts w:hint="eastAsia" w:ascii="仿宋" w:hAnsi="仿宋" w:eastAsia="仿宋" w:cs="仿宋"/>
          <w:b/>
          <w:bCs/>
          <w:color w:val="auto"/>
          <w:sz w:val="28"/>
          <w:szCs w:val="28"/>
        </w:rPr>
      </w:pPr>
      <w:r>
        <w:rPr>
          <w:rFonts w:hint="eastAsia" w:ascii="仿宋" w:hAnsi="仿宋" w:eastAsia="仿宋" w:cs="仿宋"/>
          <w:b/>
          <w:bCs/>
          <w:color w:val="auto"/>
          <w:sz w:val="28"/>
          <w:szCs w:val="28"/>
        </w:rPr>
        <w:t>（二）服务质量要求</w:t>
      </w:r>
    </w:p>
    <w:p w14:paraId="654A5670">
      <w:pPr>
        <w:pStyle w:val="14"/>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严格按照国家相关规范及设备厂家维护保养手册</w:t>
      </w:r>
    </w:p>
    <w:p w14:paraId="2ABC390D">
      <w:pPr>
        <w:pStyle w:val="14"/>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1、安全保证：</w:t>
      </w:r>
    </w:p>
    <w:p w14:paraId="212B5271">
      <w:pPr>
        <w:pStyle w:val="14"/>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服务期内，保证医用气体运行维护保养的设备设施安全。对操作人员有培训和监督执行操作规定的责任。</w:t>
      </w:r>
    </w:p>
    <w:p w14:paraId="2DFC46FD">
      <w:pPr>
        <w:pStyle w:val="14"/>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2、质量保证: </w:t>
      </w:r>
    </w:p>
    <w:p w14:paraId="56A3288B">
      <w:pPr>
        <w:pStyle w:val="14"/>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保证设备设施处于安全正常状态。每季度提前向</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提交保养预排表，内容要包含区间位置、保养时段等，以便提前安排工作。日常保养时间由</w:t>
      </w:r>
      <w:r>
        <w:rPr>
          <w:rFonts w:hint="eastAsia" w:ascii="仿宋" w:hAnsi="仿宋" w:eastAsia="仿宋" w:cs="仿宋"/>
          <w:color w:val="auto"/>
          <w:sz w:val="28"/>
          <w:szCs w:val="28"/>
          <w:lang w:val="en-US" w:eastAsia="zh-CN"/>
        </w:rPr>
        <w:t>采购人</w:t>
      </w:r>
      <w:r>
        <w:rPr>
          <w:rFonts w:hint="eastAsia" w:ascii="仿宋" w:hAnsi="仿宋" w:eastAsia="仿宋" w:cs="仿宋"/>
          <w:color w:val="auto"/>
          <w:sz w:val="28"/>
          <w:szCs w:val="28"/>
        </w:rPr>
        <w:t>根据实际情况决定，保养工作时间内不能时间过长，错开使用高峰时间，尽量安排在夜间进行。每月对维保范围内的设备设施进行维护保养，月、季度、年度检查要落实并有相关记录。</w:t>
      </w:r>
    </w:p>
    <w:p w14:paraId="6B602E39">
      <w:pPr>
        <w:pStyle w:val="14"/>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每台机组建立维保档案，对机组技术资料、维保记录、修理记录、零件更换记录进行登记管理。要从设备设施长期可持续安全运行的角度出发，进行组织计划维修工作。</w:t>
      </w:r>
    </w:p>
    <w:p w14:paraId="4382367D">
      <w:pPr>
        <w:pStyle w:val="14"/>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3、技术力量保证: </w:t>
      </w:r>
    </w:p>
    <w:p w14:paraId="56A92DCA">
      <w:pPr>
        <w:pStyle w:val="14"/>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派遣有熟练处理各种故障的能力维修工程师</w:t>
      </w:r>
      <w:r>
        <w:rPr>
          <w:rFonts w:hint="eastAsia" w:ascii="仿宋" w:hAnsi="仿宋" w:eastAsia="仿宋" w:cs="仿宋"/>
          <w:color w:val="auto"/>
          <w:sz w:val="28"/>
          <w:szCs w:val="28"/>
          <w:lang w:eastAsia="zh-CN"/>
        </w:rPr>
        <w:t>常</w:t>
      </w:r>
      <w:r>
        <w:rPr>
          <w:rFonts w:hint="eastAsia" w:ascii="仿宋" w:hAnsi="仿宋" w:eastAsia="仿宋" w:cs="仿宋"/>
          <w:color w:val="auto"/>
          <w:sz w:val="28"/>
          <w:szCs w:val="28"/>
        </w:rPr>
        <w:t>驻医院，从事维修、保养及设备管理服务。</w:t>
      </w:r>
    </w:p>
    <w:p w14:paraId="62D4344A">
      <w:pPr>
        <w:pStyle w:val="14"/>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如果</w:t>
      </w:r>
      <w:r>
        <w:rPr>
          <w:rFonts w:hint="eastAsia" w:ascii="仿宋" w:hAnsi="仿宋" w:eastAsia="仿宋" w:cs="仿宋"/>
          <w:color w:val="auto"/>
          <w:sz w:val="28"/>
          <w:szCs w:val="28"/>
          <w:lang w:val="en-US" w:eastAsia="zh-CN"/>
        </w:rPr>
        <w:t>采购人</w:t>
      </w:r>
      <w:r>
        <w:rPr>
          <w:rFonts w:hint="eastAsia" w:ascii="仿宋" w:hAnsi="仿宋" w:eastAsia="仿宋" w:cs="仿宋"/>
          <w:color w:val="auto"/>
          <w:sz w:val="28"/>
          <w:szCs w:val="28"/>
        </w:rPr>
        <w:t>有重大活动时，应根据</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要求加大现场的监护力度。</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必须配备有专业工具，抢修设备及材料和检测仪器，其间如因为安全、文明、规范操作给院方人员及其他人员造成的一切不良后果，均由供方及当事人承担相关责任。</w:t>
      </w:r>
    </w:p>
    <w:p w14:paraId="74E734D3">
      <w:pPr>
        <w:pStyle w:val="14"/>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4、</w:t>
      </w:r>
      <w:r>
        <w:rPr>
          <w:rFonts w:hint="eastAsia" w:ascii="仿宋" w:hAnsi="仿宋" w:eastAsia="仿宋" w:cs="仿宋"/>
          <w:color w:val="auto"/>
          <w:sz w:val="28"/>
          <w:szCs w:val="28"/>
          <w:lang w:val="en-US" w:eastAsia="zh-CN"/>
        </w:rPr>
        <w:t>供应商应具有投入本项目的</w:t>
      </w:r>
      <w:r>
        <w:rPr>
          <w:rFonts w:hint="eastAsia" w:ascii="仿宋" w:hAnsi="仿宋" w:eastAsia="仿宋" w:cs="仿宋"/>
          <w:color w:val="auto"/>
          <w:sz w:val="28"/>
          <w:szCs w:val="28"/>
        </w:rPr>
        <w:t>维保制度</w:t>
      </w:r>
    </w:p>
    <w:p w14:paraId="6A082647">
      <w:pPr>
        <w:pStyle w:val="14"/>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4.1 岗位职责、值班、交接班要求、消防管理、安全管理、作业人员教育与培训制度等的人员管理制度；</w:t>
      </w:r>
    </w:p>
    <w:p w14:paraId="50042FAB">
      <w:pPr>
        <w:pStyle w:val="14"/>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4.2 巡视检查制度、设备维护保养制度、气瓶管理制度、医用系统应急预案等设备管理制度</w:t>
      </w:r>
    </w:p>
    <w:p w14:paraId="178DDAAE">
      <w:pPr>
        <w:pStyle w:val="14"/>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4.3 压力容器操作证管理；</w:t>
      </w:r>
    </w:p>
    <w:p w14:paraId="6004E46A">
      <w:pPr>
        <w:pStyle w:val="14"/>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4.4 维修质量管控制度；</w:t>
      </w:r>
    </w:p>
    <w:p w14:paraId="003A2771">
      <w:pPr>
        <w:pStyle w:val="14"/>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4.5 隐患排查分析制度；</w:t>
      </w:r>
    </w:p>
    <w:p w14:paraId="19B7DB43">
      <w:pPr>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5、维保</w:t>
      </w:r>
      <w:r>
        <w:rPr>
          <w:rFonts w:hint="eastAsia" w:ascii="仿宋" w:hAnsi="仿宋" w:eastAsia="仿宋" w:cs="仿宋"/>
          <w:color w:val="auto"/>
          <w:sz w:val="28"/>
          <w:szCs w:val="28"/>
          <w:lang w:val="en-US" w:eastAsia="zh-CN"/>
        </w:rPr>
        <w:t>内容的具体</w:t>
      </w:r>
      <w:r>
        <w:rPr>
          <w:rFonts w:hint="eastAsia" w:ascii="仿宋" w:hAnsi="仿宋" w:eastAsia="仿宋" w:cs="仿宋"/>
          <w:color w:val="auto"/>
          <w:sz w:val="28"/>
          <w:szCs w:val="28"/>
        </w:rPr>
        <w:t>要求</w:t>
      </w:r>
    </w:p>
    <w:p w14:paraId="7CE66110">
      <w:pPr>
        <w:spacing w:line="360" w:lineRule="auto"/>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rPr>
        <w:t>1</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每月需对</w:t>
      </w:r>
      <w:r>
        <w:rPr>
          <w:rFonts w:hint="eastAsia" w:ascii="仿宋" w:hAnsi="仿宋" w:eastAsia="仿宋" w:cs="仿宋"/>
          <w:color w:val="auto"/>
          <w:sz w:val="28"/>
          <w:szCs w:val="28"/>
          <w:lang w:val="en-US" w:eastAsia="zh-CN"/>
        </w:rPr>
        <w:t>维保范围内的</w:t>
      </w:r>
      <w:r>
        <w:rPr>
          <w:rFonts w:hint="eastAsia" w:ascii="仿宋" w:hAnsi="仿宋" w:eastAsia="仿宋" w:cs="仿宋"/>
          <w:color w:val="auto"/>
          <w:sz w:val="28"/>
          <w:szCs w:val="28"/>
        </w:rPr>
        <w:t>设备进行一次全面巡检，巡检内容包括</w:t>
      </w:r>
      <w:r>
        <w:rPr>
          <w:rFonts w:hint="eastAsia" w:ascii="仿宋" w:hAnsi="仿宋" w:eastAsia="仿宋" w:cs="仿宋"/>
          <w:color w:val="auto"/>
          <w:sz w:val="28"/>
          <w:szCs w:val="28"/>
          <w:lang w:val="en-US" w:eastAsia="zh-CN"/>
        </w:rPr>
        <w:t>本项目维保范围内所包含的所有设备，包括不限于（管路、阀门、罐体、仪表、空压机、安全阀、设备带、呼叫器等设备）需形成每月、每季度的排查巡检记录。</w:t>
      </w:r>
    </w:p>
    <w:p w14:paraId="4C71E83E">
      <w:pPr>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rPr>
        <w:t>2</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lang w:val="en-US" w:eastAsia="zh-CN"/>
        </w:rPr>
        <w:t>应</w:t>
      </w:r>
      <w:r>
        <w:rPr>
          <w:rFonts w:hint="eastAsia" w:ascii="仿宋" w:hAnsi="仿宋" w:eastAsia="仿宋" w:cs="仿宋"/>
          <w:color w:val="auto"/>
          <w:sz w:val="28"/>
          <w:szCs w:val="28"/>
        </w:rPr>
        <w:t>每年进行</w:t>
      </w:r>
      <w:r>
        <w:rPr>
          <w:rFonts w:hint="eastAsia" w:ascii="仿宋" w:hAnsi="仿宋" w:eastAsia="仿宋" w:cs="仿宋"/>
          <w:color w:val="auto"/>
          <w:sz w:val="28"/>
          <w:szCs w:val="28"/>
          <w:lang w:val="en-US" w:eastAsia="zh-CN"/>
        </w:rPr>
        <w:t>安全年检，年检内容及周期应符合特种设备管理及三级甲等医院运行标准及国家相关规定的要求</w:t>
      </w:r>
      <w:r>
        <w:rPr>
          <w:rFonts w:hint="eastAsia" w:ascii="仿宋" w:hAnsi="仿宋" w:eastAsia="仿宋" w:cs="仿宋"/>
          <w:color w:val="auto"/>
          <w:sz w:val="28"/>
          <w:szCs w:val="28"/>
        </w:rPr>
        <w:t>，检验内容包括</w:t>
      </w:r>
      <w:r>
        <w:rPr>
          <w:rFonts w:hint="eastAsia" w:ascii="仿宋" w:hAnsi="仿宋" w:eastAsia="仿宋" w:cs="仿宋"/>
          <w:color w:val="auto"/>
          <w:sz w:val="28"/>
          <w:szCs w:val="28"/>
          <w:lang w:val="en-US" w:eastAsia="zh-CN"/>
        </w:rPr>
        <w:t>不限于</w:t>
      </w:r>
      <w:r>
        <w:rPr>
          <w:rFonts w:hint="eastAsia" w:ascii="仿宋" w:hAnsi="仿宋" w:eastAsia="仿宋" w:cs="仿宋"/>
          <w:color w:val="auto"/>
          <w:sz w:val="28"/>
          <w:szCs w:val="28"/>
        </w:rPr>
        <w:t>（泄漏检查、阀门检查、管道标识检查等）。</w:t>
      </w:r>
    </w:p>
    <w:p w14:paraId="25B98387">
      <w:pPr>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rPr>
        <w:t>3每次巡查和检测应以书面形式，上交</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 xml:space="preserve">负责人，以便随时查阅。 </w:t>
      </w:r>
    </w:p>
    <w:p w14:paraId="652E7DBD">
      <w:pPr>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rPr>
        <w:t xml:space="preserve">4、每次巡查需要填写规范的巡查记录表。 </w:t>
      </w:r>
    </w:p>
    <w:p w14:paraId="289F65EA">
      <w:pPr>
        <w:spacing w:line="360" w:lineRule="auto"/>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rPr>
        <w:t>5</w:t>
      </w: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必须掌握</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医用气体系统运行情况，如发现紧急问题时要第一时间汇报，提供第一手资料</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并采取紧急处置措施</w:t>
      </w:r>
      <w:r>
        <w:rPr>
          <w:rFonts w:hint="eastAsia" w:ascii="仿宋" w:hAnsi="仿宋" w:eastAsia="仿宋" w:cs="仿宋"/>
          <w:color w:val="auto"/>
          <w:sz w:val="28"/>
          <w:szCs w:val="28"/>
          <w:lang w:eastAsia="zh-CN"/>
        </w:rPr>
        <w:t>。</w:t>
      </w:r>
    </w:p>
    <w:p w14:paraId="1178EA35">
      <w:pPr>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5.6</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 xml:space="preserve">负责维保范围内全院区医用供气系统日常维修，紧急维修，定期巡检。 </w:t>
      </w:r>
    </w:p>
    <w:p w14:paraId="5B506356">
      <w:pPr>
        <w:pStyle w:val="14"/>
        <w:spacing w:line="360" w:lineRule="auto"/>
        <w:ind w:firstLine="281" w:firstLineChars="100"/>
        <w:jc w:val="left"/>
        <w:rPr>
          <w:rFonts w:hint="eastAsia" w:ascii="仿宋" w:hAnsi="仿宋" w:eastAsia="仿宋" w:cs="仿宋"/>
          <w:b/>
          <w:bCs/>
          <w:color w:val="auto"/>
          <w:sz w:val="28"/>
          <w:szCs w:val="28"/>
        </w:rPr>
      </w:pPr>
      <w:r>
        <w:rPr>
          <w:rFonts w:hint="eastAsia" w:ascii="仿宋" w:hAnsi="仿宋" w:eastAsia="仿宋" w:cs="仿宋"/>
          <w:b/>
          <w:bCs/>
          <w:color w:val="auto"/>
          <w:sz w:val="28"/>
          <w:szCs w:val="28"/>
        </w:rPr>
        <w:t>（三）维保配置与应急处理</w:t>
      </w:r>
    </w:p>
    <w:p w14:paraId="6F33F20B">
      <w:pPr>
        <w:pStyle w:val="14"/>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1、人员配备</w:t>
      </w:r>
    </w:p>
    <w:p w14:paraId="0CBDC9BF">
      <w:pPr>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项目负责人：1 名，主要负责该项目服务的管理，服务人员的安排，以及该项目的应急措施的工作。</w:t>
      </w:r>
    </w:p>
    <w:p w14:paraId="5AFF6B79">
      <w:pPr>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项目维保团队</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根据维保、检修、抢修实际情况，合理配备工作人员，供应商委派的维保人员应具备相应的资格证书。</w:t>
      </w:r>
    </w:p>
    <w:p w14:paraId="3F0A5EB6">
      <w:pPr>
        <w:spacing w:line="360" w:lineRule="auto"/>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项目常驻值班人员：建议不低于3名常驻值班人员，</w:t>
      </w:r>
      <w:r>
        <w:rPr>
          <w:rFonts w:hint="eastAsia" w:ascii="仿宋" w:hAnsi="仿宋" w:eastAsia="仿宋" w:cs="仿宋"/>
          <w:color w:val="auto"/>
          <w:sz w:val="28"/>
          <w:szCs w:val="28"/>
        </w:rPr>
        <w:t>主要负责该项目日常维保服务，记录设备每日运行情况，以及该项目设备的应急措施的维修工作。</w:t>
      </w:r>
      <w:r>
        <w:rPr>
          <w:rFonts w:hint="eastAsia" w:ascii="仿宋" w:hAnsi="仿宋" w:eastAsia="仿宋" w:cs="仿宋"/>
          <w:color w:val="auto"/>
          <w:sz w:val="28"/>
          <w:szCs w:val="28"/>
          <w:lang w:val="en-US" w:eastAsia="zh-CN"/>
        </w:rPr>
        <w:t>常驻人员需保证值班室全天24小时有人在岗，负责接听电话、</w:t>
      </w:r>
      <w:r>
        <w:rPr>
          <w:rFonts w:hint="eastAsia" w:ascii="仿宋" w:hAnsi="仿宋" w:eastAsia="仿宋" w:cs="仿宋"/>
          <w:color w:val="auto"/>
          <w:sz w:val="28"/>
          <w:szCs w:val="28"/>
        </w:rPr>
        <w:t>接到报修电话10分钟之内，到达现场。</w:t>
      </w:r>
      <w:r>
        <w:rPr>
          <w:rFonts w:hint="eastAsia" w:ascii="仿宋" w:hAnsi="仿宋" w:eastAsia="仿宋" w:cs="仿宋"/>
          <w:color w:val="auto"/>
          <w:sz w:val="28"/>
          <w:szCs w:val="28"/>
          <w:lang w:val="en-US" w:eastAsia="zh-CN"/>
        </w:rPr>
        <w:t>常规</w:t>
      </w:r>
      <w:r>
        <w:rPr>
          <w:rFonts w:hint="eastAsia" w:ascii="仿宋" w:hAnsi="仿宋" w:eastAsia="仿宋" w:cs="仿宋"/>
          <w:color w:val="auto"/>
          <w:sz w:val="28"/>
          <w:szCs w:val="28"/>
        </w:rPr>
        <w:t xml:space="preserve">故障30分钟以内排除。 </w:t>
      </w:r>
    </w:p>
    <w:p w14:paraId="3EE0D1D1">
      <w:pPr>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2、建立维保档案</w:t>
      </w:r>
    </w:p>
    <w:p w14:paraId="11A48CFC">
      <w:pPr>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A、确定设备日常维保内容，建立设备日常巡视记录档案。对每次设备日常维保内容进行详细记录。并提交给用户。</w:t>
      </w:r>
    </w:p>
    <w:p w14:paraId="2BB0F347">
      <w:pPr>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B、对日常维护的设备的性能应进行技术分析，以便确定该设备或配件是否需要进行维修、更换，同时将技术分析报告，维修费用报告提交给用户。</w:t>
      </w:r>
    </w:p>
    <w:p w14:paraId="49D1D7EB">
      <w:pPr>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3、常用配件的库存和工具的备用</w:t>
      </w:r>
    </w:p>
    <w:p w14:paraId="55D5500D">
      <w:pPr>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A、为了确保该项目的服务及时性和设备的正常运行，在对该项目的设备进行调查了解后，对那些易损配件应进行同等型号、规格零配件库存。</w:t>
      </w:r>
    </w:p>
    <w:p w14:paraId="3D42FB0D">
      <w:pPr>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B、确保该项目的服务工具、检查仪器在任何时间均能正常使用，同时作好工具的备用工作。</w:t>
      </w:r>
    </w:p>
    <w:p w14:paraId="51446CBB">
      <w:pPr>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4、建立突发事故的应急处理机制</w:t>
      </w:r>
    </w:p>
    <w:p w14:paraId="5478AE9B">
      <w:pPr>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在收到现场维保人员的信息后，项目负责人应根据信息描述，立即召集相关工程技术人员成立应急小组，对产生的事故原因进行分析，并拿出解决事故的初步方案；同时派遣技术人员在两小时内赶到现场，根据初步方案对</w:t>
      </w:r>
      <w:r>
        <w:rPr>
          <w:rFonts w:hint="eastAsia" w:ascii="仿宋" w:hAnsi="仿宋" w:eastAsia="仿宋" w:cs="仿宋"/>
          <w:color w:val="auto"/>
          <w:sz w:val="28"/>
          <w:szCs w:val="28"/>
          <w:lang w:eastAsia="zh-CN"/>
        </w:rPr>
        <w:t>事故</w:t>
      </w:r>
      <w:r>
        <w:rPr>
          <w:rFonts w:hint="eastAsia" w:ascii="仿宋" w:hAnsi="仿宋" w:eastAsia="仿宋" w:cs="仿宋"/>
          <w:color w:val="auto"/>
          <w:sz w:val="28"/>
          <w:szCs w:val="28"/>
        </w:rPr>
        <w:t>设备进行控制或维修，并把现场的实际情况反映回应急小组。应急小组在最短的时间内拿出最终解决事故方案、解决事故的时间、解决事故的费用；并及时提交用户。维修完成后，及时提交维修报告</w:t>
      </w:r>
      <w:r>
        <w:rPr>
          <w:rFonts w:hint="eastAsia" w:ascii="仿宋" w:hAnsi="仿宋" w:eastAsia="仿宋" w:cs="仿宋"/>
          <w:color w:val="auto"/>
          <w:sz w:val="28"/>
          <w:szCs w:val="28"/>
          <w:lang w:eastAsia="zh-CN"/>
        </w:rPr>
        <w:t>予</w:t>
      </w:r>
      <w:r>
        <w:rPr>
          <w:rFonts w:hint="eastAsia" w:ascii="仿宋" w:hAnsi="仿宋" w:eastAsia="仿宋" w:cs="仿宋"/>
          <w:color w:val="auto"/>
          <w:sz w:val="28"/>
          <w:szCs w:val="28"/>
        </w:rPr>
        <w:t>用户。</w:t>
      </w:r>
    </w:p>
    <w:p w14:paraId="2135C75C">
      <w:pPr>
        <w:keepNext w:val="0"/>
        <w:keepLines w:val="0"/>
        <w:pageBreakBefore w:val="0"/>
        <w:numPr>
          <w:ilvl w:val="0"/>
          <w:numId w:val="0"/>
        </w:numPr>
        <w:kinsoku/>
        <w:wordWrap/>
        <w:overflowPunct/>
        <w:topLinePunct w:val="0"/>
        <w:autoSpaceDE/>
        <w:autoSpaceDN/>
        <w:bidi w:val="0"/>
        <w:adjustRightInd/>
        <w:snapToGrid/>
        <w:spacing w:beforeLines="50" w:afterLines="50" w:line="560" w:lineRule="exact"/>
        <w:ind w:firstLine="562" w:firstLineChars="200"/>
        <w:outlineLvl w:val="1"/>
        <w:rPr>
          <w:rFonts w:hint="eastAsia" w:ascii="仿宋" w:hAnsi="仿宋" w:eastAsia="仿宋" w:cs="仿宋"/>
          <w:b/>
          <w:bCs/>
          <w:color w:val="auto"/>
          <w:sz w:val="28"/>
          <w:szCs w:val="28"/>
        </w:rPr>
      </w:pPr>
      <w:r>
        <w:rPr>
          <w:rFonts w:hint="eastAsia" w:ascii="仿宋" w:hAnsi="仿宋" w:eastAsia="仿宋" w:cs="仿宋"/>
          <w:b/>
          <w:bCs/>
          <w:color w:val="auto"/>
          <w:sz w:val="28"/>
          <w:szCs w:val="28"/>
          <w:lang w:val="en-US" w:eastAsia="zh-CN"/>
        </w:rPr>
        <w:t>四</w:t>
      </w:r>
      <w:r>
        <w:rPr>
          <w:rFonts w:hint="eastAsia" w:ascii="仿宋" w:hAnsi="仿宋" w:eastAsia="仿宋" w:cs="仿宋"/>
          <w:b/>
          <w:bCs/>
          <w:color w:val="auto"/>
          <w:sz w:val="28"/>
          <w:szCs w:val="28"/>
        </w:rPr>
        <w:t xml:space="preserve">、医用气体日常运行管理范围、规范及有关要求 </w:t>
      </w:r>
    </w:p>
    <w:p w14:paraId="02C92185">
      <w:pPr>
        <w:pStyle w:val="14"/>
        <w:spacing w:line="360" w:lineRule="auto"/>
        <w:ind w:firstLine="562" w:firstLineChars="200"/>
        <w:jc w:val="left"/>
        <w:rPr>
          <w:rFonts w:hint="eastAsia" w:ascii="仿宋" w:hAnsi="仿宋" w:eastAsia="仿宋" w:cs="仿宋"/>
          <w:b/>
          <w:bCs/>
          <w:color w:val="auto"/>
          <w:sz w:val="28"/>
          <w:szCs w:val="28"/>
        </w:rPr>
      </w:pPr>
      <w:r>
        <w:rPr>
          <w:rFonts w:hint="eastAsia" w:ascii="仿宋" w:hAnsi="仿宋" w:eastAsia="仿宋" w:cs="仿宋"/>
          <w:b/>
          <w:bCs/>
          <w:color w:val="auto"/>
          <w:sz w:val="28"/>
          <w:szCs w:val="28"/>
        </w:rPr>
        <w:t>（一）管理制度</w:t>
      </w:r>
    </w:p>
    <w:p w14:paraId="2811EBBE">
      <w:pPr>
        <w:pStyle w:val="14"/>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1、</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应结合</w:t>
      </w:r>
      <w:r>
        <w:rPr>
          <w:rFonts w:hint="eastAsia" w:ascii="仿宋" w:hAnsi="仿宋" w:eastAsia="仿宋" w:cs="仿宋"/>
          <w:color w:val="auto"/>
          <w:sz w:val="28"/>
          <w:szCs w:val="28"/>
          <w:lang w:val="en-US" w:eastAsia="zh-CN"/>
        </w:rPr>
        <w:t>采购人</w:t>
      </w:r>
      <w:r>
        <w:rPr>
          <w:rFonts w:hint="eastAsia" w:ascii="仿宋" w:hAnsi="仿宋" w:eastAsia="仿宋" w:cs="仿宋"/>
          <w:color w:val="auto"/>
          <w:sz w:val="28"/>
          <w:szCs w:val="28"/>
        </w:rPr>
        <w:t xml:space="preserve">单位医用气体系统和设备的特点，建立健全各项管理制度，并公布执行。 </w:t>
      </w:r>
    </w:p>
    <w:p w14:paraId="414237EC">
      <w:pPr>
        <w:pStyle w:val="14"/>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2、医用气体系统运行管理制度应包括设备巡视检查制度，设备定期维护保养制度，安全管理制度，动火、用电安全管理制度，值班制度，气瓶管理制度，应急预案演练制度，消防管理制度．安全教育、培训制度，档案管理制度等。 </w:t>
      </w:r>
    </w:p>
    <w:p w14:paraId="229FEF3F">
      <w:pPr>
        <w:pStyle w:val="14"/>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3、设备巡视检查制度应包括下列内容： </w:t>
      </w:r>
    </w:p>
    <w:p w14:paraId="66EE74E4">
      <w:pPr>
        <w:pStyle w:val="14"/>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（1） 确定巡检人员、时间、路线、检查内容和要求； </w:t>
      </w:r>
    </w:p>
    <w:p w14:paraId="48C529DD">
      <w:pPr>
        <w:pStyle w:val="14"/>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（2） 落实每日安全巡查的要求，加强夜间及节假日的巡查； </w:t>
      </w:r>
    </w:p>
    <w:p w14:paraId="00BB6FC7">
      <w:pPr>
        <w:pStyle w:val="14"/>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（3） 巡检人员按照巡视流程的要求，填写巡检记录，管理人员应对记录进行检查； </w:t>
      </w:r>
    </w:p>
    <w:p w14:paraId="1DCB7A73">
      <w:pPr>
        <w:pStyle w:val="14"/>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（4）巡检时，发现隐患和故障应立即处理并记录；无法处理时，应即刻向管理负责人报告， 并记录存档。 </w:t>
      </w:r>
    </w:p>
    <w:p w14:paraId="4D09EC0C">
      <w:pPr>
        <w:pStyle w:val="14"/>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4、设备定期维护保养制度应包括下列内容： </w:t>
      </w:r>
    </w:p>
    <w:p w14:paraId="4BAF3C94">
      <w:pPr>
        <w:pStyle w:val="14"/>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（1） 落实医用气体设备的维修管理负责人； </w:t>
      </w:r>
    </w:p>
    <w:p w14:paraId="79861BFA">
      <w:pPr>
        <w:pStyle w:val="14"/>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（2） 按照设备维护保养要求制定年、季、月、周维护保养计划； </w:t>
      </w:r>
    </w:p>
    <w:p w14:paraId="1D64F079">
      <w:pPr>
        <w:pStyle w:val="14"/>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（3） 规定医用气体设备和系统检查周期及维护要求； </w:t>
      </w:r>
    </w:p>
    <w:p w14:paraId="3A6529B7">
      <w:pPr>
        <w:pStyle w:val="14"/>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（4） 建立医用气体设备和系统的维护管理档案； </w:t>
      </w:r>
    </w:p>
    <w:p w14:paraId="05F5690E">
      <w:pPr>
        <w:pStyle w:val="14"/>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（5） 医用气体设备和系统中的压力容器、压力管道及附件应在合格有效期满前，向特种设备检验检测机构申请检验。</w:t>
      </w:r>
    </w:p>
    <w:p w14:paraId="68232BC5">
      <w:pPr>
        <w:pStyle w:val="14"/>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5、安全管理制度应包括下列内容： </w:t>
      </w:r>
    </w:p>
    <w:p w14:paraId="240E9936">
      <w:pPr>
        <w:pStyle w:val="14"/>
        <w:spacing w:line="360" w:lineRule="auto"/>
        <w:ind w:left="210" w:leftChars="100" w:firstLine="280" w:firstLineChars="1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（1） 医用气体从业人员应经过安全培训，经考试合格后方可上岗； </w:t>
      </w:r>
    </w:p>
    <w:p w14:paraId="44519B9D">
      <w:pPr>
        <w:pStyle w:val="14"/>
        <w:spacing w:line="360" w:lineRule="auto"/>
        <w:ind w:left="210" w:leftChars="100" w:firstLine="280" w:firstLineChars="1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（2） 非医用气体人员严禁操作气源设备； </w:t>
      </w:r>
    </w:p>
    <w:p w14:paraId="1CB780AC">
      <w:pPr>
        <w:pStyle w:val="14"/>
        <w:spacing w:line="360" w:lineRule="auto"/>
        <w:ind w:left="210" w:leftChars="100" w:firstLine="280" w:firstLineChars="1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（3） 医用气体设备和系统应由专人负责维护和保养； </w:t>
      </w:r>
    </w:p>
    <w:p w14:paraId="6FB3A3D5">
      <w:pPr>
        <w:pStyle w:val="14"/>
        <w:spacing w:line="360" w:lineRule="auto"/>
        <w:ind w:left="210" w:leftChars="100" w:firstLine="280" w:firstLineChars="1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（4） 医用气体用房必须保持锁闭； </w:t>
      </w:r>
    </w:p>
    <w:p w14:paraId="4188E71D">
      <w:pPr>
        <w:pStyle w:val="14"/>
        <w:spacing w:line="360" w:lineRule="auto"/>
        <w:ind w:left="210" w:leftChars="100" w:firstLine="280" w:firstLineChars="1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（5） 医用气体用房应保持良好通风，温度控制在 10℃～38℃，房内氧气浓度不超过 23%； </w:t>
      </w:r>
    </w:p>
    <w:p w14:paraId="1288880C">
      <w:pPr>
        <w:pStyle w:val="14"/>
        <w:spacing w:line="360" w:lineRule="auto"/>
        <w:ind w:left="210" w:leftChars="100" w:firstLine="280" w:firstLineChars="1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（6） 发生设备故障和医用气体泄漏时的应急处理措施。 </w:t>
      </w:r>
    </w:p>
    <w:p w14:paraId="3F003256">
      <w:pPr>
        <w:pStyle w:val="14"/>
        <w:spacing w:line="360" w:lineRule="auto"/>
        <w:ind w:left="210" w:leftChars="100" w:firstLine="280" w:firstLineChars="1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6、动火、用电安全管理制度应包括下列内容： </w:t>
      </w:r>
    </w:p>
    <w:p w14:paraId="4CB00AD6">
      <w:pPr>
        <w:pStyle w:val="14"/>
        <w:spacing w:line="360" w:lineRule="auto"/>
        <w:ind w:left="210" w:leftChars="100" w:firstLine="280" w:firstLineChars="1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（1） 明确用火、动火管理的责任部门和责任人，用火、动火的审批范围、程序和要求以及焊工的资格要求； </w:t>
      </w:r>
    </w:p>
    <w:p w14:paraId="2FB79382">
      <w:pPr>
        <w:pStyle w:val="14"/>
        <w:spacing w:line="360" w:lineRule="auto"/>
        <w:ind w:left="210" w:leftChars="100" w:firstLine="280" w:firstLineChars="100"/>
        <w:jc w:val="left"/>
        <w:rPr>
          <w:rFonts w:hint="eastAsia" w:ascii="仿宋" w:hAnsi="仿宋" w:eastAsia="仿宋" w:cs="仿宋"/>
          <w:color w:val="auto"/>
          <w:sz w:val="28"/>
          <w:szCs w:val="28"/>
        </w:rPr>
      </w:pPr>
      <w:r>
        <w:rPr>
          <w:rFonts w:hint="eastAsia" w:ascii="仿宋" w:hAnsi="仿宋" w:eastAsia="仿宋" w:cs="仿宋"/>
          <w:color w:val="auto"/>
          <w:sz w:val="28"/>
          <w:szCs w:val="28"/>
        </w:rPr>
        <w:t>（2） 在有气源的情况下，医用气体用房禁止动火。用电需采取防爆措施。若急需电焊等明火作业时，应关闭气源，排空局部管道气体。</w:t>
      </w:r>
    </w:p>
    <w:p w14:paraId="50FAA7C0">
      <w:pPr>
        <w:pStyle w:val="14"/>
        <w:spacing w:line="360" w:lineRule="auto"/>
        <w:ind w:left="210" w:leftChars="100" w:firstLine="281" w:firstLineChars="100"/>
        <w:jc w:val="left"/>
        <w:rPr>
          <w:rFonts w:hint="eastAsia" w:ascii="仿宋" w:hAnsi="仿宋" w:eastAsia="仿宋" w:cs="仿宋"/>
          <w:b/>
          <w:bCs/>
          <w:color w:val="auto"/>
          <w:sz w:val="28"/>
          <w:szCs w:val="28"/>
        </w:rPr>
      </w:pPr>
      <w:r>
        <w:rPr>
          <w:rFonts w:hint="eastAsia" w:ascii="仿宋" w:hAnsi="仿宋" w:eastAsia="仿宋" w:cs="仿宋"/>
          <w:b/>
          <w:bCs/>
          <w:color w:val="auto"/>
          <w:sz w:val="28"/>
          <w:szCs w:val="28"/>
        </w:rPr>
        <w:t>（二）维保人员工作要求</w:t>
      </w:r>
    </w:p>
    <w:p w14:paraId="6DA94A69">
      <w:pPr>
        <w:pStyle w:val="14"/>
        <w:spacing w:line="360" w:lineRule="auto"/>
        <w:ind w:left="210" w:leftChars="100" w:firstLine="280" w:firstLineChars="100"/>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1、必须具有特种设备安全管理和作业人员证。</w:t>
      </w:r>
    </w:p>
    <w:p w14:paraId="03B0CDB4">
      <w:pPr>
        <w:pStyle w:val="14"/>
        <w:spacing w:line="360" w:lineRule="auto"/>
        <w:ind w:left="210" w:leftChars="100" w:firstLine="280" w:firstLineChars="100"/>
        <w:jc w:val="left"/>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 xml:space="preserve">、医用气体站值班要求。 </w:t>
      </w:r>
    </w:p>
    <w:p w14:paraId="3C57DE80">
      <w:pPr>
        <w:pStyle w:val="14"/>
        <w:spacing w:line="360" w:lineRule="auto"/>
        <w:ind w:left="210" w:leftChars="100" w:firstLine="280" w:firstLineChars="100"/>
        <w:jc w:val="left"/>
        <w:rPr>
          <w:rFonts w:hint="eastAsia" w:ascii="仿宋" w:hAnsi="仿宋" w:eastAsia="仿宋" w:cs="仿宋"/>
          <w:color w:val="auto"/>
          <w:sz w:val="28"/>
          <w:szCs w:val="28"/>
        </w:rPr>
      </w:pPr>
      <w:r>
        <w:rPr>
          <w:rFonts w:hint="eastAsia" w:ascii="仿宋" w:hAnsi="仿宋" w:eastAsia="仿宋" w:cs="仿宋"/>
          <w:color w:val="auto"/>
          <w:sz w:val="28"/>
          <w:szCs w:val="28"/>
        </w:rPr>
        <w:t>（1）值班人员 24 小时在位。接到报修电话10分钟之内，到达现场。</w:t>
      </w:r>
      <w:r>
        <w:rPr>
          <w:rFonts w:hint="eastAsia" w:ascii="仿宋" w:hAnsi="仿宋" w:eastAsia="仿宋" w:cs="仿宋"/>
          <w:color w:val="auto"/>
          <w:sz w:val="28"/>
          <w:szCs w:val="28"/>
          <w:lang w:val="en-US" w:eastAsia="zh-CN"/>
        </w:rPr>
        <w:t>常规</w:t>
      </w:r>
      <w:r>
        <w:rPr>
          <w:rFonts w:hint="eastAsia" w:ascii="仿宋" w:hAnsi="仿宋" w:eastAsia="仿宋" w:cs="仿宋"/>
          <w:color w:val="auto"/>
          <w:sz w:val="28"/>
          <w:szCs w:val="28"/>
        </w:rPr>
        <w:t xml:space="preserve">故障30分钟以内排除。 </w:t>
      </w:r>
    </w:p>
    <w:p w14:paraId="312D50DF">
      <w:pPr>
        <w:pStyle w:val="14"/>
        <w:spacing w:line="360" w:lineRule="auto"/>
        <w:ind w:left="420" w:left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（2） 严格遵守执行医用气体运行操作人员规则、管理制度、操作规程。 </w:t>
      </w:r>
    </w:p>
    <w:p w14:paraId="7AB679D9">
      <w:pPr>
        <w:pStyle w:val="14"/>
        <w:spacing w:line="360" w:lineRule="auto"/>
        <w:ind w:left="420" w:left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（3） 严格遵守国家</w:t>
      </w:r>
      <w:r>
        <w:rPr>
          <w:rFonts w:hint="eastAsia" w:ascii="仿宋" w:hAnsi="仿宋" w:eastAsia="仿宋" w:cs="仿宋"/>
          <w:color w:val="auto"/>
          <w:sz w:val="28"/>
          <w:szCs w:val="28"/>
          <w:lang w:eastAsia="zh-CN"/>
        </w:rPr>
        <w:t>法律法规</w:t>
      </w:r>
      <w:r>
        <w:rPr>
          <w:rFonts w:hint="eastAsia" w:ascii="仿宋" w:hAnsi="仿宋" w:eastAsia="仿宋" w:cs="仿宋"/>
          <w:color w:val="auto"/>
          <w:sz w:val="28"/>
          <w:szCs w:val="28"/>
        </w:rPr>
        <w:t xml:space="preserve">和医院的各项规章制度。 </w:t>
      </w:r>
    </w:p>
    <w:p w14:paraId="6A530DDA">
      <w:pPr>
        <w:pStyle w:val="14"/>
        <w:spacing w:line="360" w:lineRule="auto"/>
        <w:ind w:left="420" w:left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rPr>
        <w:t xml:space="preserve">）医用气体从业人员应经过消防安全的培训，熟练掌握防火和灭火的基本技能。 </w:t>
      </w:r>
    </w:p>
    <w:p w14:paraId="224DB74D">
      <w:pPr>
        <w:pStyle w:val="14"/>
        <w:spacing w:line="360" w:lineRule="auto"/>
        <w:jc w:val="left"/>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 xml:space="preserve">    </w:t>
      </w:r>
      <w:r>
        <w:rPr>
          <w:rFonts w:hint="eastAsia" w:ascii="仿宋" w:hAnsi="仿宋" w:eastAsia="仿宋" w:cs="仿宋"/>
          <w:i w:val="0"/>
          <w:iCs w:val="0"/>
          <w:caps w:val="0"/>
          <w:color w:val="auto"/>
          <w:spacing w:val="0"/>
          <w:sz w:val="28"/>
          <w:szCs w:val="28"/>
        </w:rPr>
        <w:t>(5)维保人员需保持医用气体站房室内外卫生干净整洁。附属设施设备、全院供氧、负压空气系统、病房呼叫系统及输液天轨维护保养服务结束后周边卫生的干净整洁。</w:t>
      </w:r>
    </w:p>
    <w:p w14:paraId="6927BE1F">
      <w:pPr>
        <w:pStyle w:val="14"/>
        <w:spacing w:line="360" w:lineRule="auto"/>
        <w:ind w:left="210" w:leftChars="100" w:firstLine="280" w:firstLineChars="100"/>
        <w:jc w:val="left"/>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 xml:space="preserve">、 医用气体运行操作人员应履行以下职责： </w:t>
      </w:r>
    </w:p>
    <w:p w14:paraId="0F133195">
      <w:pPr>
        <w:pStyle w:val="14"/>
        <w:spacing w:line="360" w:lineRule="auto"/>
        <w:ind w:left="210" w:leftChars="1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（1）严格遵守有关的各项规章制度，对本岗位的安全负责： </w:t>
      </w:r>
    </w:p>
    <w:p w14:paraId="2AE867EC">
      <w:pPr>
        <w:pStyle w:val="14"/>
        <w:spacing w:line="360" w:lineRule="auto"/>
        <w:ind w:left="210" w:leftChars="1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（2）熟练掌握医用气体设备及系统的工作原理和维护保养流程； </w:t>
      </w:r>
    </w:p>
    <w:p w14:paraId="0D1AE046">
      <w:pPr>
        <w:pStyle w:val="14"/>
        <w:spacing w:line="360" w:lineRule="auto"/>
        <w:ind w:left="210" w:leftChars="1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（3）严格执行操作规程，正确维护和操作设备，正确使用维修工具、防护用具和消防器材； </w:t>
      </w:r>
    </w:p>
    <w:p w14:paraId="13B6DD28">
      <w:pPr>
        <w:pStyle w:val="14"/>
        <w:spacing w:line="360" w:lineRule="auto"/>
        <w:ind w:left="210" w:leftChars="1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（4）按照巡视流程定期进行巡视检查，发现异常时应按照事故处理流程进行处理，并做好记录； </w:t>
      </w:r>
    </w:p>
    <w:p w14:paraId="21772444">
      <w:pPr>
        <w:pStyle w:val="14"/>
        <w:spacing w:line="360" w:lineRule="auto"/>
        <w:ind w:left="210" w:leftChars="1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（5）按计划完成设备维护、保养工作，做好设备维护记录； </w:t>
      </w:r>
    </w:p>
    <w:p w14:paraId="6D9DA828">
      <w:pPr>
        <w:pStyle w:val="14"/>
        <w:spacing w:line="360" w:lineRule="auto"/>
        <w:ind w:left="210" w:leftChars="1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（6）按照交接班制度进行交接班，详细填写交接班记录； </w:t>
      </w:r>
    </w:p>
    <w:p w14:paraId="21797791">
      <w:pPr>
        <w:pStyle w:val="14"/>
        <w:spacing w:line="360" w:lineRule="auto"/>
        <w:ind w:left="210" w:leftChars="1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（7）发现故障和隐患及时排除，并做好记录； </w:t>
      </w:r>
    </w:p>
    <w:p w14:paraId="04D771D5">
      <w:pPr>
        <w:pStyle w:val="14"/>
        <w:spacing w:line="360" w:lineRule="auto"/>
        <w:ind w:left="210" w:leftChars="1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（8）接受设备维护、保养、使用等安全知识的培训； </w:t>
      </w:r>
    </w:p>
    <w:p w14:paraId="35A898CE">
      <w:pPr>
        <w:pStyle w:val="14"/>
        <w:spacing w:line="360" w:lineRule="auto"/>
        <w:ind w:left="210" w:leftChars="1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（9）着工作装上岗，保持工作环境整洁。 </w:t>
      </w:r>
    </w:p>
    <w:p w14:paraId="463325FD">
      <w:pPr>
        <w:keepNext w:val="0"/>
        <w:keepLines w:val="0"/>
        <w:pageBreakBefore w:val="0"/>
        <w:numPr>
          <w:ilvl w:val="0"/>
          <w:numId w:val="0"/>
        </w:numPr>
        <w:kinsoku/>
        <w:wordWrap/>
        <w:overflowPunct/>
        <w:topLinePunct w:val="0"/>
        <w:autoSpaceDE/>
        <w:autoSpaceDN/>
        <w:bidi w:val="0"/>
        <w:adjustRightInd/>
        <w:snapToGrid/>
        <w:spacing w:beforeLines="50" w:afterLines="50" w:line="560" w:lineRule="exact"/>
        <w:ind w:firstLine="562" w:firstLineChars="200"/>
        <w:outlineLvl w:val="1"/>
        <w:rPr>
          <w:rFonts w:hint="eastAsia" w:ascii="仿宋" w:hAnsi="仿宋" w:eastAsia="仿宋" w:cs="仿宋"/>
          <w:b/>
          <w:bCs/>
          <w:color w:val="auto"/>
          <w:sz w:val="28"/>
          <w:szCs w:val="28"/>
        </w:rPr>
      </w:pPr>
      <w:r>
        <w:rPr>
          <w:rFonts w:hint="eastAsia" w:ascii="仿宋" w:hAnsi="仿宋" w:eastAsia="仿宋" w:cs="仿宋"/>
          <w:b/>
          <w:bCs/>
          <w:color w:val="auto"/>
          <w:sz w:val="28"/>
          <w:szCs w:val="28"/>
          <w:lang w:val="en-US" w:eastAsia="zh-CN"/>
        </w:rPr>
        <w:t>五、</w:t>
      </w:r>
      <w:r>
        <w:rPr>
          <w:rFonts w:hint="eastAsia" w:ascii="仿宋" w:hAnsi="仿宋" w:eastAsia="仿宋" w:cs="仿宋"/>
          <w:b/>
          <w:bCs/>
          <w:color w:val="auto"/>
          <w:sz w:val="28"/>
          <w:szCs w:val="28"/>
        </w:rPr>
        <w:t>本项目管理要求</w:t>
      </w:r>
    </w:p>
    <w:p w14:paraId="00906BB6">
      <w:pPr>
        <w:pStyle w:val="2"/>
        <w:spacing w:line="360" w:lineRule="auto"/>
        <w:ind w:firstLine="840" w:firstLineChars="300"/>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（一）本项目运行管理要求</w:t>
      </w:r>
    </w:p>
    <w:p w14:paraId="363C2C37">
      <w:pPr>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1.维护管理：维修所用主要配件必须是优于或等于国家标准的。  </w:t>
      </w:r>
    </w:p>
    <w:p w14:paraId="482D2B66">
      <w:pPr>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2.运行管理：巡查规范，常驻人员在采购人单位工作期间必须遵守医院制度及医院疫情防控要求，保证管理范围内的设备、设施正常运行。</w:t>
      </w:r>
    </w:p>
    <w:p w14:paraId="57FA0D3F">
      <w:pPr>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3.人员管理：值守维修人员严格执行国家最新标准行业标准进行规范性巡检及维护，医院维护管理要求，按照采购人管理要求着工作服，佩戴工作证。</w:t>
      </w:r>
    </w:p>
    <w:p w14:paraId="48E5E416">
      <w:pPr>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4.档案管理：定期监测，记录完整，档案按要求进行归档，并对监测报告进行归纳，</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 xml:space="preserve">、采购人各保留壹份。  </w:t>
      </w:r>
    </w:p>
    <w:p w14:paraId="7AC4A31F">
      <w:pPr>
        <w:spacing w:line="360" w:lineRule="auto"/>
        <w:ind w:firstLine="840" w:firstLineChars="300"/>
        <w:jc w:val="left"/>
        <w:rPr>
          <w:rFonts w:hint="eastAsia" w:ascii="仿宋" w:hAnsi="仿宋" w:eastAsia="仿宋" w:cs="仿宋"/>
          <w:color w:val="auto"/>
          <w:sz w:val="28"/>
          <w:szCs w:val="28"/>
        </w:rPr>
      </w:pPr>
      <w:r>
        <w:rPr>
          <w:rFonts w:hint="eastAsia" w:ascii="仿宋" w:hAnsi="仿宋" w:eastAsia="仿宋" w:cs="仿宋"/>
          <w:color w:val="auto"/>
          <w:sz w:val="28"/>
          <w:szCs w:val="28"/>
        </w:rPr>
        <w:t>（二）在维护保养期间因</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违约而造成采购人系统或设备不能正常使用，甚至造成不良后果，</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须承担相应的赔偿责任，如因</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原因造成严重后果将依法追究相应的法律责任。</w:t>
      </w:r>
    </w:p>
    <w:p w14:paraId="2D0989CF">
      <w:pPr>
        <w:spacing w:line="360" w:lineRule="auto"/>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 xml:space="preserve"> （</w:t>
      </w:r>
      <w:r>
        <w:rPr>
          <w:rFonts w:hint="eastAsia" w:ascii="仿宋" w:hAnsi="仿宋" w:eastAsia="仿宋" w:cs="仿宋"/>
          <w:color w:val="auto"/>
          <w:sz w:val="28"/>
          <w:szCs w:val="28"/>
          <w:lang w:eastAsia="zh-CN"/>
        </w:rPr>
        <w:t>三</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需遵守人身及财产安全管理要求责任，因</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原因发生一切责任事故由</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承担全部责任。如因</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原因造成严重后果将依法追究相应的法律责任。</w:t>
      </w:r>
    </w:p>
    <w:p w14:paraId="4A3E58F4">
      <w:pPr>
        <w:pStyle w:val="2"/>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 xml:space="preserve">     （</w:t>
      </w:r>
      <w:r>
        <w:rPr>
          <w:rFonts w:hint="eastAsia" w:ascii="仿宋" w:hAnsi="仿宋" w:eastAsia="仿宋" w:cs="仿宋"/>
          <w:color w:val="auto"/>
          <w:sz w:val="28"/>
          <w:szCs w:val="28"/>
          <w:lang w:val="en-US" w:eastAsia="zh-CN"/>
        </w:rPr>
        <w:t>四</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在维护保养期间，按规范提出维保建议或发现维保系统及设备存在安全隐患提出整改意见，请采购人及时处理。如因采购人不予处理或处理不及时所造成的相应后果，</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不承担责任。</w:t>
      </w:r>
    </w:p>
    <w:p w14:paraId="1A26D74D">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 xml:space="preserve"> （</w:t>
      </w:r>
      <w:r>
        <w:rPr>
          <w:rFonts w:hint="eastAsia" w:ascii="仿宋" w:hAnsi="仿宋" w:eastAsia="仿宋" w:cs="仿宋"/>
          <w:color w:val="auto"/>
          <w:sz w:val="28"/>
          <w:szCs w:val="28"/>
          <w:lang w:val="en-US" w:eastAsia="zh-CN"/>
        </w:rPr>
        <w:t>五</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须遵守</w:t>
      </w:r>
      <w:r>
        <w:rPr>
          <w:rFonts w:hint="eastAsia" w:ascii="仿宋" w:hAnsi="仿宋" w:eastAsia="仿宋" w:cs="仿宋"/>
          <w:color w:val="auto"/>
          <w:sz w:val="28"/>
          <w:szCs w:val="28"/>
          <w:lang w:val="en-US" w:eastAsia="zh-CN"/>
        </w:rPr>
        <w:t>采购文件要求和</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的院内各项</w:t>
      </w:r>
      <w:r>
        <w:rPr>
          <w:rFonts w:hint="eastAsia" w:ascii="仿宋" w:hAnsi="仿宋" w:eastAsia="仿宋" w:cs="仿宋"/>
          <w:color w:val="auto"/>
          <w:sz w:val="28"/>
          <w:szCs w:val="28"/>
          <w:lang w:val="en-US" w:eastAsia="zh-CN"/>
        </w:rPr>
        <w:t>规章</w:t>
      </w:r>
      <w:r>
        <w:rPr>
          <w:rFonts w:hint="eastAsia" w:ascii="仿宋" w:hAnsi="仿宋" w:eastAsia="仿宋" w:cs="仿宋"/>
          <w:color w:val="auto"/>
          <w:sz w:val="28"/>
          <w:szCs w:val="28"/>
        </w:rPr>
        <w:t>制度，</w:t>
      </w:r>
      <w:r>
        <w:rPr>
          <w:rFonts w:hint="eastAsia" w:ascii="仿宋" w:hAnsi="仿宋" w:eastAsia="仿宋" w:cs="仿宋"/>
          <w:color w:val="auto"/>
          <w:sz w:val="28"/>
          <w:szCs w:val="28"/>
          <w:lang w:val="en-US" w:eastAsia="zh-CN"/>
        </w:rPr>
        <w:t>供应商</w:t>
      </w:r>
      <w:r>
        <w:rPr>
          <w:rFonts w:hint="eastAsia" w:ascii="仿宋" w:hAnsi="仿宋" w:eastAsia="仿宋" w:cs="仿宋"/>
          <w:color w:val="auto"/>
          <w:sz w:val="28"/>
          <w:szCs w:val="28"/>
        </w:rPr>
        <w:t>在指定的区域内进行</w:t>
      </w:r>
      <w:r>
        <w:rPr>
          <w:rFonts w:hint="eastAsia" w:ascii="仿宋" w:hAnsi="仿宋" w:eastAsia="仿宋" w:cs="仿宋"/>
          <w:color w:val="auto"/>
          <w:sz w:val="28"/>
          <w:szCs w:val="28"/>
          <w:lang w:val="en-US" w:eastAsia="zh-CN"/>
        </w:rPr>
        <w:t>工作</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做好各项安全保障工作和预案，做好员工安全教育工作，</w:t>
      </w:r>
      <w:r>
        <w:rPr>
          <w:rFonts w:hint="eastAsia" w:ascii="仿宋" w:hAnsi="仿宋" w:eastAsia="仿宋" w:cs="仿宋"/>
          <w:color w:val="auto"/>
          <w:sz w:val="28"/>
          <w:szCs w:val="28"/>
          <w:lang w:val="en-US" w:eastAsia="zh-CN"/>
        </w:rPr>
        <w:t>确保员工安全</w:t>
      </w:r>
      <w:r>
        <w:rPr>
          <w:rFonts w:hint="eastAsia" w:ascii="仿宋" w:hAnsi="仿宋" w:eastAsia="仿宋" w:cs="仿宋"/>
          <w:color w:val="auto"/>
          <w:sz w:val="28"/>
          <w:szCs w:val="28"/>
        </w:rPr>
        <w:t>，严格执行国家相关法律法规、安全规章制度，采取有效的安全措施，合同履行过程中由</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及员工原因造成的一切安全事故、人身伤亡、经济损失均由</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自行负责承担，其责任与</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无关。若</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造成</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损失的，包括但不限于</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本身的财产损失或人身伤害、</w:t>
      </w:r>
      <w:r>
        <w:rPr>
          <w:rFonts w:hint="eastAsia" w:ascii="仿宋" w:hAnsi="仿宋" w:eastAsia="仿宋" w:cs="仿宋"/>
          <w:color w:val="auto"/>
          <w:sz w:val="28"/>
          <w:szCs w:val="28"/>
          <w:lang w:val="en-US" w:eastAsia="zh-CN"/>
        </w:rPr>
        <w:t>或</w:t>
      </w:r>
      <w:r>
        <w:rPr>
          <w:rFonts w:hint="eastAsia" w:ascii="仿宋" w:hAnsi="仿宋" w:eastAsia="仿宋" w:cs="仿宋"/>
          <w:color w:val="auto"/>
          <w:sz w:val="28"/>
          <w:szCs w:val="28"/>
        </w:rPr>
        <w:t>由此而导致的</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对任何第三方的法律责任等，</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对此均应承担全部的赔偿责任和法律责任。</w:t>
      </w:r>
    </w:p>
    <w:p w14:paraId="124CB3C3">
      <w:pPr>
        <w:pStyle w:val="2"/>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六</w:t>
      </w:r>
      <w:r>
        <w:rPr>
          <w:rFonts w:hint="eastAsia" w:ascii="仿宋" w:hAnsi="仿宋" w:eastAsia="仿宋" w:cs="仿宋"/>
          <w:color w:val="auto"/>
          <w:sz w:val="28"/>
          <w:szCs w:val="28"/>
        </w:rPr>
        <w:t>）采购人与供应商仅为签订采购合同的合作关系，供应商所提供维保服务的工作人员与采购人之间没有任何劳动用工关系和雇佣关系。供应商为本项目工作人员办理用工手续并支付一切费用。供应商必须认真执行中华人民共和国《劳动法》、《民法典》等相关规定，必须与员工建立合法的用工关系，必须与工作人员签订劳动合同，必须认真履行各项义务，确保员工的合法权益。供应商为本项目员工发放劳动报酬、福利待遇和缴存社会保险，其具体金额由供应商与维保人员协商确定，供应商为本项目员工发放的劳动报酬不得低于四川省达州市相关政策规定，如遇劳动薪酬、福利待遇、社会保险等纠纷问题一概由供应商自行解决，供应商与维保人员之间的任何争议纠纷与采购人无关。供应商每年为本项目的维保工作人员投保意外伤害保险。</w:t>
      </w:r>
    </w:p>
    <w:p w14:paraId="7B45E9C6">
      <w:pPr>
        <w:keepNext w:val="0"/>
        <w:keepLines w:val="0"/>
        <w:pageBreakBefore w:val="0"/>
        <w:numPr>
          <w:ilvl w:val="0"/>
          <w:numId w:val="0"/>
        </w:numPr>
        <w:kinsoku/>
        <w:wordWrap/>
        <w:overflowPunct/>
        <w:topLinePunct w:val="0"/>
        <w:autoSpaceDE/>
        <w:autoSpaceDN/>
        <w:bidi w:val="0"/>
        <w:adjustRightInd/>
        <w:snapToGrid/>
        <w:spacing w:beforeLines="50" w:afterLines="50" w:line="560" w:lineRule="exact"/>
        <w:ind w:firstLine="562" w:firstLineChars="200"/>
        <w:textAlignment w:val="auto"/>
        <w:outlineLvl w:val="1"/>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六、商务要求</w:t>
      </w:r>
      <w:bookmarkStart w:id="0" w:name="_GoBack"/>
      <w:bookmarkEnd w:id="0"/>
    </w:p>
    <w:p w14:paraId="4C1B8C5C">
      <w:pPr>
        <w:pStyle w:val="15"/>
        <w:keepNext w:val="0"/>
        <w:keepLines w:val="0"/>
        <w:pageBreakBefore w:val="0"/>
        <w:kinsoku/>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（一）合同的履行期限</w:t>
      </w:r>
    </w:p>
    <w:p w14:paraId="355251C4">
      <w:pPr>
        <w:pStyle w:val="15"/>
        <w:keepNext w:val="0"/>
        <w:keepLines w:val="0"/>
        <w:pageBreakBefore w:val="0"/>
        <w:kinsoku/>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由采购人、供应商双方合同签字盖章生效之日起，约定本项目供应商服务期限为365天。</w:t>
      </w:r>
    </w:p>
    <w:p w14:paraId="4D031E33">
      <w:pPr>
        <w:pStyle w:val="15"/>
        <w:keepNext w:val="0"/>
        <w:keepLines w:val="0"/>
        <w:pageBreakBefore w:val="0"/>
        <w:kinsoku/>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（二）合同的续签</w:t>
      </w:r>
    </w:p>
    <w:p w14:paraId="2942E6F0">
      <w:pPr>
        <w:pStyle w:val="15"/>
        <w:keepNext w:val="0"/>
        <w:keepLines w:val="0"/>
        <w:pageBreakBefore w:val="0"/>
        <w:kinsoku/>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合同履行完毕后，在法律法规和行政机关允许情况下，采购人根据供应商项目服务完成情况和服务质量决定是否续签合同。每次合同续签最长时间不超过1年，本项目最多续签1次。</w:t>
      </w:r>
    </w:p>
    <w:p w14:paraId="7386B3DD">
      <w:pPr>
        <w:pStyle w:val="15"/>
        <w:keepNext w:val="0"/>
        <w:keepLines w:val="0"/>
        <w:pageBreakBefore w:val="0"/>
        <w:kinsoku/>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（三）项目履行地点：四川省大竹县白塔街道青年路99号，大竹县人民医院院内指定地点。</w:t>
      </w:r>
    </w:p>
    <w:p w14:paraId="28A42F7C">
      <w:pPr>
        <w:pStyle w:val="15"/>
        <w:keepNext w:val="0"/>
        <w:keepLines w:val="0"/>
        <w:pageBreakBefore w:val="0"/>
        <w:kinsoku/>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（四）项目付款方式</w:t>
      </w:r>
    </w:p>
    <w:p w14:paraId="49EDA534">
      <w:pPr>
        <w:pStyle w:val="15"/>
        <w:keepNext w:val="0"/>
        <w:keepLines w:val="0"/>
        <w:pageBreakBefore w:val="0"/>
        <w:kinsoku/>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1.本项目采购合同双方签字盖章生效后，供应商每提供6个月的维保服务，采购人向供应商转账支付成交总价的50%，整个合同履行周期，采购人共支付两次费用。</w:t>
      </w:r>
    </w:p>
    <w:p w14:paraId="201028BF">
      <w:pPr>
        <w:pStyle w:val="15"/>
        <w:keepNext w:val="0"/>
        <w:keepLines w:val="0"/>
        <w:pageBreakBefore w:val="0"/>
        <w:kinsoku/>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2.采购人采用银行转账方式付款，每次付款前，供应商须向采购人提交有效的服务台账、足额正规发票等材料，一般纳税人应开具增值税发票，否则采购人有权拒绝付款。采购人在收到发票后60日内向供应商支付该笔服务费。</w:t>
      </w:r>
    </w:p>
    <w:p w14:paraId="47C3FAEA">
      <w:pPr>
        <w:pStyle w:val="3"/>
        <w:rPr>
          <w:rFonts w:hint="eastAsia"/>
          <w:lang w:val="en-US" w:eastAsia="zh-CN"/>
        </w:rPr>
      </w:pPr>
    </w:p>
    <w:sectPr>
      <w:footerReference r:id="rId3"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33F9B755-3437-415D-838E-0F7856522E3E}"/>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embedRegular r:id="rId2" w:fontKey="{E703E381-FAA6-472A-9747-0E09DD0EF6AB}"/>
  </w:font>
  <w:font w:name="新宋体">
    <w:panose1 w:val="02010609030101010101"/>
    <w:charset w:val="86"/>
    <w:family w:val="modern"/>
    <w:pitch w:val="default"/>
    <w:sig w:usb0="00000283" w:usb1="288F0000" w:usb2="00000006" w:usb3="00000000" w:csb0="00040001" w:csb1="00000000"/>
  </w:font>
  <w:font w:name="方正公文小标宋">
    <w:panose1 w:val="02000500000000000000"/>
    <w:charset w:val="86"/>
    <w:family w:val="auto"/>
    <w:pitch w:val="default"/>
    <w:sig w:usb0="A00002BF" w:usb1="38CF7CFA" w:usb2="00000016" w:usb3="00000000" w:csb0="00040001" w:csb1="00000000"/>
    <w:embedRegular r:id="rId3" w:fontKey="{9AF144D9-917A-4830-BC94-0213943E7E6B}"/>
  </w:font>
  <w:font w:name="方正仿宋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CB769">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F18634">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BF18634">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151702"/>
    <w:multiLevelType w:val="multilevel"/>
    <w:tmpl w:val="7B151702"/>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19"/>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617798"/>
    <w:rsid w:val="22E17747"/>
    <w:rsid w:val="2B6232DE"/>
    <w:rsid w:val="38037EA9"/>
    <w:rsid w:val="51A333AD"/>
    <w:rsid w:val="56316E24"/>
    <w:rsid w:val="667478EF"/>
    <w:rsid w:val="69842596"/>
    <w:rsid w:val="69DB2FB8"/>
    <w:rsid w:val="6C7901C9"/>
    <w:rsid w:val="74E84BB9"/>
    <w:rsid w:val="7F1A70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0"/>
    <w:pPr>
      <w:spacing w:after="120"/>
    </w:pPr>
    <w:rPr>
      <w:rFonts w:ascii="Times New Roman"/>
      <w:kern w:val="2"/>
      <w:sz w:val="21"/>
      <w:szCs w:val="24"/>
    </w:rPr>
  </w:style>
  <w:style w:type="paragraph" w:styleId="3">
    <w:name w:val="Subtitle"/>
    <w:basedOn w:val="1"/>
    <w:next w:val="1"/>
    <w:qFormat/>
    <w:uiPriority w:val="0"/>
    <w:pPr>
      <w:spacing w:before="240" w:after="60" w:line="312" w:lineRule="auto"/>
      <w:jc w:val="center"/>
      <w:outlineLvl w:val="1"/>
    </w:pPr>
    <w:rPr>
      <w:rFonts w:ascii="Cambria" w:hAnsi="Cambria"/>
      <w:b/>
      <w:bCs/>
      <w:color w:val="000000"/>
      <w:kern w:val="28"/>
      <w:sz w:val="32"/>
      <w:szCs w:val="32"/>
    </w:rPr>
  </w:style>
  <w:style w:type="paragraph" w:styleId="5">
    <w:name w:val="Normal Indent"/>
    <w:basedOn w:val="1"/>
    <w:unhideWhenUsed/>
    <w:qFormat/>
    <w:uiPriority w:val="0"/>
    <w:pPr>
      <w:ind w:firstLine="420" w:firstLineChars="200"/>
    </w:pPr>
    <w:rPr>
      <w:rFonts w:ascii="Times New Roman" w:hAnsi="Times New Roman"/>
      <w:kern w:val="0"/>
      <w:sz w:val="20"/>
      <w:szCs w:val="24"/>
    </w:rPr>
  </w:style>
  <w:style w:type="paragraph" w:styleId="6">
    <w:name w:val="footer"/>
    <w:basedOn w:val="1"/>
    <w:semiHidden/>
    <w:unhideWhenUsed/>
    <w:qFormat/>
    <w:uiPriority w:val="99"/>
    <w:pPr>
      <w:tabs>
        <w:tab w:val="center" w:pos="4153"/>
        <w:tab w:val="right" w:pos="8306"/>
      </w:tabs>
      <w:snapToGrid w:val="0"/>
      <w:jc w:val="left"/>
    </w:pPr>
    <w:rPr>
      <w:sz w:val="18"/>
      <w:szCs w:val="18"/>
    </w:rPr>
  </w:style>
  <w:style w:type="paragraph" w:styleId="7">
    <w:name w:val="Normal (Web)"/>
    <w:basedOn w:val="1"/>
    <w:unhideWhenUsed/>
    <w:qFormat/>
    <w:uiPriority w:val="0"/>
    <w:pPr>
      <w:widowControl/>
      <w:spacing w:before="100" w:beforeAutospacing="1" w:after="100" w:afterAutospacing="1"/>
      <w:jc w:val="left"/>
    </w:pPr>
    <w:rPr>
      <w:rFonts w:ascii="宋体" w:hAnsi="宋体"/>
      <w:kern w:val="0"/>
      <w:sz w:val="24"/>
    </w:rPr>
  </w:style>
  <w:style w:type="paragraph" w:styleId="8">
    <w:name w:val="Body Text First Indent"/>
    <w:basedOn w:val="2"/>
    <w:next w:val="1"/>
    <w:unhideWhenUsed/>
    <w:qFormat/>
    <w:uiPriority w:val="99"/>
    <w:pPr>
      <w:ind w:firstLine="420" w:firstLineChars="1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paragraph" w:styleId="13">
    <w:name w:val="List Paragraph"/>
    <w:basedOn w:val="1"/>
    <w:autoRedefine/>
    <w:qFormat/>
    <w:uiPriority w:val="0"/>
    <w:pPr>
      <w:ind w:firstLine="420" w:firstLineChars="200"/>
    </w:pPr>
    <w:rPr>
      <w:szCs w:val="24"/>
    </w:rPr>
  </w:style>
  <w:style w:type="paragraph" w:customStyle="1" w:styleId="14">
    <w:name w:val="正文_1"/>
    <w:autoRedefine/>
    <w:qFormat/>
    <w:uiPriority w:val="0"/>
    <w:pPr>
      <w:widowControl w:val="0"/>
      <w:spacing w:line="480" w:lineRule="exact"/>
      <w:jc w:val="both"/>
    </w:pPr>
    <w:rPr>
      <w:rFonts w:ascii="Times New Roman" w:hAnsi="Times New Roman" w:eastAsia="宋体" w:cs="Times New Roman"/>
      <w:kern w:val="2"/>
      <w:sz w:val="21"/>
      <w:szCs w:val="24"/>
      <w:lang w:val="en-US" w:eastAsia="zh-CN" w:bidi="ar-SA"/>
    </w:rPr>
  </w:style>
  <w:style w:type="paragraph" w:customStyle="1" w:styleId="15">
    <w:name w:val="正文文本_0"/>
    <w:basedOn w:val="16"/>
    <w:next w:val="17"/>
    <w:qFormat/>
    <w:uiPriority w:val="0"/>
    <w:pPr>
      <w:spacing w:after="120"/>
    </w:pPr>
  </w:style>
  <w:style w:type="paragraph" w:customStyle="1" w:styleId="16">
    <w:name w:val="正文_1_0"/>
    <w:next w:val="15"/>
    <w:autoRedefine/>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17">
    <w:name w:val="引用1"/>
    <w:next w:val="14"/>
    <w:qFormat/>
    <w:uiPriority w:val="0"/>
    <w:pPr>
      <w:wordWrap w:val="0"/>
      <w:spacing w:before="200" w:after="160"/>
      <w:ind w:left="864" w:right="864"/>
      <w:jc w:val="center"/>
    </w:pPr>
    <w:rPr>
      <w:rFonts w:ascii="Calibri" w:hAnsi="Calibri" w:eastAsia="宋体" w:cs="Times New Roman"/>
      <w:i/>
      <w:sz w:val="21"/>
      <w:lang w:val="en-US" w:eastAsia="zh-CN" w:bidi="ar-SA"/>
    </w:rPr>
  </w:style>
  <w:style w:type="paragraph" w:customStyle="1" w:styleId="18">
    <w:name w:val="正文_2"/>
    <w:next w:val="19"/>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9">
    <w:name w:val="标题 5（有编号）（绿盟科技）"/>
    <w:basedOn w:val="18"/>
    <w:next w:val="20"/>
    <w:autoRedefine/>
    <w:qFormat/>
    <w:uiPriority w:val="0"/>
    <w:pPr>
      <w:keepNext/>
      <w:keepLines/>
      <w:numPr>
        <w:ilvl w:val="4"/>
        <w:numId w:val="1"/>
      </w:numPr>
      <w:spacing w:before="280" w:after="156" w:line="377" w:lineRule="auto"/>
      <w:jc w:val="left"/>
      <w:outlineLvl w:val="4"/>
    </w:pPr>
    <w:rPr>
      <w:rFonts w:ascii="Arial" w:hAnsi="Arial" w:eastAsia="黑体"/>
      <w:b/>
      <w:sz w:val="24"/>
      <w:szCs w:val="28"/>
    </w:rPr>
  </w:style>
  <w:style w:type="paragraph" w:customStyle="1" w:styleId="20">
    <w:name w:val="正文（绿盟科技）"/>
    <w:autoRedefine/>
    <w:qFormat/>
    <w:uiPriority w:val="0"/>
    <w:pPr>
      <w:spacing w:line="300" w:lineRule="auto"/>
    </w:pPr>
    <w:rPr>
      <w:rFonts w:ascii="Arial" w:hAnsi="Arial" w:eastAsia="宋体" w:cs="黑体"/>
      <w:sz w:val="21"/>
      <w:szCs w:val="21"/>
      <w:lang w:val="en-US" w:eastAsia="zh-CN" w:bidi="ar-SA"/>
    </w:rPr>
  </w:style>
  <w:style w:type="character" w:customStyle="1" w:styleId="21">
    <w:name w:val="font41"/>
    <w:basedOn w:val="11"/>
    <w:autoRedefine/>
    <w:qFormat/>
    <w:uiPriority w:val="0"/>
    <w:rPr>
      <w:rFonts w:ascii="Arial" w:hAnsi="Arial" w:cs="Arial"/>
      <w:color w:val="000000"/>
      <w:sz w:val="24"/>
      <w:szCs w:val="24"/>
      <w:u w:val="none"/>
    </w:rPr>
  </w:style>
  <w:style w:type="character" w:customStyle="1" w:styleId="22">
    <w:name w:val="font31"/>
    <w:basedOn w:val="11"/>
    <w:autoRedefine/>
    <w:qFormat/>
    <w:uiPriority w:val="0"/>
    <w:rPr>
      <w:rFonts w:hint="eastAsia" w:ascii="仿宋" w:hAnsi="仿宋" w:eastAsia="仿宋" w:cs="仿宋"/>
      <w:color w:val="000000"/>
      <w:sz w:val="24"/>
      <w:szCs w:val="24"/>
      <w:u w:val="none"/>
    </w:rPr>
  </w:style>
  <w:style w:type="paragraph" w:customStyle="1" w:styleId="23">
    <w:name w:val="正文文本_1"/>
    <w:basedOn w:val="24"/>
    <w:next w:val="24"/>
    <w:autoRedefine/>
    <w:unhideWhenUsed/>
    <w:qFormat/>
    <w:uiPriority w:val="99"/>
    <w:pPr>
      <w:spacing w:after="120"/>
    </w:pPr>
    <w:rPr>
      <w:rFonts w:ascii="Times New Roman" w:hAnsi="Times New Roman"/>
      <w:kern w:val="0"/>
      <w:sz w:val="20"/>
      <w:szCs w:val="20"/>
    </w:rPr>
  </w:style>
  <w:style w:type="paragraph" w:customStyle="1" w:styleId="24">
    <w:name w:val="正文_3"/>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5">
    <w:name w:val="null3"/>
    <w:hidden/>
    <w:qFormat/>
    <w:uiPriority w:val="0"/>
    <w:rPr>
      <w:rFonts w:hint="eastAsia" w:asciiTheme="minorHAnsi" w:hAnsiTheme="minorHAnsi" w:eastAsiaTheme="minorEastAsia" w:cstheme="minorBidi"/>
      <w:lang w:val="en-US" w:eastAsia="zh-Hans"/>
    </w:rPr>
  </w:style>
  <w:style w:type="character" w:customStyle="1" w:styleId="26">
    <w:name w:val="font23"/>
    <w:basedOn w:val="11"/>
    <w:qFormat/>
    <w:uiPriority w:val="0"/>
    <w:rPr>
      <w:rFonts w:hint="eastAsia" w:ascii="新宋体" w:hAnsi="新宋体" w:eastAsia="新宋体" w:cs="新宋体"/>
      <w:color w:val="000000"/>
      <w:sz w:val="20"/>
      <w:szCs w:val="20"/>
      <w:u w:val="none"/>
    </w:rPr>
  </w:style>
  <w:style w:type="paragraph" w:customStyle="1" w:styleId="2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28">
    <w:name w:val="font51"/>
    <w:basedOn w:val="11"/>
    <w:qFormat/>
    <w:uiPriority w:val="0"/>
    <w:rPr>
      <w:rFonts w:hint="eastAsia" w:ascii="新宋体" w:hAnsi="新宋体" w:eastAsia="新宋体" w:cs="新宋体"/>
      <w:b/>
      <w:bCs/>
      <w:color w:val="000000"/>
      <w:sz w:val="20"/>
      <w:szCs w:val="20"/>
      <w:u w:val="none"/>
    </w:rPr>
  </w:style>
  <w:style w:type="character" w:customStyle="1" w:styleId="29">
    <w:name w:val="font191"/>
    <w:basedOn w:val="11"/>
    <w:qFormat/>
    <w:uiPriority w:val="0"/>
    <w:rPr>
      <w:rFonts w:ascii="Arial" w:hAnsi="Arial" w:cs="Arial"/>
      <w:color w:val="000000"/>
      <w:sz w:val="19"/>
      <w:szCs w:val="19"/>
      <w:u w:val="none"/>
    </w:rPr>
  </w:style>
  <w:style w:type="character" w:customStyle="1" w:styleId="30">
    <w:name w:val="font201"/>
    <w:basedOn w:val="11"/>
    <w:qFormat/>
    <w:uiPriority w:val="0"/>
    <w:rPr>
      <w:rFonts w:ascii="Calibri" w:hAnsi="Calibri" w:cs="Calibri"/>
      <w:color w:val="000000"/>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3553</Words>
  <Characters>4225</Characters>
  <Lines>0</Lines>
  <Paragraphs>0</Paragraphs>
  <TotalTime>1</TotalTime>
  <ScaleCrop>false</ScaleCrop>
  <LinksUpToDate>false</LinksUpToDate>
  <CharactersWithSpaces>4238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2025-04-21T07:27:00Z</dcterms:created>
  <dc:creator>Administrator</dc:creator>
  <cp:lastModifiedBy>.</cp:lastModifiedBy>
  <dcterms:modified xsi:type="dcterms:W3CDTF">2026-07-07T03:37:42Z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eyJoZGlkIjoiZWIzNWQyY2Y4ZmM1ZTkzMDk0YjgwMzgyMzkzYTZlMzkiLCJ1c2VySWQiOiI5OTEwMzk2NDYifQ==</vt:lpwstr>
  </property>
  <property fmtid="{D5CDD505-2E9C-101B-9397-08002B2CF9AE}" pid="4" name="ICV">
    <vt:lpwstr>4E7CA2B696C84509A43D2ECBEFBCCF3D_12</vt:lpwstr>
  </property>
</Properties>
</file>