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743BC">
      <w:pPr>
        <w:spacing w:line="360" w:lineRule="auto"/>
        <w:jc w:val="center"/>
        <w:rPr>
          <w:rFonts w:hint="eastAsia" w:ascii="黑体" w:hAnsi="黑体" w:eastAsia="黑体" w:cs="黑体"/>
          <w:b/>
          <w:bCs/>
          <w:kern w:val="0"/>
          <w:sz w:val="30"/>
          <w:szCs w:val="30"/>
          <w:highlight w:val="none"/>
          <w:lang w:val="en-US" w:eastAsia="zh-CN" w:bidi="ar"/>
        </w:rPr>
      </w:pPr>
      <w:r>
        <w:rPr>
          <w:rFonts w:hint="eastAsia" w:ascii="黑体" w:hAnsi="黑体" w:eastAsia="黑体" w:cs="黑体"/>
          <w:b/>
          <w:bCs/>
          <w:kern w:val="0"/>
          <w:sz w:val="30"/>
          <w:szCs w:val="30"/>
          <w:highlight w:val="none"/>
          <w:lang w:val="en-US" w:eastAsia="zh-CN" w:bidi="ar"/>
        </w:rPr>
        <w:t>大竹县人民医院</w:t>
      </w:r>
    </w:p>
    <w:p w14:paraId="4F535F30">
      <w:pPr>
        <w:pStyle w:val="12"/>
        <w:spacing w:line="560" w:lineRule="exact"/>
        <w:ind w:firstLine="562"/>
        <w:jc w:val="center"/>
        <w:rPr>
          <w:rFonts w:hint="default" w:ascii="仿宋" w:hAnsi="仿宋" w:eastAsia="仿宋"/>
          <w:b/>
          <w:sz w:val="28"/>
          <w:szCs w:val="28"/>
          <w:lang w:val="en-US"/>
        </w:rPr>
      </w:pPr>
      <w:r>
        <w:rPr>
          <w:rFonts w:hint="eastAsia" w:ascii="黑体" w:hAnsi="黑体" w:eastAsia="黑体" w:cs="黑体"/>
          <w:b/>
          <w:bCs/>
          <w:kern w:val="0"/>
          <w:sz w:val="30"/>
          <w:szCs w:val="30"/>
          <w:highlight w:val="none"/>
          <w:lang w:val="en-US" w:eastAsia="zh-CN" w:bidi="ar"/>
        </w:rPr>
        <w:t>钬激光治疗机医疗设备采购项目采购需求</w:t>
      </w:r>
    </w:p>
    <w:p w14:paraId="49636341">
      <w:pPr>
        <w:pStyle w:val="13"/>
        <w:ind w:firstLine="480"/>
        <w:jc w:val="left"/>
        <w:rPr>
          <w:rFonts w:hint="eastAsia" w:ascii="黑体" w:hAnsi="黑体" w:eastAsia="黑体" w:cs="黑体"/>
          <w:b w:val="0"/>
          <w:bCs w:val="0"/>
          <w:color w:val="FF0000"/>
          <w:sz w:val="24"/>
          <w:szCs w:val="24"/>
        </w:rPr>
      </w:pPr>
    </w:p>
    <w:p w14:paraId="70E8AAB2">
      <w:pPr>
        <w:pStyle w:val="13"/>
        <w:ind w:firstLine="480"/>
        <w:jc w:val="left"/>
        <w:rPr>
          <w:rFonts w:hint="eastAsia" w:ascii="仿宋" w:hAnsi="仿宋" w:eastAsia="仿宋" w:cs="仿宋"/>
          <w:color w:val="auto"/>
          <w:sz w:val="28"/>
          <w:szCs w:val="28"/>
          <w:highlight w:val="none"/>
        </w:rPr>
      </w:pPr>
      <w:r>
        <w:rPr>
          <w:rFonts w:hint="eastAsia" w:ascii="黑体" w:hAnsi="黑体" w:eastAsia="黑体" w:cs="黑体"/>
          <w:b w:val="0"/>
          <w:bCs w:val="0"/>
          <w:color w:val="FF0000"/>
          <w:sz w:val="24"/>
          <w:szCs w:val="24"/>
        </w:rPr>
        <w:t>（注：</w:t>
      </w:r>
      <w:r>
        <w:rPr>
          <w:rFonts w:hint="eastAsia" w:ascii="黑体" w:hAnsi="黑体" w:eastAsia="黑体" w:cs="黑体"/>
          <w:b w:val="0"/>
          <w:bCs w:val="0"/>
          <w:color w:val="FF0000"/>
          <w:sz w:val="24"/>
          <w:szCs w:val="24"/>
          <w:lang w:val="en-US" w:eastAsia="zh-CN"/>
        </w:rPr>
        <w:t>1、本章带“★”的要求为实质性要求</w:t>
      </w:r>
      <w:r>
        <w:rPr>
          <w:rFonts w:hint="eastAsia" w:ascii="黑体" w:hAnsi="黑体" w:eastAsia="黑体" w:cs="黑体"/>
          <w:b w:val="0"/>
          <w:bCs w:val="0"/>
          <w:color w:val="FF0000"/>
          <w:sz w:val="24"/>
          <w:szCs w:val="24"/>
          <w:lang w:eastAsia="zh-CN"/>
        </w:rPr>
        <w:t>，</w:t>
      </w:r>
      <w:r>
        <w:rPr>
          <w:rFonts w:hint="eastAsia" w:ascii="黑体" w:hAnsi="黑体" w:eastAsia="黑体" w:cs="黑体"/>
          <w:b w:val="0"/>
          <w:bCs w:val="0"/>
          <w:color w:val="FF0000"/>
          <w:sz w:val="24"/>
          <w:szCs w:val="24"/>
          <w:lang w:val="en-US" w:eastAsia="zh-CN"/>
        </w:rPr>
        <w:t>本项目规定</w:t>
      </w:r>
      <w:r>
        <w:rPr>
          <w:rFonts w:hint="eastAsia" w:ascii="黑体" w:hAnsi="黑体" w:eastAsia="黑体" w:cs="黑体"/>
          <w:b w:val="0"/>
          <w:bCs w:val="0"/>
          <w:color w:val="FF0000"/>
          <w:sz w:val="24"/>
          <w:szCs w:val="24"/>
        </w:rPr>
        <w:t>本章的技术、服务及其他要求</w:t>
      </w:r>
      <w:r>
        <w:rPr>
          <w:rFonts w:hint="eastAsia" w:ascii="黑体" w:hAnsi="黑体" w:eastAsia="黑体" w:cs="黑体"/>
          <w:b w:val="0"/>
          <w:bCs w:val="0"/>
          <w:color w:val="FF0000"/>
          <w:sz w:val="24"/>
          <w:szCs w:val="24"/>
          <w:lang w:val="en-US" w:eastAsia="zh-CN"/>
        </w:rPr>
        <w:t>允许变动，</w:t>
      </w:r>
      <w:r>
        <w:rPr>
          <w:rFonts w:hint="eastAsia" w:ascii="黑体" w:hAnsi="黑体" w:eastAsia="黑体" w:cs="黑体"/>
          <w:b w:val="0"/>
          <w:bCs w:val="0"/>
          <w:color w:val="FF0000"/>
          <w:sz w:val="24"/>
          <w:szCs w:val="24"/>
        </w:rPr>
        <w:t>在</w:t>
      </w:r>
      <w:r>
        <w:rPr>
          <w:rFonts w:hint="eastAsia" w:ascii="黑体" w:hAnsi="黑体" w:eastAsia="黑体" w:cs="黑体"/>
          <w:b w:val="0"/>
          <w:bCs w:val="0"/>
          <w:color w:val="FF0000"/>
          <w:sz w:val="24"/>
          <w:szCs w:val="24"/>
          <w:lang w:val="en-US" w:eastAsia="zh-CN"/>
        </w:rPr>
        <w:t>谈判</w:t>
      </w:r>
      <w:r>
        <w:rPr>
          <w:rFonts w:hint="eastAsia" w:ascii="黑体" w:hAnsi="黑体" w:eastAsia="黑体" w:cs="黑体"/>
          <w:b w:val="0"/>
          <w:bCs w:val="0"/>
          <w:color w:val="FF0000"/>
          <w:sz w:val="24"/>
          <w:szCs w:val="24"/>
        </w:rPr>
        <w:t>过程中，</w:t>
      </w:r>
      <w:r>
        <w:rPr>
          <w:rFonts w:hint="eastAsia" w:ascii="黑体" w:hAnsi="黑体" w:eastAsia="黑体" w:cs="黑体"/>
          <w:b w:val="0"/>
          <w:bCs w:val="0"/>
          <w:color w:val="FF0000"/>
          <w:sz w:val="24"/>
          <w:szCs w:val="24"/>
          <w:lang w:eastAsia="zh-CN"/>
        </w:rPr>
        <w:t>评审委员会</w:t>
      </w:r>
      <w:r>
        <w:rPr>
          <w:rFonts w:hint="eastAsia" w:ascii="黑体" w:hAnsi="黑体" w:eastAsia="黑体" w:cs="黑体"/>
          <w:b w:val="0"/>
          <w:bCs w:val="0"/>
          <w:color w:val="FF0000"/>
          <w:sz w:val="24"/>
          <w:szCs w:val="24"/>
        </w:rPr>
        <w:t>根据项目实际需要制定</w:t>
      </w:r>
      <w:r>
        <w:rPr>
          <w:rFonts w:hint="eastAsia" w:ascii="黑体" w:hAnsi="黑体" w:eastAsia="黑体" w:cs="黑体"/>
          <w:b w:val="0"/>
          <w:bCs w:val="0"/>
          <w:color w:val="FF0000"/>
          <w:sz w:val="24"/>
          <w:szCs w:val="24"/>
          <w:lang w:val="en-US" w:eastAsia="zh-CN"/>
        </w:rPr>
        <w:t>谈判</w:t>
      </w:r>
      <w:r>
        <w:rPr>
          <w:rFonts w:hint="eastAsia" w:ascii="黑体" w:hAnsi="黑体" w:eastAsia="黑体" w:cs="黑体"/>
          <w:b w:val="0"/>
          <w:bCs w:val="0"/>
          <w:color w:val="FF0000"/>
          <w:sz w:val="24"/>
          <w:szCs w:val="24"/>
        </w:rPr>
        <w:t>内容，在获得采购人确认的前提下，可以根据</w:t>
      </w:r>
      <w:r>
        <w:rPr>
          <w:rFonts w:hint="eastAsia" w:ascii="黑体" w:hAnsi="黑体" w:eastAsia="黑体" w:cs="黑体"/>
          <w:b w:val="0"/>
          <w:bCs w:val="0"/>
          <w:color w:val="FF0000"/>
          <w:sz w:val="24"/>
          <w:szCs w:val="24"/>
          <w:lang w:val="en-US" w:eastAsia="zh-CN"/>
        </w:rPr>
        <w:t>谈判</w:t>
      </w:r>
      <w:r>
        <w:rPr>
          <w:rFonts w:hint="eastAsia" w:ascii="黑体" w:hAnsi="黑体" w:eastAsia="黑体" w:cs="黑体"/>
          <w:b w:val="0"/>
          <w:bCs w:val="0"/>
          <w:color w:val="FF0000"/>
          <w:sz w:val="24"/>
          <w:szCs w:val="24"/>
        </w:rPr>
        <w:t>情况实质性变动相关内容。</w:t>
      </w:r>
      <w:r>
        <w:rPr>
          <w:rFonts w:hint="eastAsia" w:ascii="黑体" w:hAnsi="黑体" w:eastAsia="黑体" w:cs="黑体"/>
          <w:b w:val="0"/>
          <w:bCs w:val="0"/>
          <w:color w:val="FF0000"/>
          <w:sz w:val="24"/>
          <w:szCs w:val="24"/>
          <w:lang w:eastAsia="zh-CN"/>
        </w:rPr>
        <w:t>评审委员会</w:t>
      </w:r>
      <w:r>
        <w:rPr>
          <w:rFonts w:hint="eastAsia" w:ascii="黑体" w:hAnsi="黑体" w:eastAsia="黑体" w:cs="黑体"/>
          <w:b w:val="0"/>
          <w:bCs w:val="0"/>
          <w:color w:val="FF0000"/>
          <w:sz w:val="24"/>
          <w:szCs w:val="24"/>
        </w:rPr>
        <w:t>对</w:t>
      </w:r>
      <w:r>
        <w:rPr>
          <w:rFonts w:hint="eastAsia" w:ascii="黑体" w:hAnsi="黑体" w:eastAsia="黑体" w:cs="黑体"/>
          <w:b w:val="0"/>
          <w:bCs w:val="0"/>
          <w:color w:val="FF0000"/>
          <w:sz w:val="24"/>
          <w:szCs w:val="24"/>
          <w:lang w:eastAsia="zh-CN"/>
        </w:rPr>
        <w:t>本项目</w:t>
      </w:r>
      <w:r>
        <w:rPr>
          <w:rFonts w:hint="eastAsia" w:ascii="黑体" w:hAnsi="黑体" w:eastAsia="黑体" w:cs="黑体"/>
          <w:b w:val="0"/>
          <w:bCs w:val="0"/>
          <w:color w:val="FF0000"/>
          <w:sz w:val="24"/>
          <w:szCs w:val="24"/>
        </w:rPr>
        <w:t>作出的实质性变动是</w:t>
      </w:r>
      <w:r>
        <w:rPr>
          <w:rFonts w:hint="eastAsia" w:ascii="黑体" w:hAnsi="黑体" w:eastAsia="黑体" w:cs="黑体"/>
          <w:b w:val="0"/>
          <w:bCs w:val="0"/>
          <w:color w:val="FF0000"/>
          <w:sz w:val="24"/>
          <w:szCs w:val="24"/>
          <w:lang w:val="en-US" w:eastAsia="zh-CN"/>
        </w:rPr>
        <w:t>响应文件</w:t>
      </w:r>
      <w:r>
        <w:rPr>
          <w:rFonts w:hint="eastAsia" w:ascii="黑体" w:hAnsi="黑体" w:eastAsia="黑体" w:cs="黑体"/>
          <w:b w:val="0"/>
          <w:bCs w:val="0"/>
          <w:color w:val="FF0000"/>
          <w:sz w:val="24"/>
          <w:szCs w:val="24"/>
        </w:rPr>
        <w:t>的有效组成部分，</w:t>
      </w:r>
      <w:r>
        <w:rPr>
          <w:rFonts w:hint="eastAsia" w:ascii="黑体" w:hAnsi="黑体" w:eastAsia="黑体" w:cs="黑体"/>
          <w:b w:val="0"/>
          <w:bCs w:val="0"/>
          <w:color w:val="FF0000"/>
          <w:sz w:val="24"/>
          <w:szCs w:val="24"/>
          <w:lang w:eastAsia="zh-CN"/>
        </w:rPr>
        <w:t>评审委员会</w:t>
      </w:r>
      <w:r>
        <w:rPr>
          <w:rFonts w:hint="eastAsia" w:ascii="黑体" w:hAnsi="黑体" w:eastAsia="黑体" w:cs="黑体"/>
          <w:b w:val="0"/>
          <w:bCs w:val="0"/>
          <w:color w:val="FF0000"/>
          <w:sz w:val="24"/>
          <w:szCs w:val="24"/>
        </w:rPr>
        <w:t>应及时以书面形式通知参加</w:t>
      </w:r>
      <w:r>
        <w:rPr>
          <w:rFonts w:hint="eastAsia" w:ascii="黑体" w:hAnsi="黑体" w:eastAsia="黑体" w:cs="黑体"/>
          <w:b w:val="0"/>
          <w:bCs w:val="0"/>
          <w:color w:val="FF0000"/>
          <w:sz w:val="24"/>
          <w:szCs w:val="24"/>
          <w:lang w:val="en-US" w:eastAsia="zh-CN"/>
        </w:rPr>
        <w:t>谈判</w:t>
      </w:r>
      <w:r>
        <w:rPr>
          <w:rFonts w:hint="eastAsia" w:ascii="黑体" w:hAnsi="黑体" w:eastAsia="黑体" w:cs="黑体"/>
          <w:b w:val="0"/>
          <w:bCs w:val="0"/>
          <w:color w:val="FF0000"/>
          <w:sz w:val="24"/>
          <w:szCs w:val="24"/>
        </w:rPr>
        <w:t>的供应商</w:t>
      </w:r>
      <w:r>
        <w:rPr>
          <w:rFonts w:hint="eastAsia" w:ascii="黑体" w:hAnsi="黑体" w:eastAsia="黑体" w:cs="黑体"/>
          <w:b w:val="0"/>
          <w:bCs w:val="0"/>
          <w:color w:val="FF0000"/>
          <w:sz w:val="24"/>
          <w:szCs w:val="24"/>
          <w:lang w:val="en-US" w:eastAsia="zh-CN"/>
        </w:rPr>
        <w:t>提交《允许变动的技术、服务及其他要求补充应答表》，评审委员会未经采购人确认的变动内容无效，以本章原文为准。2、本章内容中有明确的证明材料要求的应提供对应证明材料，否则无效化处理。</w:t>
      </w:r>
      <w:r>
        <w:rPr>
          <w:rFonts w:hint="eastAsia" w:ascii="黑体" w:hAnsi="黑体" w:eastAsia="黑体" w:cs="黑体"/>
          <w:b w:val="0"/>
          <w:bCs w:val="0"/>
          <w:color w:val="FF0000"/>
          <w:sz w:val="24"/>
          <w:szCs w:val="24"/>
        </w:rPr>
        <w:t>）</w:t>
      </w:r>
    </w:p>
    <w:p w14:paraId="734CF79F">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color w:val="auto"/>
          <w:sz w:val="28"/>
          <w:szCs w:val="28"/>
          <w:lang w:eastAsia="zh-CN"/>
        </w:rPr>
      </w:pPr>
      <w:r>
        <w:rPr>
          <w:rFonts w:hint="eastAsia" w:ascii="仿宋" w:hAnsi="仿宋" w:eastAsia="仿宋" w:cs="仿宋"/>
          <w:b/>
          <w:color w:val="auto"/>
          <w:sz w:val="28"/>
          <w:szCs w:val="28"/>
          <w:lang w:val="en-US" w:eastAsia="zh-CN"/>
        </w:rPr>
        <w:t>一、</w:t>
      </w:r>
      <w:r>
        <w:rPr>
          <w:rFonts w:hint="eastAsia" w:ascii="仿宋" w:hAnsi="仿宋" w:eastAsia="仿宋" w:cs="宋体"/>
          <w:kern w:val="0"/>
          <w:sz w:val="24"/>
          <w:lang w:val="en-US" w:eastAsia="zh-CN"/>
        </w:rPr>
        <w:t>★</w:t>
      </w:r>
      <w:r>
        <w:rPr>
          <w:rFonts w:hint="eastAsia" w:ascii="仿宋" w:hAnsi="仿宋" w:eastAsia="仿宋" w:cs="仿宋"/>
          <w:b/>
          <w:color w:val="auto"/>
          <w:sz w:val="28"/>
          <w:szCs w:val="28"/>
        </w:rPr>
        <w:t>项目</w:t>
      </w:r>
      <w:r>
        <w:rPr>
          <w:rFonts w:hint="eastAsia" w:ascii="仿宋" w:hAnsi="仿宋" w:eastAsia="仿宋" w:cs="仿宋"/>
          <w:b/>
          <w:color w:val="auto"/>
          <w:sz w:val="28"/>
          <w:szCs w:val="28"/>
          <w:lang w:val="en-US" w:eastAsia="zh-CN"/>
        </w:rPr>
        <w:t>标的</w:t>
      </w:r>
      <w:r>
        <w:rPr>
          <w:rFonts w:hint="eastAsia" w:ascii="仿宋" w:hAnsi="仿宋" w:eastAsia="仿宋" w:cs="仿宋"/>
          <w:b/>
          <w:color w:val="auto"/>
          <w:sz w:val="28"/>
          <w:szCs w:val="28"/>
        </w:rPr>
        <w:t xml:space="preserve"> </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7FB889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301" w:firstLineChars="200"/>
        <w:jc w:val="left"/>
        <w:textAlignment w:val="auto"/>
        <w:rPr>
          <w:rStyle w:val="9"/>
          <w:rFonts w:hint="eastAsia" w:ascii="仿宋" w:hAnsi="仿宋" w:eastAsia="仿宋" w:cs="仿宋"/>
          <w:b w:val="0"/>
          <w:bCs w:val="0"/>
          <w:i w:val="0"/>
          <w:iCs w:val="0"/>
          <w:caps w:val="0"/>
          <w:color w:val="222222"/>
          <w:spacing w:val="0"/>
          <w:sz w:val="28"/>
          <w:szCs w:val="28"/>
          <w:lang w:val="en-US" w:eastAsia="zh-CN"/>
        </w:rPr>
      </w:pPr>
      <w:r>
        <w:rPr>
          <w:rFonts w:hint="eastAsia"/>
          <w:lang w:val="en-US" w:eastAsia="zh-CN"/>
        </w:rPr>
        <w:t xml:space="preserve">     </w:t>
      </w:r>
      <w:r>
        <w:rPr>
          <w:rStyle w:val="9"/>
          <w:rFonts w:hint="eastAsia" w:ascii="仿宋" w:hAnsi="仿宋" w:eastAsia="仿宋" w:cs="仿宋"/>
          <w:b w:val="0"/>
          <w:bCs w:val="0"/>
          <w:i w:val="0"/>
          <w:iCs w:val="0"/>
          <w:caps w:val="0"/>
          <w:color w:val="222222"/>
          <w:spacing w:val="0"/>
          <w:sz w:val="28"/>
          <w:szCs w:val="28"/>
          <w:lang w:val="en-US" w:eastAsia="zh-CN"/>
        </w:rPr>
        <w:t xml:space="preserve"> </w:t>
      </w:r>
    </w:p>
    <w:tbl>
      <w:tblPr>
        <w:tblStyle w:val="6"/>
        <w:tblW w:w="4632" w:type="pct"/>
        <w:tblInd w:w="579"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79"/>
        <w:gridCol w:w="2456"/>
        <w:gridCol w:w="1599"/>
        <w:gridCol w:w="1313"/>
        <w:gridCol w:w="1648"/>
      </w:tblGrid>
      <w:tr w14:paraId="35881E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6" w:type="pct"/>
            <w:vAlign w:val="center"/>
          </w:tcPr>
          <w:p w14:paraId="1331FF03">
            <w:pPr>
              <w:pStyle w:val="13"/>
              <w:keepNext w:val="0"/>
              <w:keepLines w:val="0"/>
              <w:pageBreakBefore w:val="0"/>
              <w:widowControl/>
              <w:tabs>
                <w:tab w:val="left" w:pos="210"/>
              </w:tabs>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包号</w:t>
            </w:r>
          </w:p>
        </w:tc>
        <w:tc>
          <w:tcPr>
            <w:tcW w:w="1555" w:type="pct"/>
            <w:vAlign w:val="center"/>
          </w:tcPr>
          <w:p w14:paraId="17B6D55D">
            <w:pPr>
              <w:pStyle w:val="13"/>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标的名称</w:t>
            </w:r>
          </w:p>
        </w:tc>
        <w:tc>
          <w:tcPr>
            <w:tcW w:w="1012" w:type="pct"/>
            <w:vAlign w:val="center"/>
          </w:tcPr>
          <w:p w14:paraId="0AB378C1">
            <w:pPr>
              <w:pStyle w:val="13"/>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数量</w:t>
            </w:r>
            <w:r>
              <w:rPr>
                <w:rFonts w:hint="eastAsia" w:ascii="仿宋" w:hAnsi="仿宋" w:eastAsia="仿宋" w:cs="仿宋"/>
                <w:color w:val="auto"/>
                <w:sz w:val="24"/>
                <w:szCs w:val="24"/>
              </w:rPr>
              <w:br w:type="textWrapping"/>
            </w:r>
            <w:r>
              <w:rPr>
                <w:rFonts w:hint="eastAsia" w:ascii="仿宋" w:hAnsi="仿宋" w:eastAsia="仿宋" w:cs="仿宋"/>
                <w:color w:val="auto"/>
                <w:sz w:val="24"/>
                <w:szCs w:val="24"/>
              </w:rPr>
              <w:t>(计量单位)</w:t>
            </w:r>
          </w:p>
        </w:tc>
        <w:tc>
          <w:tcPr>
            <w:tcW w:w="831" w:type="pct"/>
            <w:vAlign w:val="center"/>
          </w:tcPr>
          <w:p w14:paraId="589D04E3">
            <w:pPr>
              <w:pStyle w:val="13"/>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预算金额</w:t>
            </w:r>
          </w:p>
          <w:p w14:paraId="528D08B5">
            <w:pPr>
              <w:pStyle w:val="13"/>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（元）</w:t>
            </w:r>
          </w:p>
        </w:tc>
        <w:tc>
          <w:tcPr>
            <w:tcW w:w="1043" w:type="pct"/>
            <w:vAlign w:val="center"/>
          </w:tcPr>
          <w:p w14:paraId="73F011AF">
            <w:pPr>
              <w:pStyle w:val="13"/>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最高限价</w:t>
            </w:r>
          </w:p>
          <w:p w14:paraId="646C99AB">
            <w:pPr>
              <w:pStyle w:val="13"/>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（元）</w:t>
            </w:r>
          </w:p>
        </w:tc>
      </w:tr>
      <w:tr w14:paraId="4CC126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6" w:hRule="atLeast"/>
        </w:trPr>
        <w:tc>
          <w:tcPr>
            <w:tcW w:w="556" w:type="pct"/>
            <w:vAlign w:val="center"/>
          </w:tcPr>
          <w:p w14:paraId="47AD06E1">
            <w:pPr>
              <w:pStyle w:val="13"/>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1555" w:type="pct"/>
            <w:vAlign w:val="center"/>
          </w:tcPr>
          <w:p w14:paraId="350CA4A7">
            <w:pPr>
              <w:pStyle w:val="13"/>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钬激光治疗机</w:t>
            </w:r>
          </w:p>
        </w:tc>
        <w:tc>
          <w:tcPr>
            <w:tcW w:w="1012" w:type="pct"/>
            <w:vAlign w:val="center"/>
          </w:tcPr>
          <w:p w14:paraId="001603CC">
            <w:pPr>
              <w:pStyle w:val="13"/>
              <w:jc w:val="center"/>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w:t>
            </w:r>
            <w:r>
              <w:rPr>
                <w:rFonts w:hint="eastAsia" w:ascii="Times New Roman" w:hAnsi="Times New Roman" w:eastAsia="仿宋" w:cs="Times New Roman"/>
                <w:color w:val="auto"/>
                <w:sz w:val="24"/>
                <w:szCs w:val="24"/>
                <w:lang w:eastAsia="zh-CN"/>
              </w:rPr>
              <w:t>台</w:t>
            </w:r>
            <w:r>
              <w:rPr>
                <w:rFonts w:hint="default" w:ascii="Times New Roman" w:hAnsi="Times New Roman" w:eastAsia="仿宋" w:cs="Times New Roman"/>
                <w:color w:val="auto"/>
                <w:sz w:val="24"/>
                <w:szCs w:val="24"/>
              </w:rPr>
              <w:t>）</w:t>
            </w:r>
          </w:p>
        </w:tc>
        <w:tc>
          <w:tcPr>
            <w:tcW w:w="831" w:type="pct"/>
            <w:vAlign w:val="center"/>
          </w:tcPr>
          <w:p w14:paraId="48520787">
            <w:pPr>
              <w:pStyle w:val="13"/>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295000</w:t>
            </w:r>
          </w:p>
        </w:tc>
        <w:tc>
          <w:tcPr>
            <w:tcW w:w="1043" w:type="pct"/>
            <w:vAlign w:val="center"/>
          </w:tcPr>
          <w:p w14:paraId="3AE8D9EC">
            <w:pPr>
              <w:pStyle w:val="13"/>
              <w:jc w:val="center"/>
              <w:rPr>
                <w:rFonts w:hint="default" w:ascii="Times New Roman" w:hAnsi="Times New Roman" w:eastAsia="仿宋" w:cs="Times New Roman"/>
                <w:color w:val="auto"/>
                <w:sz w:val="24"/>
                <w:szCs w:val="24"/>
                <w:lang w:val="en-US" w:eastAsia="zh-CN"/>
              </w:rPr>
            </w:pPr>
            <w:r>
              <w:rPr>
                <w:rFonts w:hint="eastAsia" w:ascii="Times New Roman" w:hAnsi="Times New Roman" w:eastAsia="仿宋" w:cs="Times New Roman"/>
                <w:color w:val="auto"/>
                <w:sz w:val="24"/>
                <w:szCs w:val="24"/>
                <w:lang w:val="en-US" w:eastAsia="zh-CN"/>
              </w:rPr>
              <w:t>290000</w:t>
            </w:r>
          </w:p>
        </w:tc>
      </w:tr>
    </w:tbl>
    <w:p w14:paraId="7F85656C">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二、采购内容及技术要求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w:t>
      </w:r>
      <w:bookmarkStart w:id="0" w:name="_GoBack"/>
      <w:bookmarkEnd w:id="0"/>
      <w:r>
        <w:rPr>
          <w:rFonts w:hint="eastAsia" w:ascii="仿宋" w:hAnsi="仿宋" w:eastAsia="仿宋" w:cs="仿宋"/>
          <w:b/>
          <w:bCs/>
          <w:color w:val="auto"/>
          <w:sz w:val="28"/>
          <w:szCs w:val="28"/>
          <w:lang w:eastAsia="zh-CN"/>
        </w:rPr>
        <w:t>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tbl>
      <w:tblPr>
        <w:tblStyle w:val="6"/>
        <w:tblpPr w:leftFromText="180" w:rightFromText="180" w:vertAnchor="text" w:horzAnchor="page" w:tblpX="1478" w:tblpY="364"/>
        <w:tblOverlap w:val="never"/>
        <w:tblW w:w="9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6155"/>
        <w:gridCol w:w="1900"/>
      </w:tblGrid>
      <w:tr w14:paraId="45D9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270" w:type="dxa"/>
            <w:vAlign w:val="center"/>
          </w:tcPr>
          <w:p w14:paraId="074159ED">
            <w:pPr>
              <w:spacing w:line="360" w:lineRule="auto"/>
              <w:jc w:val="center"/>
              <w:rPr>
                <w:rFonts w:ascii="仿宋" w:hAnsi="仿宋" w:eastAsia="仿宋" w:cs="宋体"/>
                <w:kern w:val="0"/>
                <w:sz w:val="24"/>
              </w:rPr>
            </w:pPr>
            <w:r>
              <w:rPr>
                <w:rFonts w:hint="eastAsia" w:ascii="仿宋" w:hAnsi="仿宋" w:eastAsia="仿宋" w:cs="宋体"/>
                <w:kern w:val="0"/>
                <w:sz w:val="24"/>
              </w:rPr>
              <w:t>项目内容</w:t>
            </w:r>
          </w:p>
        </w:tc>
        <w:tc>
          <w:tcPr>
            <w:tcW w:w="6155" w:type="dxa"/>
            <w:vAlign w:val="center"/>
          </w:tcPr>
          <w:p w14:paraId="0C14C0D8">
            <w:pPr>
              <w:spacing w:line="360" w:lineRule="auto"/>
              <w:jc w:val="center"/>
              <w:rPr>
                <w:rFonts w:ascii="仿宋" w:hAnsi="仿宋" w:eastAsia="仿宋" w:cs="宋体"/>
                <w:kern w:val="0"/>
                <w:sz w:val="24"/>
              </w:rPr>
            </w:pPr>
            <w:r>
              <w:rPr>
                <w:rFonts w:hint="eastAsia" w:ascii="仿宋" w:hAnsi="仿宋" w:eastAsia="仿宋" w:cs="宋体"/>
                <w:kern w:val="0"/>
                <w:sz w:val="24"/>
              </w:rPr>
              <w:t>技术参数和配置要求</w:t>
            </w:r>
          </w:p>
        </w:tc>
        <w:tc>
          <w:tcPr>
            <w:tcW w:w="1900" w:type="dxa"/>
            <w:vAlign w:val="center"/>
          </w:tcPr>
          <w:p w14:paraId="0FDB00F8">
            <w:pPr>
              <w:spacing w:line="360" w:lineRule="auto"/>
              <w:jc w:val="center"/>
              <w:rPr>
                <w:rFonts w:ascii="仿宋" w:hAnsi="仿宋" w:eastAsia="仿宋"/>
                <w:sz w:val="24"/>
              </w:rPr>
            </w:pPr>
            <w:r>
              <w:rPr>
                <w:rFonts w:hint="eastAsia" w:ascii="仿宋" w:hAnsi="仿宋" w:eastAsia="仿宋"/>
                <w:sz w:val="24"/>
              </w:rPr>
              <w:t>备注</w:t>
            </w:r>
          </w:p>
        </w:tc>
      </w:tr>
      <w:tr w14:paraId="445E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270" w:type="dxa"/>
            <w:vAlign w:val="center"/>
          </w:tcPr>
          <w:p w14:paraId="7EDC337E">
            <w:pPr>
              <w:spacing w:line="360" w:lineRule="auto"/>
              <w:jc w:val="center"/>
              <w:rPr>
                <w:rFonts w:ascii="仿宋" w:hAnsi="仿宋" w:eastAsia="仿宋" w:cs="宋体"/>
                <w:kern w:val="0"/>
                <w:sz w:val="24"/>
              </w:rPr>
            </w:pPr>
            <w:r>
              <w:rPr>
                <w:rFonts w:hint="eastAsia" w:ascii="仿宋" w:hAnsi="仿宋" w:eastAsia="仿宋" w:cs="宋体"/>
                <w:kern w:val="0"/>
                <w:sz w:val="24"/>
              </w:rPr>
              <w:t>用途</w:t>
            </w:r>
          </w:p>
        </w:tc>
        <w:tc>
          <w:tcPr>
            <w:tcW w:w="6155" w:type="dxa"/>
            <w:vAlign w:val="center"/>
          </w:tcPr>
          <w:p w14:paraId="6683CDBC">
            <w:pPr>
              <w:widowControl/>
              <w:spacing w:line="360" w:lineRule="auto"/>
              <w:ind w:left="-2" w:leftChars="-1"/>
              <w:rPr>
                <w:rFonts w:hint="eastAsia" w:ascii="仿宋" w:hAnsi="仿宋" w:eastAsia="仿宋" w:cs="宋体"/>
                <w:kern w:val="0"/>
                <w:sz w:val="24"/>
                <w:lang w:val="en-US" w:eastAsia="zh-CN"/>
              </w:rPr>
            </w:pPr>
            <w:r>
              <w:rPr>
                <w:rFonts w:hint="eastAsia" w:ascii="仿宋" w:hAnsi="仿宋" w:eastAsia="仿宋" w:cs="宋体"/>
                <w:kern w:val="0"/>
                <w:sz w:val="24"/>
                <w:lang w:val="en-US" w:eastAsia="zh-CN"/>
              </w:rPr>
              <w:t>通过软镜/硬镜处理全尿路结石等</w:t>
            </w:r>
            <w:r>
              <w:rPr>
                <w:rFonts w:hint="eastAsia" w:ascii="仿宋" w:hAnsi="仿宋" w:eastAsia="仿宋" w:cs="宋体"/>
                <w:kern w:val="0"/>
                <w:sz w:val="24"/>
                <w:lang w:eastAsia="zh-CN"/>
              </w:rPr>
              <w:t>。</w:t>
            </w:r>
          </w:p>
        </w:tc>
        <w:tc>
          <w:tcPr>
            <w:tcW w:w="1900" w:type="dxa"/>
            <w:vAlign w:val="center"/>
          </w:tcPr>
          <w:p w14:paraId="68535E31">
            <w:pPr>
              <w:spacing w:line="360" w:lineRule="auto"/>
              <w:jc w:val="center"/>
              <w:rPr>
                <w:rFonts w:ascii="仿宋" w:hAnsi="仿宋" w:eastAsia="仿宋"/>
                <w:kern w:val="0"/>
                <w:sz w:val="24"/>
              </w:rPr>
            </w:pPr>
            <w:r>
              <w:rPr>
                <w:rFonts w:hint="eastAsia" w:ascii="仿宋" w:hAnsi="仿宋" w:eastAsia="仿宋"/>
                <w:kern w:val="0"/>
                <w:sz w:val="24"/>
                <w:lang w:val="en-US" w:eastAsia="zh-CN"/>
              </w:rPr>
              <w:t>请按注册证适用范围填写</w:t>
            </w:r>
          </w:p>
        </w:tc>
      </w:tr>
      <w:tr w14:paraId="2E1D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270" w:type="dxa"/>
            <w:vAlign w:val="center"/>
          </w:tcPr>
          <w:p w14:paraId="63320356">
            <w:pPr>
              <w:spacing w:line="360" w:lineRule="auto"/>
              <w:jc w:val="center"/>
              <w:rPr>
                <w:rFonts w:ascii="仿宋" w:hAnsi="仿宋" w:eastAsia="仿宋" w:cs="宋体"/>
                <w:kern w:val="0"/>
                <w:sz w:val="24"/>
              </w:rPr>
            </w:pPr>
            <w:r>
              <w:rPr>
                <w:rFonts w:hint="eastAsia" w:ascii="仿宋" w:hAnsi="仿宋" w:eastAsia="仿宋" w:cs="宋体"/>
                <w:kern w:val="0"/>
                <w:sz w:val="24"/>
              </w:rPr>
              <w:t>技术参数</w:t>
            </w:r>
          </w:p>
        </w:tc>
        <w:tc>
          <w:tcPr>
            <w:tcW w:w="6155" w:type="dxa"/>
            <w:vAlign w:val="center"/>
          </w:tcPr>
          <w:p w14:paraId="47104B82">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uk-UA" w:bidi="ar-SA"/>
              </w:rPr>
              <w:t>1、激光类型：Ho（钬激光）；</w:t>
            </w:r>
          </w:p>
          <w:p w14:paraId="3E57D4B4">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uk-UA" w:bidi="ar-SA"/>
              </w:rPr>
              <w:t>2</w:t>
            </w:r>
            <w:r>
              <w:rPr>
                <w:rFonts w:hint="eastAsia" w:ascii="仿宋" w:hAnsi="仿宋" w:eastAsia="仿宋" w:cs="宋体"/>
                <w:kern w:val="0"/>
                <w:sz w:val="24"/>
                <w:szCs w:val="22"/>
                <w:lang w:val="en-US" w:eastAsia="zh-CN" w:bidi="ar-SA"/>
              </w:rPr>
              <w:t>、</w:t>
            </w:r>
            <w:r>
              <w:rPr>
                <w:rFonts w:hint="eastAsia" w:ascii="仿宋" w:hAnsi="仿宋" w:eastAsia="仿宋" w:cs="宋体"/>
                <w:kern w:val="0"/>
                <w:sz w:val="24"/>
                <w:szCs w:val="22"/>
                <w:lang w:val="en-US" w:eastAsia="uk-UA" w:bidi="ar-SA"/>
              </w:rPr>
              <w:t>激光器工作方式：脉冲；</w:t>
            </w:r>
          </w:p>
          <w:p w14:paraId="671D3347">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uk-UA" w:bidi="ar-SA"/>
              </w:rPr>
              <w:t>3</w:t>
            </w:r>
            <w:r>
              <w:rPr>
                <w:rFonts w:hint="eastAsia" w:ascii="仿宋" w:hAnsi="仿宋" w:eastAsia="仿宋" w:cs="宋体"/>
                <w:kern w:val="0"/>
                <w:sz w:val="24"/>
                <w:szCs w:val="22"/>
                <w:lang w:val="en-US" w:eastAsia="zh-CN" w:bidi="ar-SA"/>
              </w:rPr>
              <w:t>、</w:t>
            </w:r>
            <w:r>
              <w:rPr>
                <w:rFonts w:hint="eastAsia" w:ascii="仿宋" w:hAnsi="仿宋" w:eastAsia="仿宋" w:cs="宋体"/>
                <w:kern w:val="0"/>
                <w:sz w:val="24"/>
                <w:szCs w:val="22"/>
                <w:lang w:val="en-US" w:eastAsia="uk-UA" w:bidi="ar-SA"/>
              </w:rPr>
              <w:t>工作激光输出波长：2100nm；</w:t>
            </w:r>
          </w:p>
          <w:p w14:paraId="11895DD2">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uk-UA" w:bidi="ar-SA"/>
              </w:rPr>
              <w:t>4</w:t>
            </w:r>
            <w:r>
              <w:rPr>
                <w:rFonts w:hint="eastAsia" w:ascii="仿宋" w:hAnsi="仿宋" w:eastAsia="仿宋" w:cs="宋体"/>
                <w:kern w:val="0"/>
                <w:sz w:val="24"/>
                <w:szCs w:val="22"/>
                <w:lang w:val="en-US" w:eastAsia="zh-CN" w:bidi="ar-SA"/>
              </w:rPr>
              <w:t>、最低</w:t>
            </w:r>
            <w:r>
              <w:rPr>
                <w:rFonts w:hint="eastAsia" w:ascii="仿宋" w:hAnsi="仿宋" w:eastAsia="仿宋" w:cs="宋体"/>
                <w:kern w:val="0"/>
                <w:sz w:val="24"/>
                <w:szCs w:val="22"/>
                <w:lang w:val="en-US" w:eastAsia="uk-UA" w:bidi="ar-SA"/>
              </w:rPr>
              <w:t>频率≤5HZ</w:t>
            </w:r>
            <w:r>
              <w:rPr>
                <w:rFonts w:hint="eastAsia" w:ascii="仿宋" w:hAnsi="仿宋" w:eastAsia="仿宋" w:cs="宋体"/>
                <w:kern w:val="0"/>
                <w:sz w:val="24"/>
                <w:szCs w:val="22"/>
                <w:lang w:val="en-US" w:eastAsia="zh-CN" w:bidi="ar-SA"/>
              </w:rPr>
              <w:t>，最高</w:t>
            </w:r>
            <w:r>
              <w:rPr>
                <w:rFonts w:hint="eastAsia" w:ascii="仿宋" w:hAnsi="仿宋" w:eastAsia="仿宋" w:cs="宋体"/>
                <w:kern w:val="0"/>
                <w:sz w:val="24"/>
                <w:szCs w:val="22"/>
                <w:lang w:val="en-US" w:eastAsia="uk-UA" w:bidi="ar-SA"/>
              </w:rPr>
              <w:t>频率≥40HZ；</w:t>
            </w:r>
          </w:p>
          <w:p w14:paraId="6E14BBF5">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uk-UA" w:bidi="ar-SA"/>
              </w:rPr>
              <w:t>★5</w:t>
            </w:r>
            <w:r>
              <w:rPr>
                <w:rFonts w:hint="eastAsia" w:ascii="仿宋" w:hAnsi="仿宋" w:eastAsia="仿宋" w:cs="宋体"/>
                <w:kern w:val="0"/>
                <w:sz w:val="24"/>
                <w:szCs w:val="22"/>
                <w:lang w:val="en-US" w:eastAsia="zh-CN" w:bidi="ar-SA"/>
              </w:rPr>
              <w:t>、</w:t>
            </w:r>
            <w:r>
              <w:rPr>
                <w:rFonts w:hint="eastAsia" w:ascii="仿宋" w:hAnsi="仿宋" w:eastAsia="仿宋" w:cs="宋体"/>
                <w:kern w:val="0"/>
                <w:sz w:val="24"/>
                <w:szCs w:val="22"/>
                <w:lang w:val="en-US" w:eastAsia="uk-UA" w:bidi="ar-SA"/>
              </w:rPr>
              <w:t>最大平均输出功率≥60瓦；</w:t>
            </w:r>
          </w:p>
          <w:p w14:paraId="5186B559">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uk-UA" w:bidi="ar-SA"/>
              </w:rPr>
              <w:t>6</w:t>
            </w:r>
            <w:r>
              <w:rPr>
                <w:rFonts w:hint="eastAsia" w:ascii="仿宋" w:hAnsi="仿宋" w:eastAsia="仿宋" w:cs="宋体"/>
                <w:kern w:val="0"/>
                <w:sz w:val="24"/>
                <w:szCs w:val="22"/>
                <w:lang w:val="en-US" w:eastAsia="zh-CN" w:bidi="ar-SA"/>
              </w:rPr>
              <w:t>、</w:t>
            </w:r>
            <w:r>
              <w:rPr>
                <w:rFonts w:hint="eastAsia" w:ascii="仿宋" w:hAnsi="仿宋" w:eastAsia="仿宋" w:cs="宋体"/>
                <w:kern w:val="0"/>
                <w:sz w:val="24"/>
                <w:szCs w:val="22"/>
                <w:lang w:val="en-US" w:eastAsia="uk-UA" w:bidi="ar-SA"/>
              </w:rPr>
              <w:t>单脉冲输出能量≥4焦耳；</w:t>
            </w:r>
          </w:p>
          <w:p w14:paraId="1B24F957">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uk-UA" w:bidi="ar-SA"/>
              </w:rPr>
              <w:t>7</w:t>
            </w:r>
            <w:r>
              <w:rPr>
                <w:rFonts w:hint="eastAsia" w:ascii="仿宋" w:hAnsi="仿宋" w:eastAsia="仿宋" w:cs="宋体"/>
                <w:kern w:val="0"/>
                <w:sz w:val="24"/>
                <w:szCs w:val="22"/>
                <w:lang w:val="en-US" w:eastAsia="zh-CN" w:bidi="ar-SA"/>
              </w:rPr>
              <w:t>、</w:t>
            </w:r>
            <w:r>
              <w:rPr>
                <w:rFonts w:hint="eastAsia" w:ascii="仿宋" w:hAnsi="仿宋" w:eastAsia="仿宋" w:cs="宋体"/>
                <w:kern w:val="0"/>
                <w:sz w:val="24"/>
                <w:szCs w:val="22"/>
                <w:lang w:val="en-US" w:eastAsia="uk-UA" w:bidi="ar-SA"/>
              </w:rPr>
              <w:t>脚踏控制设备和控制系统</w:t>
            </w:r>
            <w:r>
              <w:rPr>
                <w:rFonts w:hint="eastAsia" w:ascii="仿宋" w:hAnsi="仿宋" w:eastAsia="仿宋" w:cs="宋体"/>
                <w:kern w:val="0"/>
                <w:sz w:val="24"/>
                <w:szCs w:val="22"/>
                <w:lang w:val="en-US" w:eastAsia="zh-CN" w:bidi="ar-SA"/>
              </w:rPr>
              <w:t>；</w:t>
            </w:r>
          </w:p>
          <w:p w14:paraId="2A5F0EE1">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zh-CN" w:bidi="ar-SA"/>
              </w:rPr>
              <w:t>8、</w:t>
            </w:r>
            <w:r>
              <w:rPr>
                <w:rFonts w:hint="eastAsia" w:ascii="仿宋" w:hAnsi="仿宋" w:eastAsia="仿宋" w:cs="宋体"/>
                <w:kern w:val="0"/>
                <w:sz w:val="24"/>
                <w:szCs w:val="22"/>
                <w:lang w:val="en-US" w:eastAsia="uk-UA" w:bidi="ar-SA"/>
              </w:rPr>
              <w:t>指示光：</w:t>
            </w:r>
            <w:r>
              <w:rPr>
                <w:rFonts w:hint="eastAsia" w:ascii="仿宋" w:hAnsi="仿宋" w:eastAsia="仿宋" w:cs="宋体"/>
                <w:kern w:val="0"/>
                <w:sz w:val="24"/>
                <w:szCs w:val="22"/>
                <w:lang w:val="en-US" w:eastAsia="zh-CN" w:bidi="ar-SA"/>
              </w:rPr>
              <w:t>绿色或红色，</w:t>
            </w:r>
            <w:r>
              <w:rPr>
                <w:rFonts w:hint="eastAsia" w:ascii="仿宋" w:hAnsi="仿宋" w:eastAsia="仿宋" w:cs="宋体"/>
                <w:kern w:val="0"/>
                <w:sz w:val="24"/>
                <w:szCs w:val="22"/>
                <w:lang w:val="en-US" w:eastAsia="uk-UA" w:bidi="ar-SA"/>
              </w:rPr>
              <w:t>强弱可调；</w:t>
            </w:r>
          </w:p>
          <w:p w14:paraId="5DEDFF8D">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uk-UA" w:bidi="ar-SA"/>
              </w:rPr>
              <w:t>▲</w:t>
            </w:r>
            <w:r>
              <w:rPr>
                <w:rFonts w:hint="eastAsia" w:ascii="仿宋" w:hAnsi="仿宋" w:eastAsia="仿宋" w:cs="宋体"/>
                <w:kern w:val="0"/>
                <w:sz w:val="24"/>
                <w:szCs w:val="22"/>
                <w:lang w:val="en-US" w:eastAsia="zh-CN" w:bidi="ar-SA"/>
              </w:rPr>
              <w:t>9、</w:t>
            </w:r>
            <w:r>
              <w:rPr>
                <w:rFonts w:hint="eastAsia" w:ascii="仿宋" w:hAnsi="仿宋" w:eastAsia="仿宋" w:cs="宋体"/>
                <w:kern w:val="0"/>
                <w:sz w:val="24"/>
                <w:szCs w:val="22"/>
                <w:lang w:val="en-US" w:eastAsia="uk-UA" w:bidi="ar-SA"/>
              </w:rPr>
              <w:t>激光输出功率不稳定度≤±8%；</w:t>
            </w:r>
          </w:p>
          <w:p w14:paraId="7AD1F378">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uk-UA" w:bidi="ar-SA"/>
              </w:rPr>
              <w:t>▲1</w:t>
            </w:r>
            <w:r>
              <w:rPr>
                <w:rFonts w:hint="eastAsia" w:ascii="仿宋" w:hAnsi="仿宋" w:eastAsia="仿宋" w:cs="宋体"/>
                <w:kern w:val="0"/>
                <w:sz w:val="24"/>
                <w:szCs w:val="22"/>
                <w:lang w:val="en-US" w:eastAsia="zh-CN" w:bidi="ar-SA"/>
              </w:rPr>
              <w:t>0、</w:t>
            </w:r>
            <w:r>
              <w:rPr>
                <w:rFonts w:hint="eastAsia" w:ascii="仿宋" w:hAnsi="仿宋" w:eastAsia="仿宋" w:cs="宋体"/>
                <w:kern w:val="0"/>
                <w:sz w:val="24"/>
                <w:szCs w:val="22"/>
                <w:lang w:val="en-US" w:eastAsia="uk-UA" w:bidi="ar-SA"/>
              </w:rPr>
              <w:t>激光输出功率复现性≤±8%；</w:t>
            </w:r>
          </w:p>
          <w:p w14:paraId="64B21844">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uk-UA" w:bidi="ar-SA"/>
              </w:rPr>
              <w:t>▲</w:t>
            </w:r>
            <w:r>
              <w:rPr>
                <w:rFonts w:hint="eastAsia" w:ascii="仿宋" w:hAnsi="仿宋" w:eastAsia="仿宋" w:cs="宋体"/>
                <w:kern w:val="0"/>
                <w:sz w:val="24"/>
                <w:szCs w:val="22"/>
                <w:lang w:val="en-US" w:eastAsia="zh-CN" w:bidi="ar-SA"/>
              </w:rPr>
              <w:t>11、</w:t>
            </w:r>
            <w:r>
              <w:rPr>
                <w:rFonts w:hint="eastAsia" w:ascii="仿宋" w:hAnsi="仿宋" w:eastAsia="仿宋" w:cs="宋体"/>
                <w:kern w:val="0"/>
                <w:sz w:val="24"/>
                <w:szCs w:val="22"/>
                <w:lang w:val="en-US" w:eastAsia="uk-UA" w:bidi="ar-SA"/>
              </w:rPr>
              <w:t>冷却系统：内置循环水冷系统</w:t>
            </w:r>
            <w:r>
              <w:rPr>
                <w:rFonts w:hint="eastAsia" w:ascii="仿宋" w:hAnsi="仿宋" w:eastAsia="仿宋" w:cs="宋体"/>
                <w:kern w:val="0"/>
                <w:sz w:val="24"/>
                <w:szCs w:val="22"/>
                <w:lang w:val="en-US" w:eastAsia="zh-CN" w:bidi="ar-SA"/>
              </w:rPr>
              <w:t>；</w:t>
            </w:r>
          </w:p>
          <w:p w14:paraId="0708D0D6">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uk-UA" w:bidi="ar-SA"/>
              </w:rPr>
              <w:t>▲1</w:t>
            </w:r>
            <w:r>
              <w:rPr>
                <w:rFonts w:hint="eastAsia" w:ascii="仿宋" w:hAnsi="仿宋" w:eastAsia="仿宋" w:cs="宋体"/>
                <w:kern w:val="0"/>
                <w:sz w:val="24"/>
                <w:szCs w:val="22"/>
                <w:lang w:val="en-US" w:eastAsia="zh-CN" w:bidi="ar-SA"/>
              </w:rPr>
              <w:t>2、</w:t>
            </w:r>
            <w:r>
              <w:rPr>
                <w:rFonts w:hint="eastAsia" w:ascii="仿宋" w:hAnsi="仿宋" w:eastAsia="仿宋" w:cs="宋体"/>
                <w:kern w:val="0"/>
                <w:sz w:val="24"/>
                <w:szCs w:val="22"/>
                <w:lang w:val="en-US" w:eastAsia="uk-UA" w:bidi="ar-SA"/>
              </w:rPr>
              <w:t>微机控制系统，对整机监控，具有安全防护系统；</w:t>
            </w:r>
          </w:p>
          <w:p w14:paraId="79EF8C50">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uk-UA" w:bidi="ar-SA"/>
              </w:rPr>
              <w:t>1</w:t>
            </w:r>
            <w:r>
              <w:rPr>
                <w:rFonts w:hint="eastAsia" w:ascii="仿宋" w:hAnsi="仿宋" w:eastAsia="仿宋" w:cs="宋体"/>
                <w:kern w:val="0"/>
                <w:sz w:val="24"/>
                <w:szCs w:val="22"/>
                <w:lang w:val="en-US" w:eastAsia="zh-CN" w:bidi="ar-SA"/>
              </w:rPr>
              <w:t>3、</w:t>
            </w:r>
            <w:r>
              <w:rPr>
                <w:rFonts w:hint="eastAsia" w:ascii="仿宋" w:hAnsi="仿宋" w:eastAsia="仿宋" w:cs="宋体"/>
                <w:kern w:val="0"/>
                <w:sz w:val="24"/>
                <w:szCs w:val="22"/>
                <w:lang w:val="en-US" w:eastAsia="uk-UA" w:bidi="ar-SA"/>
              </w:rPr>
              <w:t xml:space="preserve">具有精确的能量反馈闭环控制模式； </w:t>
            </w:r>
          </w:p>
          <w:p w14:paraId="06C2DE80">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zh-CN" w:bidi="ar-SA"/>
              </w:rPr>
              <w:t>14、</w:t>
            </w:r>
            <w:r>
              <w:rPr>
                <w:rFonts w:hint="eastAsia" w:ascii="仿宋" w:hAnsi="仿宋" w:eastAsia="仿宋" w:cs="宋体"/>
                <w:kern w:val="0"/>
                <w:sz w:val="24"/>
                <w:szCs w:val="22"/>
                <w:lang w:val="en-US" w:eastAsia="uk-UA" w:bidi="ar-SA"/>
              </w:rPr>
              <w:t>具有备用激光系统、备用电源，为不间断激光输出提供有效保障；</w:t>
            </w:r>
          </w:p>
          <w:p w14:paraId="1028E33A">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宋体"/>
                <w:kern w:val="0"/>
                <w:sz w:val="24"/>
                <w:szCs w:val="22"/>
                <w:lang w:val="en-US" w:eastAsia="uk-UA" w:bidi="ar-SA"/>
              </w:rPr>
            </w:pPr>
            <w:r>
              <w:rPr>
                <w:rFonts w:hint="eastAsia" w:ascii="仿宋" w:hAnsi="仿宋" w:eastAsia="仿宋" w:cs="宋体"/>
                <w:kern w:val="0"/>
                <w:sz w:val="24"/>
                <w:szCs w:val="22"/>
                <w:lang w:val="en-US" w:eastAsia="zh-CN" w:bidi="ar-SA"/>
              </w:rPr>
              <w:t>15、</w:t>
            </w:r>
            <w:r>
              <w:rPr>
                <w:rFonts w:hint="eastAsia" w:ascii="仿宋" w:hAnsi="仿宋" w:eastAsia="仿宋" w:cs="宋体"/>
                <w:kern w:val="0"/>
                <w:sz w:val="24"/>
                <w:szCs w:val="22"/>
                <w:lang w:val="en-US" w:eastAsia="uk-UA" w:bidi="ar-SA"/>
              </w:rPr>
              <w:t>开机即用</w:t>
            </w:r>
            <w:r>
              <w:rPr>
                <w:rFonts w:hint="eastAsia" w:ascii="仿宋" w:hAnsi="仿宋" w:eastAsia="仿宋" w:cs="宋体"/>
                <w:kern w:val="0"/>
                <w:sz w:val="24"/>
                <w:szCs w:val="22"/>
                <w:lang w:val="en-US" w:eastAsia="zh-CN" w:bidi="ar-SA"/>
              </w:rPr>
              <w:t>，</w:t>
            </w:r>
            <w:r>
              <w:rPr>
                <w:rFonts w:hint="eastAsia" w:ascii="仿宋" w:hAnsi="仿宋" w:eastAsia="仿宋" w:cs="宋体"/>
                <w:kern w:val="0"/>
                <w:sz w:val="24"/>
                <w:szCs w:val="22"/>
                <w:lang w:val="en-US" w:eastAsia="uk-UA" w:bidi="ar-SA"/>
              </w:rPr>
              <w:t>无需等待</w:t>
            </w:r>
            <w:r>
              <w:rPr>
                <w:rFonts w:hint="eastAsia" w:ascii="仿宋" w:hAnsi="仿宋" w:eastAsia="仿宋" w:cs="宋体"/>
                <w:kern w:val="0"/>
                <w:sz w:val="24"/>
                <w:szCs w:val="22"/>
                <w:lang w:val="en-US" w:eastAsia="zh-CN" w:bidi="ar-SA"/>
              </w:rPr>
              <w:t>，</w:t>
            </w:r>
            <w:r>
              <w:rPr>
                <w:rFonts w:hint="eastAsia" w:ascii="仿宋" w:hAnsi="仿宋" w:eastAsia="仿宋" w:cs="宋体"/>
                <w:kern w:val="0"/>
                <w:sz w:val="24"/>
                <w:szCs w:val="22"/>
                <w:lang w:val="en-US" w:eastAsia="uk-UA" w:bidi="ar-SA"/>
              </w:rPr>
              <w:t>有开机自检系统和应急流程；</w:t>
            </w:r>
          </w:p>
          <w:p w14:paraId="1D84CC35">
            <w:pPr>
              <w:pStyle w:val="21"/>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uk-UA" w:bidi="ar-SA"/>
              </w:rPr>
              <w:t>▲</w:t>
            </w:r>
            <w:r>
              <w:rPr>
                <w:rFonts w:hint="eastAsia" w:ascii="仿宋" w:hAnsi="仿宋" w:eastAsia="仿宋" w:cs="宋体"/>
                <w:kern w:val="0"/>
                <w:sz w:val="24"/>
                <w:szCs w:val="22"/>
                <w:lang w:val="en-US" w:eastAsia="zh-CN" w:bidi="ar-SA"/>
              </w:rPr>
              <w:t>16、有多种规格激光光纤可选（激光光纤含一次性使用无菌光纤和重复使用光纤等，所有光纤均需与设备主机完美兼容）；</w:t>
            </w:r>
          </w:p>
          <w:p w14:paraId="04F2CABE">
            <w:pPr>
              <w:pStyle w:val="20"/>
              <w:numPr>
                <w:ilvl w:val="0"/>
                <w:numId w:val="0"/>
              </w:numPr>
              <w:jc w:val="left"/>
              <w:rPr>
                <w:rFonts w:hint="default" w:ascii="仿宋" w:hAnsi="仿宋" w:eastAsia="仿宋" w:cs="宋体"/>
                <w:color w:val="auto"/>
                <w:kern w:val="0"/>
                <w:sz w:val="24"/>
                <w:lang w:val="en-US" w:eastAsia="zh-CN"/>
              </w:rPr>
            </w:pPr>
            <w:r>
              <w:rPr>
                <w:rFonts w:hint="eastAsia" w:ascii="仿宋" w:hAnsi="仿宋" w:eastAsia="仿宋" w:cs="宋体"/>
                <w:kern w:val="0"/>
                <w:sz w:val="24"/>
                <w:szCs w:val="22"/>
                <w:lang w:val="en-US" w:eastAsia="uk-UA" w:bidi="ar-SA"/>
              </w:rPr>
              <w:t>★</w:t>
            </w:r>
            <w:r>
              <w:rPr>
                <w:rFonts w:hint="eastAsia" w:ascii="仿宋" w:hAnsi="仿宋" w:eastAsia="仿宋" w:cs="宋体"/>
                <w:kern w:val="0"/>
                <w:sz w:val="24"/>
                <w:szCs w:val="22"/>
                <w:lang w:val="en-US" w:eastAsia="zh-CN" w:bidi="ar-SA"/>
              </w:rPr>
              <w:t>17、</w:t>
            </w:r>
            <w:r>
              <w:rPr>
                <w:rFonts w:hint="eastAsia" w:ascii="仿宋" w:hAnsi="仿宋" w:eastAsia="仿宋" w:cs="宋体"/>
                <w:kern w:val="0"/>
                <w:sz w:val="24"/>
                <w:szCs w:val="22"/>
                <w:lang w:val="en-US" w:eastAsia="uk-UA" w:bidi="ar-SA"/>
              </w:rPr>
              <w:t>设备使用年限≥</w:t>
            </w:r>
            <w:r>
              <w:rPr>
                <w:rFonts w:hint="eastAsia" w:ascii="仿宋" w:hAnsi="仿宋" w:eastAsia="仿宋" w:cs="宋体"/>
                <w:kern w:val="0"/>
                <w:sz w:val="24"/>
                <w:szCs w:val="22"/>
                <w:lang w:val="en-US" w:eastAsia="zh-CN" w:bidi="ar-SA"/>
              </w:rPr>
              <w:t>8</w:t>
            </w:r>
            <w:r>
              <w:rPr>
                <w:rFonts w:hint="eastAsia" w:ascii="仿宋" w:hAnsi="仿宋" w:eastAsia="仿宋" w:cs="宋体"/>
                <w:kern w:val="0"/>
                <w:sz w:val="24"/>
                <w:szCs w:val="22"/>
                <w:lang w:val="en-US" w:eastAsia="uk-UA" w:bidi="ar-SA"/>
              </w:rPr>
              <w:t>年</w:t>
            </w:r>
            <w:r>
              <w:rPr>
                <w:rFonts w:hint="eastAsia" w:ascii="仿宋" w:hAnsi="仿宋" w:eastAsia="仿宋" w:cs="宋体"/>
                <w:kern w:val="0"/>
                <w:sz w:val="24"/>
                <w:szCs w:val="22"/>
                <w:lang w:val="en-US" w:eastAsia="zh-CN" w:bidi="ar-SA"/>
              </w:rPr>
              <w:t>。</w:t>
            </w:r>
          </w:p>
        </w:tc>
        <w:tc>
          <w:tcPr>
            <w:tcW w:w="1900" w:type="dxa"/>
            <w:vAlign w:val="center"/>
          </w:tcPr>
          <w:p w14:paraId="45B82374">
            <w:pPr>
              <w:spacing w:line="360" w:lineRule="auto"/>
              <w:jc w:val="both"/>
              <w:rPr>
                <w:rFonts w:ascii="仿宋" w:hAnsi="仿宋" w:eastAsia="仿宋"/>
                <w:kern w:val="0"/>
                <w:sz w:val="24"/>
              </w:rPr>
            </w:pPr>
            <w:r>
              <w:rPr>
                <w:rFonts w:hint="eastAsia" w:ascii="仿宋" w:hAnsi="仿宋" w:eastAsia="仿宋"/>
                <w:kern w:val="0"/>
                <w:sz w:val="24"/>
              </w:rPr>
              <w:t>请逐条据实响应，不得简单复制粘贴采购文件要求作为应答内容。如设备使用期限</w:t>
            </w:r>
            <w:r>
              <w:rPr>
                <w:rFonts w:hint="eastAsia" w:ascii="仿宋" w:hAnsi="仿宋" w:eastAsia="仿宋" w:cs="宋体"/>
                <w:kern w:val="0"/>
                <w:sz w:val="24"/>
                <w:szCs w:val="22"/>
              </w:rPr>
              <w:t>≥</w:t>
            </w:r>
            <w:r>
              <w:rPr>
                <w:rFonts w:hint="eastAsia" w:asciiTheme="minorEastAsia" w:hAnsiTheme="minorEastAsia" w:eastAsiaTheme="minorEastAsia" w:cstheme="minorEastAsia"/>
                <w:kern w:val="0"/>
                <w:sz w:val="24"/>
                <w:szCs w:val="22"/>
              </w:rPr>
              <w:t>×</w:t>
            </w:r>
            <w:r>
              <w:rPr>
                <w:rFonts w:hint="eastAsia" w:ascii="仿宋" w:hAnsi="仿宋" w:eastAsia="仿宋" w:cs="宋体"/>
                <w:kern w:val="0"/>
                <w:sz w:val="24"/>
                <w:szCs w:val="22"/>
              </w:rPr>
              <w:t>年</w:t>
            </w:r>
            <w:r>
              <w:rPr>
                <w:rFonts w:hint="eastAsia" w:ascii="仿宋" w:hAnsi="仿宋" w:eastAsia="仿宋"/>
                <w:kern w:val="0"/>
                <w:sz w:val="24"/>
              </w:rPr>
              <w:t>或质保期</w:t>
            </w:r>
            <w:r>
              <w:rPr>
                <w:rFonts w:hint="eastAsia" w:ascii="仿宋" w:hAnsi="仿宋" w:eastAsia="仿宋" w:cs="宋体"/>
                <w:kern w:val="0"/>
                <w:sz w:val="24"/>
                <w:szCs w:val="22"/>
              </w:rPr>
              <w:t>≥</w:t>
            </w:r>
            <w:r>
              <w:rPr>
                <w:rFonts w:hint="eastAsia" w:asciiTheme="minorEastAsia" w:hAnsiTheme="minorEastAsia" w:eastAsiaTheme="minorEastAsia" w:cstheme="minorEastAsia"/>
                <w:kern w:val="0"/>
                <w:sz w:val="24"/>
                <w:szCs w:val="22"/>
              </w:rPr>
              <w:t>×</w:t>
            </w:r>
            <w:r>
              <w:rPr>
                <w:rFonts w:hint="eastAsia" w:ascii="仿宋" w:hAnsi="仿宋" w:eastAsia="仿宋" w:cs="宋体"/>
                <w:kern w:val="0"/>
                <w:sz w:val="24"/>
                <w:szCs w:val="22"/>
              </w:rPr>
              <w:t>年等要求，应明确应答具体年数</w:t>
            </w:r>
            <w:r>
              <w:rPr>
                <w:rFonts w:hint="eastAsia" w:ascii="仿宋" w:hAnsi="仿宋" w:eastAsia="仿宋"/>
                <w:kern w:val="0"/>
                <w:sz w:val="24"/>
              </w:rPr>
              <w:t>。</w:t>
            </w:r>
          </w:p>
        </w:tc>
      </w:tr>
      <w:tr w14:paraId="16AF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3" w:hRule="atLeast"/>
        </w:trPr>
        <w:tc>
          <w:tcPr>
            <w:tcW w:w="1270" w:type="dxa"/>
            <w:vAlign w:val="center"/>
          </w:tcPr>
          <w:p w14:paraId="4BD326BD">
            <w:pPr>
              <w:jc w:val="center"/>
              <w:rPr>
                <w:rFonts w:hint="eastAsia" w:ascii="仿宋" w:hAnsi="仿宋" w:eastAsia="仿宋" w:cs="仿宋"/>
                <w:color w:val="auto"/>
                <w:sz w:val="24"/>
                <w:szCs w:val="24"/>
                <w:vertAlign w:val="baseline"/>
                <w:lang w:val="en-US" w:eastAsia="zh-CN"/>
              </w:rPr>
            </w:pPr>
            <w:r>
              <w:rPr>
                <w:rFonts w:hint="eastAsia" w:ascii="仿宋" w:hAnsi="仿宋" w:eastAsia="仿宋" w:cs="宋体"/>
                <w:kern w:val="0"/>
                <w:sz w:val="24"/>
                <w:szCs w:val="22"/>
                <w:lang w:val="en-US" w:eastAsia="uk-UA" w:bidi="ar-SA"/>
              </w:rPr>
              <w:t>★</w:t>
            </w:r>
            <w:r>
              <w:rPr>
                <w:rFonts w:hint="eastAsia" w:ascii="仿宋" w:hAnsi="仿宋" w:eastAsia="仿宋" w:cs="仿宋"/>
                <w:color w:val="auto"/>
                <w:sz w:val="24"/>
                <w:szCs w:val="24"/>
                <w:vertAlign w:val="baseline"/>
                <w:lang w:val="en-US" w:eastAsia="zh-CN"/>
              </w:rPr>
              <w:t>配置清单</w:t>
            </w:r>
          </w:p>
          <w:p w14:paraId="3E82EDC4">
            <w:pPr>
              <w:jc w:val="center"/>
              <w:rPr>
                <w:rFonts w:hint="default" w:ascii="仿宋" w:hAnsi="仿宋" w:eastAsia="仿宋" w:cs="宋体"/>
                <w:kern w:val="0"/>
                <w:sz w:val="24"/>
                <w:lang w:val="en-US" w:eastAsia="zh-CN"/>
              </w:rPr>
            </w:pPr>
            <w:r>
              <w:rPr>
                <w:rFonts w:hint="eastAsia" w:ascii="仿宋" w:hAnsi="仿宋" w:eastAsia="仿宋" w:cs="仿宋"/>
                <w:color w:val="auto"/>
                <w:sz w:val="24"/>
                <w:szCs w:val="24"/>
                <w:vertAlign w:val="baseline"/>
                <w:lang w:val="en-US" w:eastAsia="zh-CN"/>
              </w:rPr>
              <w:t>（至少应包含）</w:t>
            </w:r>
          </w:p>
        </w:tc>
        <w:tc>
          <w:tcPr>
            <w:tcW w:w="6155" w:type="dxa"/>
            <w:vAlign w:val="center"/>
          </w:tcPr>
          <w:p w14:paraId="70D1B5E9">
            <w:pPr>
              <w:pStyle w:val="2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主机1台；</w:t>
            </w:r>
          </w:p>
          <w:p w14:paraId="2128183D">
            <w:pPr>
              <w:pStyle w:val="2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原厂专用激光光纤2根（非一次性使用）：200μm和600μm（</w:t>
            </w:r>
            <w:r>
              <w:rPr>
                <w:rFonts w:hint="eastAsia" w:ascii="仿宋" w:hAnsi="仿宋" w:eastAsia="仿宋" w:cs="宋体"/>
                <w:kern w:val="0"/>
                <w:sz w:val="24"/>
                <w:szCs w:val="22"/>
                <w:lang w:val="en-US" w:eastAsia="uk-UA" w:bidi="ar-SA"/>
              </w:rPr>
              <w:t>±</w:t>
            </w:r>
            <w:r>
              <w:rPr>
                <w:rFonts w:hint="eastAsia" w:ascii="仿宋" w:hAnsi="仿宋" w:eastAsia="仿宋" w:cs="宋体"/>
                <w:kern w:val="0"/>
                <w:sz w:val="24"/>
                <w:szCs w:val="22"/>
                <w:lang w:val="en-US" w:eastAsia="zh-CN" w:bidi="ar-SA"/>
              </w:rPr>
              <w:t>50μm）各1根；</w:t>
            </w:r>
          </w:p>
          <w:p w14:paraId="21AEA704">
            <w:pPr>
              <w:pStyle w:val="2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与之对应的专用光纤剥线钳1套；</w:t>
            </w:r>
          </w:p>
          <w:p w14:paraId="4277B3B7">
            <w:pPr>
              <w:pStyle w:val="2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切割笔1支；</w:t>
            </w:r>
          </w:p>
          <w:p w14:paraId="425B76D5">
            <w:pPr>
              <w:pStyle w:val="21"/>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脚踏开关1套；</w:t>
            </w:r>
          </w:p>
          <w:p w14:paraId="349D4CB1">
            <w:pPr>
              <w:jc w:val="left"/>
              <w:rPr>
                <w:rFonts w:hint="eastAsia" w:ascii="仿宋" w:hAnsi="仿宋" w:eastAsia="仿宋" w:cs="宋体"/>
                <w:kern w:val="0"/>
                <w:sz w:val="24"/>
                <w:lang w:val="en-US" w:eastAsia="zh-CN"/>
              </w:rPr>
            </w:pPr>
            <w:r>
              <w:rPr>
                <w:rFonts w:hint="eastAsia" w:ascii="仿宋" w:hAnsi="仿宋" w:eastAsia="仿宋" w:cs="宋体"/>
                <w:kern w:val="0"/>
                <w:sz w:val="24"/>
                <w:szCs w:val="22"/>
                <w:lang w:val="en-US" w:eastAsia="zh-CN" w:bidi="ar-SA"/>
              </w:rPr>
              <w:t>激光防护眼镜1副。</w:t>
            </w:r>
          </w:p>
        </w:tc>
        <w:tc>
          <w:tcPr>
            <w:tcW w:w="1900" w:type="dxa"/>
          </w:tcPr>
          <w:p w14:paraId="0D13F870">
            <w:pPr>
              <w:spacing w:line="360" w:lineRule="auto"/>
              <w:jc w:val="both"/>
              <w:rPr>
                <w:rFonts w:hint="default" w:ascii="仿宋" w:hAnsi="仿宋" w:eastAsia="仿宋"/>
                <w:b/>
                <w:bCs/>
                <w:sz w:val="24"/>
                <w:lang w:val="en-US" w:eastAsia="zh-CN"/>
              </w:rPr>
            </w:pPr>
            <w:r>
              <w:rPr>
                <w:rFonts w:hint="eastAsia" w:ascii="仿宋" w:hAnsi="仿宋" w:eastAsia="仿宋" w:cs="Times New Roman"/>
                <w:sz w:val="24"/>
                <w:lang w:val="en-US" w:eastAsia="zh-CN"/>
              </w:rPr>
              <w:t>供应商须在响应文件中单独提供设备配置清单（配置清单格式参见第九章附件11），采购人将以此为依据进行验收。</w:t>
            </w:r>
          </w:p>
        </w:tc>
      </w:tr>
    </w:tbl>
    <w:p w14:paraId="6763C178">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default" w:ascii="仿宋" w:hAnsi="仿宋" w:eastAsia="仿宋" w:cs="仿宋"/>
          <w:b/>
          <w:bCs/>
          <w:color w:val="auto"/>
          <w:sz w:val="28"/>
          <w:szCs w:val="28"/>
          <w:highlight w:val="none"/>
          <w:lang w:val="en-US" w:eastAsia="zh-CN"/>
        </w:rPr>
      </w:pPr>
      <w:r>
        <w:rPr>
          <w:rFonts w:hint="eastAsia" w:ascii="仿宋" w:hAnsi="仿宋" w:eastAsia="仿宋" w:cs="仿宋"/>
          <w:b/>
          <w:bCs/>
          <w:sz w:val="28"/>
          <w:szCs w:val="28"/>
          <w:lang w:val="en-US" w:eastAsia="zh-CN"/>
        </w:rPr>
        <w:t>三、</w:t>
      </w:r>
      <w:r>
        <w:rPr>
          <w:rFonts w:hint="eastAsia" w:ascii="仿宋" w:hAnsi="仿宋" w:eastAsia="仿宋" w:cs="宋体"/>
          <w:kern w:val="0"/>
          <w:sz w:val="24"/>
          <w:lang w:val="en-US" w:eastAsia="zh-CN"/>
        </w:rPr>
        <w:t>★</w:t>
      </w:r>
      <w:r>
        <w:rPr>
          <w:rFonts w:hint="eastAsia" w:ascii="仿宋" w:hAnsi="仿宋" w:eastAsia="仿宋" w:cs="仿宋"/>
          <w:b/>
          <w:bCs/>
          <w:sz w:val="28"/>
          <w:szCs w:val="28"/>
          <w:lang w:val="en-US" w:eastAsia="zh-CN"/>
        </w:rPr>
        <w:t>服务要求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132F90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1、供应商负责设备安装、调试，并提供1个月试运行期。试运行期届满，无任何质量问题供应商方可申请最终验收。其费用包含在项目报价内。</w:t>
      </w:r>
    </w:p>
    <w:p w14:paraId="713538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2、供应商提供设备操作（使用）培训。保证操作（使用）人员能熟练操作（使用），并对该设备能进行日常维护，如未达到，医院有权延后支付合同所约定款项。其费用包含在项目报价内。</w:t>
      </w:r>
    </w:p>
    <w:p w14:paraId="293C9B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3、质保期内，每年提供≥4次维护保养，并出具维护保养报告。其费用包含在项目报价内。</w:t>
      </w:r>
    </w:p>
    <w:p w14:paraId="3F80EC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w:t>
      </w:r>
      <w:r>
        <w:rPr>
          <w:rFonts w:hint="default" w:ascii="仿宋" w:hAnsi="仿宋" w:eastAsia="仿宋" w:cs="仿宋"/>
          <w:kern w:val="2"/>
          <w:sz w:val="28"/>
          <w:szCs w:val="28"/>
          <w:lang w:val="en-US" w:eastAsia="zh-CN" w:bidi="ar-SA"/>
        </w:rPr>
        <w:t>、售后服务响应时间：供应商应在接到售后服务通知</w:t>
      </w:r>
      <w:r>
        <w:rPr>
          <w:rFonts w:hint="eastAsia" w:ascii="仿宋" w:hAnsi="仿宋" w:eastAsia="仿宋" w:cs="仿宋"/>
          <w:kern w:val="2"/>
          <w:sz w:val="28"/>
          <w:szCs w:val="28"/>
          <w:lang w:val="en-US" w:eastAsia="zh-CN" w:bidi="ar-SA"/>
        </w:rPr>
        <w:t>或故障电话</w:t>
      </w:r>
      <w:r>
        <w:rPr>
          <w:rFonts w:hint="default" w:ascii="仿宋" w:hAnsi="仿宋" w:eastAsia="仿宋" w:cs="仿宋"/>
          <w:kern w:val="2"/>
          <w:sz w:val="28"/>
          <w:szCs w:val="28"/>
          <w:lang w:val="en-US" w:eastAsia="zh-CN" w:bidi="ar-SA"/>
        </w:rPr>
        <w:t xml:space="preserve"> 12 小时内响应，48小时内到场维修。</w:t>
      </w:r>
    </w:p>
    <w:p w14:paraId="42DB74D9">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w:t>
      </w:r>
      <w:r>
        <w:rPr>
          <w:rFonts w:hint="eastAsia" w:ascii="仿宋" w:hAnsi="仿宋" w:eastAsia="仿宋" w:cs="宋体"/>
          <w:kern w:val="0"/>
          <w:sz w:val="24"/>
          <w:lang w:val="en-US" w:eastAsia="zh-CN"/>
        </w:rPr>
        <w:t>★</w:t>
      </w:r>
      <w:r>
        <w:rPr>
          <w:rFonts w:hint="eastAsia" w:ascii="仿宋" w:hAnsi="仿宋" w:eastAsia="仿宋" w:cs="仿宋"/>
          <w:b/>
          <w:bCs/>
          <w:sz w:val="28"/>
          <w:szCs w:val="28"/>
          <w:lang w:val="en-US" w:eastAsia="zh-CN"/>
        </w:rPr>
        <w:t>商务要求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此节内容供应商在商务</w:t>
      </w:r>
      <w:r>
        <w:rPr>
          <w:rFonts w:hint="eastAsia" w:ascii="仿宋" w:hAnsi="仿宋" w:eastAsia="仿宋" w:cs="仿宋"/>
          <w:b/>
          <w:bCs/>
          <w:color w:val="auto"/>
          <w:sz w:val="28"/>
          <w:szCs w:val="28"/>
          <w:lang w:eastAsia="zh-CN"/>
        </w:rPr>
        <w:t>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19C643CE">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（一）合同履约期限</w:t>
      </w:r>
    </w:p>
    <w:p w14:paraId="2F64EA38">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Style w:val="9"/>
          <w:rFonts w:hint="eastAsia" w:ascii="仿宋" w:hAnsi="仿宋" w:eastAsia="仿宋" w:cs="仿宋"/>
          <w:b w:val="0"/>
          <w:bCs w:val="0"/>
          <w:i w:val="0"/>
          <w:iCs w:val="0"/>
          <w:caps w:val="0"/>
          <w:color w:val="222222"/>
          <w:spacing w:val="0"/>
          <w:sz w:val="28"/>
          <w:szCs w:val="28"/>
          <w:lang w:eastAsia="zh-CN"/>
        </w:rPr>
      </w:pPr>
      <w:r>
        <w:rPr>
          <w:rStyle w:val="9"/>
          <w:rFonts w:hint="eastAsia" w:ascii="仿宋" w:hAnsi="仿宋" w:eastAsia="仿宋" w:cs="仿宋"/>
          <w:b w:val="0"/>
          <w:bCs w:val="0"/>
          <w:i w:val="0"/>
          <w:iCs w:val="0"/>
          <w:caps w:val="0"/>
          <w:color w:val="222222"/>
          <w:spacing w:val="0"/>
          <w:sz w:val="28"/>
          <w:szCs w:val="28"/>
          <w:lang w:eastAsia="zh-CN"/>
        </w:rPr>
        <w:t>本项目</w:t>
      </w:r>
      <w:r>
        <w:rPr>
          <w:rStyle w:val="9"/>
          <w:rFonts w:hint="eastAsia" w:ascii="仿宋" w:hAnsi="仿宋" w:eastAsia="仿宋" w:cs="仿宋"/>
          <w:b w:val="0"/>
          <w:bCs w:val="0"/>
          <w:i w:val="0"/>
          <w:iCs w:val="0"/>
          <w:caps w:val="0"/>
          <w:color w:val="222222"/>
          <w:spacing w:val="0"/>
          <w:sz w:val="28"/>
          <w:szCs w:val="28"/>
          <w:lang w:val="en-US" w:eastAsia="zh-CN"/>
        </w:rPr>
        <w:t>设备</w:t>
      </w:r>
      <w:r>
        <w:rPr>
          <w:rStyle w:val="9"/>
          <w:rFonts w:hint="eastAsia" w:ascii="仿宋" w:hAnsi="仿宋" w:eastAsia="仿宋" w:cs="仿宋"/>
          <w:b w:val="0"/>
          <w:bCs w:val="0"/>
          <w:i w:val="0"/>
          <w:iCs w:val="0"/>
          <w:caps w:val="0"/>
          <w:color w:val="222222"/>
          <w:spacing w:val="0"/>
          <w:sz w:val="28"/>
          <w:szCs w:val="28"/>
          <w:lang w:eastAsia="zh-CN"/>
        </w:rPr>
        <w:t>合同履约期限为双方签字盖章生效之日起</w:t>
      </w:r>
      <w:r>
        <w:rPr>
          <w:rStyle w:val="9"/>
          <w:rFonts w:hint="eastAsia" w:ascii="仿宋" w:hAnsi="仿宋" w:eastAsia="仿宋" w:cs="仿宋"/>
          <w:b w:val="0"/>
          <w:bCs w:val="0"/>
          <w:i w:val="0"/>
          <w:iCs w:val="0"/>
          <w:caps w:val="0"/>
          <w:color w:val="222222"/>
          <w:spacing w:val="0"/>
          <w:sz w:val="28"/>
          <w:szCs w:val="28"/>
          <w:lang w:val="en-US" w:eastAsia="zh-CN"/>
        </w:rPr>
        <w:t>30日内</w:t>
      </w:r>
      <w:r>
        <w:rPr>
          <w:rStyle w:val="9"/>
          <w:rFonts w:hint="eastAsia" w:ascii="仿宋" w:hAnsi="仿宋" w:eastAsia="仿宋" w:cs="仿宋"/>
          <w:b w:val="0"/>
          <w:bCs w:val="0"/>
          <w:i w:val="0"/>
          <w:iCs w:val="0"/>
          <w:caps w:val="0"/>
          <w:color w:val="222222"/>
          <w:spacing w:val="0"/>
          <w:sz w:val="28"/>
          <w:szCs w:val="28"/>
          <w:lang w:eastAsia="zh-CN"/>
        </w:rPr>
        <w:t>，</w:t>
      </w:r>
      <w:r>
        <w:rPr>
          <w:rStyle w:val="9"/>
          <w:rFonts w:hint="eastAsia" w:ascii="仿宋" w:hAnsi="仿宋" w:eastAsia="仿宋" w:cs="仿宋"/>
          <w:b w:val="0"/>
          <w:bCs w:val="0"/>
          <w:i w:val="0"/>
          <w:iCs w:val="0"/>
          <w:caps w:val="0"/>
          <w:color w:val="222222"/>
          <w:spacing w:val="0"/>
          <w:sz w:val="28"/>
          <w:szCs w:val="28"/>
          <w:lang w:val="en-US" w:eastAsia="zh-CN"/>
        </w:rPr>
        <w:t>质保期满后</w:t>
      </w:r>
      <w:r>
        <w:rPr>
          <w:rStyle w:val="9"/>
          <w:rFonts w:hint="eastAsia" w:ascii="仿宋" w:hAnsi="仿宋" w:eastAsia="仿宋" w:cs="仿宋"/>
          <w:b w:val="0"/>
          <w:bCs w:val="0"/>
          <w:i w:val="0"/>
          <w:iCs w:val="0"/>
          <w:caps w:val="0"/>
          <w:color w:val="222222"/>
          <w:spacing w:val="0"/>
          <w:sz w:val="28"/>
          <w:szCs w:val="28"/>
          <w:lang w:eastAsia="zh-CN"/>
        </w:rPr>
        <w:t>合同自然终止。</w:t>
      </w:r>
    </w:p>
    <w:p w14:paraId="7A2C26A0">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（二）项目履行地点：四川省大竹县白塔街道青年路99号；大竹县人民医院外科大楼5楼麻醉科。货物交付采购人之前，货物的损毁、灭失风险由供应商承担。</w:t>
      </w:r>
    </w:p>
    <w:p w14:paraId="483D91A1">
      <w:pPr>
        <w:pStyle w:val="12"/>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（三）付款方式</w:t>
      </w:r>
    </w:p>
    <w:p w14:paraId="086C73E8">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（1）双方签订正式合同后设备安装调试完成、交付使用、验收合格、开具正式票据后，达到付款条件起30日内，支付合同总金额的90%；</w:t>
      </w:r>
    </w:p>
    <w:p w14:paraId="38B2F421">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kern w:val="2"/>
          <w:sz w:val="28"/>
          <w:szCs w:val="28"/>
          <w:lang w:val="en-US" w:eastAsia="zh-CN" w:bidi="ar-SA"/>
        </w:rPr>
        <w:t>（2）</w:t>
      </w:r>
      <w:r>
        <w:rPr>
          <w:rFonts w:hint="eastAsia" w:ascii="仿宋" w:hAnsi="仿宋" w:eastAsia="仿宋" w:cs="仿宋"/>
          <w:sz w:val="28"/>
          <w:szCs w:val="28"/>
          <w:lang w:val="en-US" w:eastAsia="zh-CN"/>
        </w:rPr>
        <w:t>质保期满后，达到付款条件起30日内，支付合同总金额的10%。</w:t>
      </w:r>
    </w:p>
    <w:p w14:paraId="5FEB6E99">
      <w:pPr>
        <w:pStyle w:val="3"/>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leftChars="0" w:firstLine="280" w:firstLineChars="1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（四）验收交付方式和标准</w:t>
      </w:r>
    </w:p>
    <w:p w14:paraId="69233F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1、货物验收交付标准</w:t>
      </w:r>
    </w:p>
    <w:p w14:paraId="3A3B06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按国家相关法律法规、行业标准、技术规范；招标文件相关技术、服务要求、中标供应商投标文件相关响应内容；中标产品生产厂家出具的产品说明书、技术白皮书、医疗器械注册证或备案凭证等技术资料(如涉及)；如验收时双方对技术指标、质量要求等约定标准有相互抵触或异议的事项,双方须按照国家相关规定及招标文件相关技术、服务要求、中标供应商响应文件相关响应内容中质量要求和技术指标较严格的原则确定该事项的标准并进行验收。</w:t>
      </w:r>
    </w:p>
    <w:p w14:paraId="355348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验收交付方法：（1）供应商按合同约定时间将货物交到采购人指定地点，并完成安装调试培训，验收合格后交付使用(如由于采购人的原因造成延迟交付的，时间顺延)。（2）项目验收由采购人组织，按照《财政部关于进一步加强政府采购需求和履约验收管理的指导意见》（财库[2016]205号）、《政府采购需求管理办法》财库〔2021〕22号以及国家相关规定进行验收。</w:t>
      </w:r>
    </w:p>
    <w:p w14:paraId="3DAF9CEC">
      <w:pPr>
        <w:pStyle w:val="3"/>
        <w:keepNext w:val="0"/>
        <w:keepLines w:val="0"/>
        <w:pageBreakBefore w:val="0"/>
        <w:widowControl w:val="0"/>
        <w:kinsoku/>
        <w:wordWrap/>
        <w:overflowPunct/>
        <w:topLinePunct w:val="0"/>
        <w:autoSpaceDE/>
        <w:autoSpaceDN/>
        <w:bidi w:val="0"/>
        <w:adjustRightInd/>
        <w:snapToGrid/>
        <w:spacing w:after="0" w:line="520" w:lineRule="atLeast"/>
        <w:ind w:firstLine="560"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（五）货物包装、运输要求</w:t>
      </w:r>
    </w:p>
    <w:p w14:paraId="7E933562">
      <w:pPr>
        <w:keepNext w:val="0"/>
        <w:keepLines w:val="0"/>
        <w:pageBreakBefore w:val="0"/>
        <w:widowControl w:val="0"/>
        <w:kinsoku/>
        <w:wordWrap/>
        <w:overflowPunct/>
        <w:topLinePunct w:val="0"/>
        <w:autoSpaceDE/>
        <w:autoSpaceDN/>
        <w:bidi w:val="0"/>
        <w:adjustRightInd/>
        <w:snapToGrid/>
        <w:spacing w:line="520" w:lineRule="atLeast"/>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1、中标人所出售的全部货物均应满足远距离运输、防潮、防震、防锈和防野蛮装卸等要求，确保货物安全无损运抵指定地点，符合环保和国家强制要求。</w:t>
      </w:r>
    </w:p>
    <w:p w14:paraId="1BA21AAE">
      <w:pPr>
        <w:keepNext w:val="0"/>
        <w:keepLines w:val="0"/>
        <w:pageBreakBefore w:val="0"/>
        <w:widowControl w:val="0"/>
        <w:kinsoku/>
        <w:wordWrap/>
        <w:overflowPunct/>
        <w:topLinePunct w:val="0"/>
        <w:autoSpaceDE/>
        <w:autoSpaceDN/>
        <w:bidi w:val="0"/>
        <w:adjustRightInd/>
        <w:snapToGrid/>
        <w:spacing w:line="520" w:lineRule="atLeast"/>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供货产品包装标识清楚，符合《医疗器械说明书和标签管理规定》要求，特别是进口产品一定要有中文标识。中文标识至少应包括：产品名称、型号、规格、有效期、医疗器械注册证编号或者备案凭证编号、注册人（代理人）或者生产企业的名称、住所、生产地址、联系方式及生产许可证编号等。</w:t>
      </w:r>
    </w:p>
    <w:p w14:paraId="32E6FA19">
      <w:pPr>
        <w:keepNext w:val="0"/>
        <w:keepLines w:val="0"/>
        <w:pageBreakBefore w:val="0"/>
        <w:widowControl w:val="0"/>
        <w:kinsoku/>
        <w:wordWrap/>
        <w:overflowPunct/>
        <w:topLinePunct w:val="0"/>
        <w:autoSpaceDE/>
        <w:autoSpaceDN/>
        <w:bidi w:val="0"/>
        <w:adjustRightInd/>
        <w:snapToGrid/>
        <w:spacing w:line="520" w:lineRule="atLeast"/>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3、设备每一个包装箱内应附详细装箱清单。</w:t>
      </w:r>
    </w:p>
    <w:p w14:paraId="57118D12">
      <w:pPr>
        <w:keepNext w:val="0"/>
        <w:keepLines w:val="0"/>
        <w:pageBreakBefore w:val="0"/>
        <w:widowControl w:val="0"/>
        <w:kinsoku/>
        <w:wordWrap/>
        <w:overflowPunct/>
        <w:topLinePunct w:val="0"/>
        <w:autoSpaceDE/>
        <w:autoSpaceDN/>
        <w:bidi w:val="0"/>
        <w:adjustRightInd/>
        <w:snapToGrid/>
        <w:spacing w:line="520" w:lineRule="atLeast"/>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本项目涉及商品包装和快递包装的，除另有要求外，中标人所出售的货物包装应当参照财政部办公厅、生态环境部办公厅及国家邮政局办公室联合发布的《商品包装政府采购需求标准(试行)》《快递包装政府采购需求标准(试行)》等要求执行。</w:t>
      </w:r>
    </w:p>
    <w:p w14:paraId="259D8DC5">
      <w:pPr>
        <w:pStyle w:val="3"/>
        <w:keepNext w:val="0"/>
        <w:keepLines w:val="0"/>
        <w:pageBreakBefore w:val="0"/>
        <w:widowControl w:val="0"/>
        <w:kinsoku/>
        <w:wordWrap/>
        <w:overflowPunct/>
        <w:topLinePunct w:val="0"/>
        <w:autoSpaceDE/>
        <w:autoSpaceDN/>
        <w:bidi w:val="0"/>
        <w:adjustRightInd/>
        <w:snapToGrid/>
        <w:spacing w:after="0" w:line="520" w:lineRule="atLeast"/>
        <w:ind w:firstLine="560" w:firstLineChars="200"/>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5、运输费、装卸费由中标人承担。</w:t>
      </w:r>
    </w:p>
    <w:p w14:paraId="7D3187AB">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（六）质量保修范围和保修期</w:t>
      </w:r>
    </w:p>
    <w:p w14:paraId="1F6A7E70">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1、质保期为最终验收合格后≥</w:t>
      </w:r>
      <w:r>
        <w:rPr>
          <w:rFonts w:hint="eastAsia" w:ascii="仿宋" w:hAnsi="仿宋" w:eastAsia="仿宋" w:cs="仿宋"/>
          <w:color w:val="FF0000"/>
          <w:kern w:val="2"/>
          <w:sz w:val="28"/>
          <w:szCs w:val="28"/>
          <w:lang w:val="en-US" w:eastAsia="zh-CN" w:bidi="ar-SA"/>
        </w:rPr>
        <w:t>三</w:t>
      </w:r>
      <w:r>
        <w:rPr>
          <w:rFonts w:hint="eastAsia" w:ascii="仿宋" w:hAnsi="仿宋" w:eastAsia="仿宋" w:cs="仿宋"/>
          <w:sz w:val="28"/>
          <w:szCs w:val="28"/>
          <w:lang w:val="en-US" w:eastAsia="zh-CN"/>
        </w:rPr>
        <w:t>年。质保期内货物质量出现问题，成交供应商应负责包修、包换、包退，费用由成交供应商负担。如需更换零配件，供应商应保证所更换的零配件与原设备相同规格和品质且是全新的零配件。质保期内如货物经供应商两次维修仍不能达到合同约定的质量标准，视作供应商未能按时交货，采购人有权退货并追究供应商的违约责任。</w:t>
      </w:r>
    </w:p>
    <w:p w14:paraId="3851914D">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2、质保期后，供应商承诺提供终身售后服务和硬件支持下的软件升级，维修仅收取零配件费用，不收上门费、服务费及差旅费等其他费用，具体运维服务费用由供方和需方协商解决。</w:t>
      </w:r>
    </w:p>
    <w:p w14:paraId="0FC39E3F">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（七）违约责任与解决争议的方法</w:t>
      </w:r>
    </w:p>
    <w:p w14:paraId="08A85C8A">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违约责任：供应商必须严格按照国家相关法律法规和本采购文件要求及供应商提交的响应文件约定履行合同，按时全面履行本项目的各项义务，供应商不履行本项目义务或瑕疵履行本项目义务或延迟履行本项目义务或履行合同义务不符合合同约定的，则供应商违约。</w:t>
      </w:r>
    </w:p>
    <w:p w14:paraId="478D5939">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根据《中华人民共和国民法典》合同编的法律规定，采购人有权解除合同，并要求供应商承担相应违约责任并支付相应金额的违约金。采购人有权直接从供应商的合同货款中扣除违约金，供应商因违约行为偿付的违约金不足以弥补采购人损失的，还应按采购人损失尚未弥补的部分，支付赔偿金全额赔偿采购人损失。</w:t>
      </w:r>
    </w:p>
    <w:p w14:paraId="618A45BD">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有下列情形之一行为视为供应商违约，采购人有权按照以下条款要求供应商承担违约金及违约责任：</w:t>
      </w:r>
    </w:p>
    <w:p w14:paraId="3B1E2148">
      <w:pPr>
        <w:pStyle w:val="3"/>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（1）项目履行期限内，供应商明确表示或者以自己的行为表明不履行本项目合同的主要义务，则供应商违约，供应商应向采购人缴纳合同总价款20%的违约金，同时采购人有权解除合同。</w:t>
      </w:r>
    </w:p>
    <w:p w14:paraId="690DD380">
      <w:pPr>
        <w:pStyle w:val="3"/>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（2）供应商提供的货物或服务根本违约（例如提供假冒伪劣产品或以次充好），致使合同的目的不能实现的，供应商应向采购人缴纳合同总价款20%的违约金，同时采购人有权解除合同。</w:t>
      </w:r>
    </w:p>
    <w:p w14:paraId="615944A3">
      <w:pPr>
        <w:pStyle w:val="3"/>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供应商延迟履约，即供应商应向采购人提供的货物及服务未按合同约定时间达成的，供应商每有一次违约行为，供应商应向采购人支付违约金2000元，同时供应商经采购人催告后应继续按合同约定履行合同。合同履行期内3次延迟履约，则供应商应向采购人缴纳合同总价款20%的违约金，同时采购人有权解除合同。</w:t>
      </w:r>
    </w:p>
    <w:p w14:paraId="5B33F2DA">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lang w:val="en-US" w:eastAsia="zh-CN"/>
        </w:rPr>
      </w:pPr>
      <w:r>
        <w:rPr>
          <w:rFonts w:hint="eastAsia" w:ascii="仿宋" w:hAnsi="仿宋" w:eastAsia="仿宋" w:cs="仿宋"/>
          <w:sz w:val="28"/>
          <w:szCs w:val="28"/>
          <w:lang w:val="en-US" w:eastAsia="zh-CN"/>
        </w:rPr>
        <w:t>（4）供应商所供的货物或服务瑕疵违约，与采购文件要求或采购人采购需求不符的，供应商应承担修理、重作、更换、退货、减少价款或者报酬等违约责任。同时供应商每有一次违约行为，供应商应向采购人支付违约金2000元，合同履行期内供应商出现3次本款所列违约行为，供应商应向采购人支付合同总价款20%的违约金，同时采购人有权解除合同。经采购人同意后，供应商更正瑕疵违约行为后，可以继续按合同约定履行合同。</w:t>
      </w:r>
    </w:p>
    <w:p w14:paraId="44819A70">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合同履行过程中因供应商及员工原因造成的一切安全事故、人身伤亡、经济损失均由供应商自行负责承担，其责任与采购人无关。如因供应商及其工作人员在项目实施过程中的疏忽、失职、过错等故意或者过失原因或货物问题给采购人造成损失或侵害，包括但不限于采购人本身的财产损失或人身伤害、由此而导致的采购人对任何第三方的法律责任等，供应商对此均应承担全部的赔偿责任和法律责任。</w:t>
      </w:r>
    </w:p>
    <w:p w14:paraId="33E9515A">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解决争议：（1）在执行合同中发生的或与合同有关的争端，双方应通过友好协商解决，经协商在15天内不能达成协议时，应提交采购人所在地人民法院诉讼解决。（2）诉讼裁决应为最终决定，并对双方具有约束力。（3）除另有裁决外，诉讼费应由败诉方负担。（4）在诉讼期间，除正在进行诉讼部分外，合同其他部分继续执行。</w:t>
      </w:r>
    </w:p>
    <w:p w14:paraId="46C4EAD6">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lang w:val="en-US" w:eastAsia="zh-CN"/>
        </w:rPr>
      </w:pPr>
      <w:r>
        <w:rPr>
          <w:rFonts w:hint="eastAsia" w:ascii="仿宋" w:hAnsi="仿宋" w:eastAsia="仿宋" w:cs="仿宋"/>
          <w:sz w:val="28"/>
          <w:szCs w:val="28"/>
          <w:lang w:val="en-US" w:eastAsia="zh-CN"/>
        </w:rPr>
        <w:t>4、</w:t>
      </w:r>
      <w:r>
        <w:rPr>
          <w:rFonts w:hint="eastAsia" w:ascii="仿宋" w:hAnsi="仿宋" w:eastAsia="仿宋" w:cs="仿宋"/>
          <w:color w:val="auto"/>
          <w:sz w:val="28"/>
          <w:szCs w:val="28"/>
          <w:lang w:val="en-US" w:eastAsia="zh-CN"/>
        </w:rPr>
        <w:t>其他条款</w:t>
      </w:r>
      <w:r>
        <w:rPr>
          <w:rFonts w:hint="eastAsia" w:ascii="仿宋" w:hAnsi="仿宋" w:eastAsia="仿宋" w:cs="仿宋"/>
          <w:sz w:val="28"/>
          <w:szCs w:val="28"/>
          <w:highlight w:val="none"/>
          <w:lang w:val="en-US" w:eastAsia="zh-CN"/>
        </w:rPr>
        <w:t>按合同约定执行。</w:t>
      </w:r>
    </w:p>
    <w:p w14:paraId="549A28BB">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五、</w:t>
      </w:r>
      <w:r>
        <w:rPr>
          <w:rFonts w:hint="eastAsia" w:ascii="仿宋" w:hAnsi="仿宋" w:eastAsia="仿宋" w:cs="宋体"/>
          <w:kern w:val="0"/>
          <w:sz w:val="24"/>
          <w:lang w:val="en-US" w:eastAsia="zh-CN"/>
        </w:rPr>
        <w:t>★</w:t>
      </w:r>
      <w:r>
        <w:rPr>
          <w:rFonts w:hint="eastAsia" w:ascii="仿宋" w:hAnsi="仿宋" w:eastAsia="仿宋" w:cs="仿宋"/>
          <w:b/>
          <w:bCs/>
          <w:color w:val="auto"/>
          <w:sz w:val="28"/>
          <w:szCs w:val="28"/>
          <w:lang w:val="en-US" w:eastAsia="zh-CN"/>
        </w:rPr>
        <w:t>其他要求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405E1A9A">
      <w:pPr>
        <w:pStyle w:val="12"/>
        <w:spacing w:line="560" w:lineRule="exact"/>
        <w:ind w:firstLine="560"/>
        <w:rPr>
          <w:rFonts w:hint="eastAsia" w:ascii="仿宋" w:hAnsi="仿宋" w:eastAsia="仿宋" w:cs="仿宋"/>
          <w:sz w:val="28"/>
          <w:szCs w:val="28"/>
          <w:highlight w:val="none"/>
          <w:lang w:val="en-US" w:eastAsia="zh-CN"/>
        </w:rPr>
      </w:pPr>
      <w:r>
        <w:rPr>
          <w:rFonts w:hint="eastAsia" w:ascii="仿宋" w:hAnsi="仿宋" w:eastAsia="仿宋" w:cs="仿宋"/>
          <w:color w:val="FF0000"/>
          <w:sz w:val="28"/>
          <w:szCs w:val="28"/>
          <w:highlight w:val="none"/>
          <w:lang w:val="en-US" w:eastAsia="zh-CN"/>
        </w:rPr>
        <w:t>1、本章的带“</w:t>
      </w:r>
      <w:r>
        <w:rPr>
          <w:rFonts w:hint="eastAsia" w:ascii="仿宋" w:hAnsi="仿宋" w:eastAsia="仿宋" w:cs="宋体"/>
          <w:color w:val="FF0000"/>
          <w:kern w:val="0"/>
          <w:sz w:val="24"/>
          <w:lang w:val="en-US" w:eastAsia="zh-CN"/>
        </w:rPr>
        <w:t>★”</w:t>
      </w:r>
      <w:r>
        <w:rPr>
          <w:rFonts w:hint="eastAsia" w:ascii="仿宋" w:hAnsi="仿宋" w:eastAsia="仿宋" w:cs="仿宋"/>
          <w:color w:val="FF0000"/>
          <w:sz w:val="28"/>
          <w:szCs w:val="28"/>
          <w:highlight w:val="none"/>
          <w:lang w:val="en-US" w:eastAsia="zh-CN"/>
        </w:rPr>
        <w:t>内容为本次采购项目的实质性要求，不允许有负偏离。</w:t>
      </w:r>
    </w:p>
    <w:p w14:paraId="66240A7D">
      <w:pPr>
        <w:ind w:firstLine="560" w:firstLineChars="200"/>
      </w:pPr>
      <w:r>
        <w:rPr>
          <w:rFonts w:hint="eastAsia" w:ascii="仿宋" w:hAnsi="仿宋" w:eastAsia="仿宋" w:cs="仿宋"/>
          <w:color w:val="FF0000"/>
          <w:sz w:val="28"/>
          <w:szCs w:val="28"/>
          <w:highlight w:val="none"/>
          <w:lang w:val="en-US" w:eastAsia="zh-CN"/>
        </w:rPr>
        <w:t>2、供应商需提供厂家彩页或白皮书或检测报告复印件或重要功能截图等佐证材料（具体技术参数中有明确的证明材料要求的以具体技术参数中的要求为准），如无佐证材料的，视为负偏离。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151702"/>
    <w:multiLevelType w:val="multilevel"/>
    <w:tmpl w:val="7B151702"/>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BA2"/>
    <w:rsid w:val="000E1703"/>
    <w:rsid w:val="00310860"/>
    <w:rsid w:val="00521821"/>
    <w:rsid w:val="009F4EE6"/>
    <w:rsid w:val="00E11BA2"/>
    <w:rsid w:val="00E858DB"/>
    <w:rsid w:val="01D105A7"/>
    <w:rsid w:val="253043DD"/>
    <w:rsid w:val="3182318E"/>
    <w:rsid w:val="32695976"/>
    <w:rsid w:val="36F40B16"/>
    <w:rsid w:val="3BB2302D"/>
    <w:rsid w:val="3BC15248"/>
    <w:rsid w:val="64C51278"/>
    <w:rsid w:val="6DB70F9A"/>
    <w:rsid w:val="6FF36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9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6"/>
    <w:basedOn w:val="1"/>
    <w:next w:val="1"/>
    <w:link w:val="10"/>
    <w:qFormat/>
    <w:uiPriority w:val="99"/>
    <w:pPr>
      <w:spacing w:before="100" w:beforeAutospacing="1" w:after="100" w:afterAutospacing="1"/>
      <w:jc w:val="left"/>
      <w:outlineLvl w:val="5"/>
    </w:pPr>
    <w:rPr>
      <w:rFonts w:ascii="宋体" w:hAnsi="宋体" w:cs="宋体"/>
      <w:b/>
      <w:bCs/>
      <w:kern w:val="0"/>
      <w:sz w:val="15"/>
      <w:szCs w:val="15"/>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link w:val="11"/>
    <w:unhideWhenUsed/>
    <w:qFormat/>
    <w:uiPriority w:val="99"/>
    <w:pPr>
      <w:spacing w:before="100" w:beforeAutospacing="1" w:after="120"/>
    </w:pPr>
  </w:style>
  <w:style w:type="paragraph" w:styleId="4">
    <w:name w:val="Normal (Web)"/>
    <w:basedOn w:val="1"/>
    <w:unhideWhenUsed/>
    <w:qFormat/>
    <w:uiPriority w:val="0"/>
    <w:pPr>
      <w:widowControl/>
      <w:spacing w:before="100" w:beforeAutospacing="1" w:after="100" w:afterAutospacing="1"/>
      <w:jc w:val="left"/>
    </w:pPr>
    <w:rPr>
      <w:rFonts w:ascii="宋体" w:hAnsi="宋体"/>
      <w:kern w:val="0"/>
      <w:sz w:val="24"/>
    </w:rPr>
  </w:style>
  <w:style w:type="paragraph" w:styleId="5">
    <w:name w:val="Body Text First Indent"/>
    <w:basedOn w:val="3"/>
    <w:link w:val="19"/>
    <w:semiHidden/>
    <w:unhideWhenUsed/>
    <w:qFormat/>
    <w:uiPriority w:val="99"/>
    <w:pPr>
      <w:spacing w:before="0" w:beforeAutospacing="0"/>
      <w:ind w:firstLine="420" w:firstLineChars="10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customStyle="1" w:styleId="10">
    <w:name w:val="标题 6 Char"/>
    <w:basedOn w:val="8"/>
    <w:link w:val="2"/>
    <w:qFormat/>
    <w:uiPriority w:val="99"/>
    <w:rPr>
      <w:rFonts w:ascii="宋体" w:hAnsi="宋体" w:eastAsia="宋体" w:cs="宋体"/>
      <w:b/>
      <w:bCs/>
      <w:kern w:val="0"/>
      <w:sz w:val="15"/>
      <w:szCs w:val="15"/>
    </w:rPr>
  </w:style>
  <w:style w:type="character" w:customStyle="1" w:styleId="11">
    <w:name w:val="正文文本 Char"/>
    <w:basedOn w:val="8"/>
    <w:link w:val="3"/>
    <w:qFormat/>
    <w:uiPriority w:val="99"/>
    <w:rPr>
      <w:rFonts w:ascii="Times New Roman" w:hAnsi="Times New Roman" w:eastAsia="宋体" w:cs="Times New Roman"/>
      <w:szCs w:val="21"/>
    </w:rPr>
  </w:style>
  <w:style w:type="paragraph" w:customStyle="1" w:styleId="12">
    <w:name w:val="List Paragraph"/>
    <w:basedOn w:val="1"/>
    <w:qFormat/>
    <w:uiPriority w:val="0"/>
    <w:pPr>
      <w:ind w:firstLine="420" w:firstLineChars="200"/>
    </w:pPr>
  </w:style>
  <w:style w:type="paragraph" w:customStyle="1" w:styleId="13">
    <w:name w:val="null3"/>
    <w:basedOn w:val="1"/>
    <w:qFormat/>
    <w:uiPriority w:val="0"/>
    <w:pPr>
      <w:widowControl/>
      <w:jc w:val="left"/>
    </w:pPr>
    <w:rPr>
      <w:rFonts w:ascii="Calibri" w:hAnsi="Calibri"/>
      <w:kern w:val="0"/>
      <w:sz w:val="24"/>
      <w:szCs w:val="24"/>
    </w:rPr>
  </w:style>
  <w:style w:type="paragraph" w:customStyle="1" w:styleId="14">
    <w:name w:val="正文_1"/>
    <w:basedOn w:val="1"/>
    <w:next w:val="15"/>
    <w:qFormat/>
    <w:uiPriority w:val="0"/>
    <w:pPr>
      <w:spacing w:line="480" w:lineRule="exact"/>
    </w:pPr>
  </w:style>
  <w:style w:type="paragraph" w:customStyle="1" w:styleId="15">
    <w:name w:val="正文_2"/>
    <w:next w:val="1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标题 5（有编号）（绿盟科技）"/>
    <w:basedOn w:val="15"/>
    <w:next w:val="17"/>
    <w:autoRedefine/>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17">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18">
    <w:name w:val="15"/>
    <w:basedOn w:val="8"/>
    <w:qFormat/>
    <w:uiPriority w:val="0"/>
    <w:rPr>
      <w:rFonts w:hint="default" w:ascii="Calibri" w:hAnsi="Calibri" w:cs="Calibri"/>
      <w:b/>
    </w:rPr>
  </w:style>
  <w:style w:type="character" w:customStyle="1" w:styleId="19">
    <w:name w:val="正文首行缩进 Char"/>
    <w:basedOn w:val="11"/>
    <w:link w:val="5"/>
    <w:semiHidden/>
    <w:qFormat/>
    <w:uiPriority w:val="99"/>
    <w:rPr>
      <w:rFonts w:ascii="Times New Roman" w:hAnsi="Times New Roman" w:eastAsia="宋体" w:cs="Times New Roman"/>
      <w:szCs w:val="21"/>
    </w:rPr>
  </w:style>
  <w:style w:type="paragraph" w:customStyle="1" w:styleId="20">
    <w:name w:val="产品相关信息"/>
    <w:basedOn w:val="1"/>
    <w:qFormat/>
    <w:uiPriority w:val="0"/>
    <w:rPr>
      <w:rFonts w:ascii="宋体" w:hAnsi="宋体" w:eastAsia="宋体" w:cs="宋体"/>
      <w:lang w:val="en-US" w:eastAsia="uk-UA"/>
    </w:rPr>
  </w:style>
  <w:style w:type="paragraph" w:customStyle="1" w:styleId="21">
    <w:name w:val="参数正文"/>
    <w:basedOn w:val="1"/>
    <w:qFormat/>
    <w:uiPriority w:val="0"/>
    <w:rPr>
      <w:rFonts w:ascii="宋体" w:hAnsi="宋体"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7</Pages>
  <Words>3650</Words>
  <Characters>3731</Characters>
  <Lines>62</Lines>
  <Paragraphs>17</Paragraphs>
  <TotalTime>0</TotalTime>
  <ScaleCrop>false</ScaleCrop>
  <LinksUpToDate>false</LinksUpToDate>
  <CharactersWithSpaces>3741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2026-01-04T09:20:00Z</dcterms:created>
  <dc:creator>PC</dc:creator>
  <cp:lastModifiedBy>周云霞</cp:lastModifiedBy>
  <dcterms:modified xsi:type="dcterms:W3CDTF">2026-09-11T03:04:41Z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eyJoZGlkIjoiYzlkMmZkYmE5MjIyMjVmOTNjMjM2NjBkYzIyMmEyMDUiLCJ1c2VySWQiOiIzNTI2ODc0MzAifQ==</vt:lpwstr>
  </property>
  <property fmtid="{D5CDD505-2E9C-101B-9397-08002B2CF9AE}" pid="3" name="KSOProductBuildVer">
    <vt:lpwstr>2052-12.1.0.28505</vt:lpwstr>
  </property>
  <property fmtid="{D5CDD505-2E9C-101B-9397-08002B2CF9AE}" pid="4" name="ICV">
    <vt:lpwstr>C905E25E26F24CB3B18770373C1CBF17_12</vt:lpwstr>
  </property>
</Properties>
</file>