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16162">
      <w:pPr>
        <w:pStyle w:val="21"/>
        <w:spacing w:line="560" w:lineRule="exact"/>
        <w:ind w:left="0" w:leftChars="0" w:firstLine="0" w:firstLineChars="0"/>
        <w:jc w:val="center"/>
        <w:rPr>
          <w:rFonts w:hint="eastAsia" w:ascii="黑体" w:hAnsi="黑体" w:eastAsia="黑体" w:cs="黑体"/>
          <w:b/>
          <w:bCs/>
          <w:kern w:val="0"/>
          <w:sz w:val="30"/>
          <w:szCs w:val="30"/>
          <w:highlight w:val="none"/>
          <w:lang w:val="en-US" w:eastAsia="zh-CN" w:bidi="ar"/>
        </w:rPr>
      </w:pPr>
      <w:bookmarkStart w:id="1" w:name="_GoBack"/>
      <w:r>
        <w:rPr>
          <w:rFonts w:hint="eastAsia" w:ascii="黑体" w:hAnsi="黑体" w:eastAsia="黑体" w:cs="黑体"/>
          <w:b/>
          <w:bCs/>
          <w:kern w:val="0"/>
          <w:sz w:val="36"/>
          <w:szCs w:val="36"/>
          <w:highlight w:val="none"/>
          <w:lang w:val="en-US" w:eastAsia="zh-CN" w:bidi="ar"/>
        </w:rPr>
        <w:t>2026年常用办公家具采购项目</w:t>
      </w:r>
      <w:bookmarkEnd w:id="1"/>
    </w:p>
    <w:p w14:paraId="4F535F30">
      <w:pPr>
        <w:pStyle w:val="21"/>
        <w:spacing w:line="560" w:lineRule="exact"/>
        <w:ind w:left="0" w:leftChars="0" w:firstLine="0" w:firstLineChars="0"/>
        <w:jc w:val="center"/>
        <w:rPr>
          <w:rFonts w:hint="default" w:ascii="仿宋" w:hAnsi="仿宋" w:eastAsia="仿宋"/>
          <w:b/>
          <w:sz w:val="30"/>
          <w:szCs w:val="30"/>
          <w:lang w:val="en-US"/>
        </w:rPr>
      </w:pPr>
      <w:r>
        <w:rPr>
          <w:rFonts w:hint="eastAsia" w:ascii="黑体" w:hAnsi="黑体" w:eastAsia="黑体" w:cs="黑体"/>
          <w:b/>
          <w:bCs/>
          <w:kern w:val="0"/>
          <w:sz w:val="30"/>
          <w:szCs w:val="30"/>
          <w:highlight w:val="none"/>
          <w:lang w:val="en-US" w:eastAsia="zh-CN" w:bidi="ar"/>
        </w:rPr>
        <w:t>采购需求</w:t>
      </w:r>
    </w:p>
    <w:p w14:paraId="234DAAA3">
      <w:pPr>
        <w:keepNext w:val="0"/>
        <w:keepLines w:val="0"/>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textAlignment w:val="auto"/>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sz w:val="28"/>
          <w:szCs w:val="28"/>
          <w:lang w:val="en-US" w:eastAsia="zh-CN"/>
        </w:rPr>
        <w:t>一、项目概述</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5AF3D7A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采购人预估未来两年所需的办公家具</w:t>
      </w:r>
      <w:r>
        <w:rPr>
          <w:rFonts w:hint="eastAsia" w:ascii="仿宋" w:hAnsi="仿宋" w:eastAsia="仿宋" w:cs="仿宋"/>
          <w:color w:val="auto"/>
          <w:sz w:val="28"/>
          <w:szCs w:val="28"/>
          <w:highlight w:val="none"/>
          <w:lang w:eastAsia="zh-CN"/>
        </w:rPr>
        <w:t>，采购人</w:t>
      </w:r>
      <w:r>
        <w:rPr>
          <w:rFonts w:hint="eastAsia" w:ascii="仿宋" w:hAnsi="仿宋" w:eastAsia="仿宋" w:cs="仿宋"/>
          <w:color w:val="auto"/>
          <w:sz w:val="28"/>
          <w:szCs w:val="28"/>
          <w:highlight w:val="none"/>
        </w:rPr>
        <w:t>不会一次性大批量购买货物</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本项目</w:t>
      </w:r>
      <w:r>
        <w:rPr>
          <w:rFonts w:hint="eastAsia" w:ascii="仿宋" w:hAnsi="仿宋" w:eastAsia="仿宋" w:cs="仿宋"/>
          <w:color w:val="auto"/>
          <w:sz w:val="28"/>
          <w:szCs w:val="28"/>
          <w:highlight w:val="none"/>
          <w:lang w:eastAsia="zh-CN"/>
        </w:rPr>
        <w:t>涉及</w:t>
      </w:r>
      <w:r>
        <w:rPr>
          <w:rFonts w:hint="eastAsia" w:ascii="仿宋" w:hAnsi="仿宋" w:eastAsia="仿宋" w:cs="仿宋"/>
          <w:color w:val="auto"/>
          <w:sz w:val="28"/>
          <w:szCs w:val="28"/>
          <w:highlight w:val="none"/>
        </w:rPr>
        <w:t>院内日常办公无法维修的货物替换</w:t>
      </w:r>
      <w:r>
        <w:rPr>
          <w:rFonts w:hint="eastAsia" w:ascii="仿宋" w:hAnsi="仿宋" w:eastAsia="仿宋" w:cs="仿宋"/>
          <w:color w:val="auto"/>
          <w:sz w:val="28"/>
          <w:szCs w:val="28"/>
          <w:highlight w:val="none"/>
          <w:lang w:eastAsia="zh-CN"/>
        </w:rPr>
        <w:t>，以及因</w:t>
      </w:r>
      <w:r>
        <w:rPr>
          <w:rFonts w:hint="eastAsia" w:ascii="仿宋" w:hAnsi="仿宋" w:eastAsia="仿宋" w:cs="仿宋"/>
          <w:color w:val="auto"/>
          <w:sz w:val="28"/>
          <w:szCs w:val="28"/>
          <w:highlight w:val="none"/>
        </w:rPr>
        <w:t>医院业务需求产生的每月零星货物购置。</w:t>
      </w:r>
    </w:p>
    <w:p w14:paraId="12C8EA97">
      <w:pPr>
        <w:spacing w:line="360" w:lineRule="auto"/>
        <w:ind w:firstLine="636"/>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本项目采购人大竹县人民医院是集医疗、教学、科研、预防保健为一体的国家三级甲等综合医院。全院现有需配送货物的区域工作业务用房建筑面积82313.13平方米，共计60多个科室。</w:t>
      </w:r>
    </w:p>
    <w:p w14:paraId="4E762B59">
      <w:pPr>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供应商服务区域涉及门诊大楼（10层，可用1部电梯）、内科大楼（14层，可用1部电梯搬货）、外科大楼（19层，可用1部电梯搬货）、感染科楼、发热门诊、总务库房（3楼，步梯）、肿瘤微创中心（负一楼，可用1部电梯）等</w:t>
      </w:r>
    </w:p>
    <w:p w14:paraId="72F39708">
      <w:pPr>
        <w:spacing w:line="360" w:lineRule="auto"/>
        <w:ind w:firstLine="636"/>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rPr>
        <w:t>要求供应商</w:t>
      </w:r>
      <w:r>
        <w:rPr>
          <w:rFonts w:hint="eastAsia" w:ascii="仿宋" w:hAnsi="仿宋" w:eastAsia="仿宋" w:cs="仿宋"/>
          <w:color w:val="auto"/>
          <w:sz w:val="28"/>
          <w:szCs w:val="28"/>
          <w:highlight w:val="none"/>
          <w:lang w:val="en-US" w:eastAsia="zh-CN"/>
        </w:rPr>
        <w:t>在合同履约期内</w:t>
      </w:r>
      <w:r>
        <w:rPr>
          <w:rFonts w:hint="eastAsia" w:ascii="仿宋" w:hAnsi="仿宋" w:eastAsia="仿宋" w:cs="仿宋"/>
          <w:color w:val="auto"/>
          <w:sz w:val="28"/>
          <w:szCs w:val="28"/>
          <w:highlight w:val="none"/>
          <w:lang w:val="en-US"/>
        </w:rPr>
        <w:t>按本</w:t>
      </w:r>
      <w:r>
        <w:rPr>
          <w:rFonts w:hint="eastAsia" w:ascii="仿宋" w:hAnsi="仿宋" w:eastAsia="仿宋" w:cs="仿宋"/>
          <w:color w:val="auto"/>
          <w:sz w:val="28"/>
          <w:szCs w:val="28"/>
          <w:highlight w:val="none"/>
          <w:lang w:val="en-US" w:eastAsia="zh-CN"/>
        </w:rPr>
        <w:t>询比价</w:t>
      </w:r>
      <w:r>
        <w:rPr>
          <w:rFonts w:hint="eastAsia" w:ascii="仿宋" w:hAnsi="仿宋" w:eastAsia="仿宋" w:cs="仿宋"/>
          <w:color w:val="auto"/>
          <w:sz w:val="28"/>
          <w:szCs w:val="28"/>
          <w:highlight w:val="none"/>
          <w:lang w:val="en-US"/>
        </w:rPr>
        <w:t>文件要求送货上楼到采购人院内指定地点，或在规定的时间内向采购人提供本</w:t>
      </w:r>
      <w:r>
        <w:rPr>
          <w:rFonts w:hint="eastAsia" w:ascii="仿宋" w:hAnsi="仿宋" w:eastAsia="仿宋" w:cs="仿宋"/>
          <w:color w:val="auto"/>
          <w:sz w:val="28"/>
          <w:szCs w:val="28"/>
          <w:highlight w:val="none"/>
          <w:lang w:val="en-US" w:eastAsia="zh-CN"/>
        </w:rPr>
        <w:t>询比价</w:t>
      </w:r>
      <w:r>
        <w:rPr>
          <w:rFonts w:hint="eastAsia" w:ascii="仿宋" w:hAnsi="仿宋" w:eastAsia="仿宋" w:cs="仿宋"/>
          <w:color w:val="auto"/>
          <w:sz w:val="28"/>
          <w:szCs w:val="28"/>
          <w:highlight w:val="none"/>
          <w:lang w:val="en-US"/>
        </w:rPr>
        <w:t>文件要求的各项服务。</w:t>
      </w:r>
    </w:p>
    <w:p w14:paraId="1405E792">
      <w:pPr>
        <w:keepNext w:val="0"/>
        <w:keepLines w:val="0"/>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textAlignment w:val="auto"/>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sz w:val="28"/>
          <w:szCs w:val="28"/>
          <w:lang w:val="en-US" w:eastAsia="zh-CN"/>
        </w:rPr>
        <w:t>二、项目预算</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607A5485">
      <w:pPr>
        <w:numPr>
          <w:ilvl w:val="0"/>
          <w:numId w:val="0"/>
        </w:numPr>
        <w:spacing w:line="360" w:lineRule="auto"/>
        <w:ind w:right="0" w:rightChars="0" w:firstLine="560" w:firstLineChars="200"/>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8"/>
          <w:szCs w:val="28"/>
          <w:highlight w:val="none"/>
          <w:lang w:val="en-US" w:eastAsia="zh-CN"/>
        </w:rPr>
        <w:t>本项目采购总预算金额：</w:t>
      </w:r>
      <w:r>
        <w:rPr>
          <w:rFonts w:hint="eastAsia" w:ascii="仿宋" w:hAnsi="仿宋" w:eastAsia="仿宋" w:cs="仿宋"/>
          <w:color w:val="auto"/>
          <w:sz w:val="28"/>
          <w:szCs w:val="28"/>
          <w:highlight w:val="none"/>
          <w:u w:val="single"/>
          <w:lang w:val="en-US" w:eastAsia="zh-CN"/>
        </w:rPr>
        <w:t>280000</w:t>
      </w:r>
      <w:r>
        <w:rPr>
          <w:rFonts w:hint="eastAsia" w:ascii="仿宋" w:hAnsi="仿宋" w:eastAsia="仿宋" w:cs="仿宋"/>
          <w:color w:val="auto"/>
          <w:sz w:val="28"/>
          <w:szCs w:val="28"/>
          <w:highlight w:val="none"/>
          <w:lang w:val="en-US" w:eastAsia="zh-CN"/>
        </w:rPr>
        <w:t>元</w:t>
      </w:r>
      <w:r>
        <w:rPr>
          <w:rFonts w:hint="eastAsia" w:ascii="仿宋" w:hAnsi="仿宋" w:eastAsia="仿宋" w:cs="仿宋"/>
          <w:color w:val="auto"/>
          <w:sz w:val="28"/>
          <w:szCs w:val="28"/>
          <w:highlight w:val="none"/>
          <w:u w:val="none"/>
          <w:lang w:val="en-US" w:eastAsia="zh-CN"/>
        </w:rPr>
        <w:t>（人民币大写：贰拾捌万元整）</w:t>
      </w:r>
    </w:p>
    <w:p w14:paraId="7F690DEA">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1.本项目各项单价为包干价，是完成本项目全部工作内容的价格体现，已包括货物设计、材料、制造、包装、运输、搬运等所有其他有关各项的含税费用，采购人无须另向供应商支付其他任何费用。</w:t>
      </w:r>
    </w:p>
    <w:p w14:paraId="1E7FCE6A">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2.本项目货物未来购置数量采购人当前无法确定，为预计采购数量。供应商成交后，根据采购人的需求进行供货，最终货物采购数量以合同履行期限内采购人实际需求为准。</w:t>
      </w:r>
    </w:p>
    <w:p w14:paraId="3791DF04">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3、结算时，以采购人实际需要的货物购置数量乘以各项标的单价为准。合同履行期内，最终采购人货物采购总金额不超过本项目合同总价。</w:t>
      </w:r>
    </w:p>
    <w:p w14:paraId="25463107">
      <w:pPr>
        <w:pStyle w:val="29"/>
        <w:tabs>
          <w:tab w:val="left" w:pos="0"/>
        </w:tabs>
        <w:spacing w:line="360" w:lineRule="auto"/>
        <w:ind w:firstLine="560" w:firstLineChars="200"/>
        <w:jc w:val="left"/>
        <w:rPr>
          <w:rFonts w:hint="eastAsia" w:ascii="仿宋" w:hAnsi="仿宋" w:eastAsia="仿宋" w:cs="仿宋"/>
          <w:b/>
          <w:bCs/>
          <w:color w:val="auto"/>
          <w:sz w:val="28"/>
          <w:szCs w:val="28"/>
          <w:highlight w:val="none"/>
          <w:lang w:val="en-US" w:eastAsia="zh-CN"/>
        </w:rPr>
      </w:pPr>
      <w:r>
        <w:rPr>
          <w:rFonts w:hint="eastAsia" w:ascii="仿宋" w:hAnsi="仿宋" w:eastAsia="仿宋" w:cs="仿宋"/>
          <w:sz w:val="28"/>
          <w:szCs w:val="28"/>
        </w:rPr>
        <w:t xml:space="preserve"> </w:t>
      </w:r>
      <w:r>
        <w:rPr>
          <w:rFonts w:hint="eastAsia" w:ascii="仿宋" w:hAnsi="仿宋" w:eastAsia="仿宋" w:cs="仿宋"/>
          <w:b/>
          <w:sz w:val="28"/>
          <w:szCs w:val="28"/>
          <w:lang w:val="en-US" w:eastAsia="zh-CN"/>
        </w:rPr>
        <w:t>三</w:t>
      </w:r>
      <w:r>
        <w:rPr>
          <w:rFonts w:hint="eastAsia" w:ascii="仿宋" w:hAnsi="仿宋" w:eastAsia="仿宋" w:cs="仿宋"/>
          <w:b/>
          <w:sz w:val="28"/>
          <w:szCs w:val="28"/>
        </w:rPr>
        <w:t>、采购标的</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32E28646">
      <w:pPr>
        <w:spacing w:line="360" w:lineRule="auto"/>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bidi="zh-CN"/>
        </w:rPr>
        <w:t>采购标的一览表</w:t>
      </w:r>
    </w:p>
    <w:tbl>
      <w:tblPr>
        <w:tblStyle w:val="15"/>
        <w:tblW w:w="4996" w:type="pct"/>
        <w:jc w:val="center"/>
        <w:tblLayout w:type="autofit"/>
        <w:tblCellMar>
          <w:top w:w="0" w:type="dxa"/>
          <w:left w:w="0" w:type="dxa"/>
          <w:bottom w:w="0" w:type="dxa"/>
          <w:right w:w="0" w:type="dxa"/>
        </w:tblCellMar>
      </w:tblPr>
      <w:tblGrid>
        <w:gridCol w:w="793"/>
        <w:gridCol w:w="3440"/>
        <w:gridCol w:w="982"/>
        <w:gridCol w:w="1557"/>
        <w:gridCol w:w="1557"/>
      </w:tblGrid>
      <w:tr w14:paraId="592B032B">
        <w:tblPrEx>
          <w:tblCellMar>
            <w:top w:w="0" w:type="dxa"/>
            <w:left w:w="0" w:type="dxa"/>
            <w:bottom w:w="0" w:type="dxa"/>
            <w:right w:w="0" w:type="dxa"/>
          </w:tblCellMar>
        </w:tblPrEx>
        <w:trPr>
          <w:trHeight w:val="1242"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8F8D6">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序号</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1C00E">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产品名称</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8598D">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单位</w:t>
            </w:r>
          </w:p>
        </w:tc>
        <w:tc>
          <w:tcPr>
            <w:tcW w:w="93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9497C">
            <w:pPr>
              <w:widowControl/>
              <w:spacing w:line="360" w:lineRule="auto"/>
              <w:jc w:val="center"/>
              <w:textAlignment w:val="center"/>
              <w:rPr>
                <w:rFonts w:hint="default" w:ascii="仿宋" w:hAnsi="仿宋" w:eastAsia="仿宋" w:cs="仿宋"/>
                <w:color w:val="auto"/>
                <w:sz w:val="28"/>
                <w:szCs w:val="28"/>
                <w:highlight w:val="none"/>
                <w:lang w:val="en-US"/>
              </w:rPr>
            </w:pPr>
            <w:r>
              <w:rPr>
                <w:rFonts w:hint="eastAsia" w:ascii="仿宋" w:hAnsi="仿宋" w:eastAsia="仿宋" w:cs="仿宋"/>
                <w:b/>
                <w:color w:val="auto"/>
                <w:kern w:val="0"/>
                <w:sz w:val="28"/>
                <w:szCs w:val="28"/>
                <w:highlight w:val="none"/>
                <w:lang w:val="en-US" w:eastAsia="zh-CN"/>
              </w:rPr>
              <w:t>最高限价</w:t>
            </w:r>
          </w:p>
        </w:tc>
        <w:tc>
          <w:tcPr>
            <w:tcW w:w="93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1D099">
            <w:pPr>
              <w:widowControl/>
              <w:spacing w:line="360" w:lineRule="auto"/>
              <w:jc w:val="center"/>
              <w:textAlignment w:val="center"/>
              <w:rPr>
                <w:rFonts w:hint="default" w:ascii="仿宋" w:hAnsi="仿宋" w:eastAsia="仿宋" w:cs="仿宋"/>
                <w:b/>
                <w:color w:val="auto"/>
                <w:kern w:val="0"/>
                <w:sz w:val="28"/>
                <w:szCs w:val="28"/>
                <w:highlight w:val="none"/>
                <w:lang w:val="en-US" w:eastAsia="zh-CN"/>
              </w:rPr>
            </w:pPr>
            <w:r>
              <w:rPr>
                <w:rFonts w:hint="eastAsia" w:ascii="仿宋" w:hAnsi="仿宋" w:eastAsia="仿宋" w:cs="仿宋"/>
                <w:b/>
                <w:color w:val="auto"/>
                <w:kern w:val="0"/>
                <w:sz w:val="28"/>
                <w:szCs w:val="28"/>
                <w:highlight w:val="none"/>
                <w:lang w:val="en-US" w:eastAsia="zh-CN"/>
              </w:rPr>
              <w:t>技术参数要求</w:t>
            </w:r>
          </w:p>
        </w:tc>
      </w:tr>
      <w:tr w14:paraId="31E852F9">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CD764">
            <w:pPr>
              <w:widowControl/>
              <w:spacing w:line="360" w:lineRule="auto"/>
              <w:jc w:val="center"/>
              <w:textAlignment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bidi="ar"/>
              </w:rPr>
              <w:t>1</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DAFEA">
            <w:pPr>
              <w:spacing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sz w:val="28"/>
                <w:szCs w:val="28"/>
                <w:highlight w:val="none"/>
                <w:lang w:val="en-US" w:eastAsia="zh-CN"/>
              </w:rPr>
              <w:t>办公桌带副台</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7188C">
            <w:pPr>
              <w:widowControl/>
              <w:spacing w:line="360" w:lineRule="auto"/>
              <w:jc w:val="center"/>
              <w:textAlignment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C6241">
            <w:pPr>
              <w:keepNext w:val="0"/>
              <w:keepLines w:val="0"/>
              <w:widowControl/>
              <w:suppressLineNumbers w:val="0"/>
              <w:jc w:val="center"/>
              <w:textAlignment w:val="center"/>
              <w:rPr>
                <w:rFonts w:hint="eastAsia" w:ascii="仿宋" w:hAnsi="仿宋" w:eastAsia="仿宋" w:cs="仿宋"/>
                <w:color w:val="auto"/>
                <w:kern w:val="0"/>
                <w:sz w:val="28"/>
                <w:szCs w:val="28"/>
                <w:highlight w:val="none"/>
                <w:lang w:bidi="ar"/>
              </w:rPr>
            </w:pPr>
            <w:r>
              <w:rPr>
                <w:rFonts w:hint="eastAsia" w:ascii="宋体" w:hAnsi="宋体" w:eastAsia="宋体" w:cs="宋体"/>
                <w:i w:val="0"/>
                <w:iCs w:val="0"/>
                <w:color w:val="000000"/>
                <w:kern w:val="0"/>
                <w:sz w:val="28"/>
                <w:szCs w:val="28"/>
                <w:u w:val="none"/>
                <w:lang w:val="en-US" w:eastAsia="zh-CN" w:bidi="ar"/>
              </w:rPr>
              <w:t>1700</w:t>
            </w:r>
          </w:p>
        </w:tc>
        <w:tc>
          <w:tcPr>
            <w:tcW w:w="934"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5C3D45E7">
            <w:pPr>
              <w:keepNext w:val="0"/>
              <w:keepLines w:val="0"/>
              <w:widowControl/>
              <w:suppressLineNumbers w:val="0"/>
              <w:jc w:val="center"/>
              <w:textAlignment w:val="center"/>
              <w:rPr>
                <w:rFonts w:hint="default" w:ascii="仿宋" w:hAnsi="仿宋" w:eastAsia="仿宋" w:cs="仿宋"/>
                <w:i w:val="0"/>
                <w:iCs w:val="0"/>
                <w:color w:val="FF0000"/>
                <w:kern w:val="0"/>
                <w:sz w:val="28"/>
                <w:szCs w:val="28"/>
                <w:u w:val="none"/>
                <w:lang w:val="en-US" w:eastAsia="zh-CN" w:bidi="ar"/>
              </w:rPr>
            </w:pPr>
            <w:r>
              <w:rPr>
                <w:rFonts w:hint="eastAsia" w:ascii="仿宋" w:hAnsi="仿宋" w:eastAsia="仿宋" w:cs="仿宋"/>
                <w:i w:val="0"/>
                <w:iCs w:val="0"/>
                <w:color w:val="FF0000"/>
                <w:kern w:val="0"/>
                <w:sz w:val="28"/>
                <w:szCs w:val="28"/>
                <w:u w:val="none"/>
                <w:lang w:val="en-US" w:eastAsia="zh-CN" w:bidi="ar"/>
              </w:rPr>
              <w:t>详见附件</w:t>
            </w:r>
          </w:p>
        </w:tc>
      </w:tr>
      <w:tr w14:paraId="5E800749">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F7EE4">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3DAC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胡桃木纹六门</w:t>
            </w:r>
            <w:r>
              <w:rPr>
                <w:rFonts w:hint="eastAsia" w:ascii="仿宋" w:hAnsi="仿宋" w:eastAsia="仿宋" w:cs="仿宋"/>
                <w:color w:val="auto"/>
                <w:sz w:val="28"/>
                <w:szCs w:val="28"/>
                <w:highlight w:val="none"/>
                <w:lang w:val="en-US"/>
              </w:rPr>
              <w:t>文件柜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97C6F">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9FDA8">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1756</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3A8A2D01">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14072263">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19699">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3</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374C7">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1.2m办公桌</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60438">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4C179">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480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6F132503">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6B67F52F">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C0137">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4</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001D0">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1.4m办公桌</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44B91F">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027C1">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550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64723B42">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5D85F45A">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2AD86C">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5</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3D1F6">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1.2m</w:t>
            </w:r>
            <w:r>
              <w:rPr>
                <w:rFonts w:hint="eastAsia" w:ascii="仿宋" w:hAnsi="仿宋" w:eastAsia="仿宋" w:cs="仿宋"/>
                <w:color w:val="auto"/>
                <w:sz w:val="28"/>
                <w:szCs w:val="28"/>
                <w:highlight w:val="none"/>
                <w:lang w:val="en-US"/>
              </w:rPr>
              <w:t>电脑桌</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4014D">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5C03E0">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480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01207464">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2EF3AF4B">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3BCC83">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6</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A5EDD">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1.4m</w:t>
            </w:r>
            <w:r>
              <w:rPr>
                <w:rFonts w:hint="eastAsia" w:ascii="仿宋" w:hAnsi="仿宋" w:eastAsia="仿宋" w:cs="仿宋"/>
                <w:color w:val="auto"/>
                <w:sz w:val="28"/>
                <w:szCs w:val="28"/>
                <w:highlight w:val="none"/>
                <w:lang w:val="en-US"/>
              </w:rPr>
              <w:t>电脑桌</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8051D">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1E5AB">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550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390B151B">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45593086">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7E061">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7</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E9F06">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茶水柜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4E15F">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CEE8D">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475</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566BE05A">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65355DF9">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122B1">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8</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8A809">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会议条桌</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C8465">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3242A">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380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0C89F3CB">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7DECFB3A">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93DA94">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9</w:t>
            </w:r>
          </w:p>
        </w:tc>
        <w:tc>
          <w:tcPr>
            <w:tcW w:w="206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BA73295">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四人位机场排椅</w:t>
            </w:r>
          </w:p>
        </w:tc>
        <w:tc>
          <w:tcPr>
            <w:tcW w:w="589"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FD2DA49">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8AD40E2">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1010</w:t>
            </w:r>
          </w:p>
        </w:tc>
        <w:tc>
          <w:tcPr>
            <w:tcW w:w="934" w:type="pct"/>
            <w:vMerge w:val="continue"/>
            <w:tcBorders>
              <w:left w:val="single" w:color="000000" w:sz="4" w:space="0"/>
              <w:right w:val="single" w:color="000000" w:sz="4" w:space="0"/>
            </w:tcBorders>
            <w:shd w:val="clear" w:color="auto" w:fill="FFFFFF"/>
            <w:noWrap w:val="0"/>
            <w:tcMar>
              <w:top w:w="15" w:type="dxa"/>
              <w:left w:w="15" w:type="dxa"/>
              <w:right w:w="15" w:type="dxa"/>
            </w:tcMar>
            <w:vAlign w:val="center"/>
          </w:tcPr>
          <w:p w14:paraId="2AAAB7BE">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212955C5">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09EA82">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10</w:t>
            </w:r>
          </w:p>
        </w:tc>
        <w:tc>
          <w:tcPr>
            <w:tcW w:w="206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B92F2D2">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三人位机场排椅</w:t>
            </w:r>
          </w:p>
        </w:tc>
        <w:tc>
          <w:tcPr>
            <w:tcW w:w="589"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716A1EB">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2CA6E2B">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940</w:t>
            </w:r>
          </w:p>
        </w:tc>
        <w:tc>
          <w:tcPr>
            <w:tcW w:w="934" w:type="pct"/>
            <w:vMerge w:val="continue"/>
            <w:tcBorders>
              <w:left w:val="single" w:color="000000" w:sz="4" w:space="0"/>
              <w:right w:val="single" w:color="000000" w:sz="4" w:space="0"/>
            </w:tcBorders>
            <w:shd w:val="clear" w:color="auto" w:fill="FFFFFF"/>
            <w:noWrap w:val="0"/>
            <w:tcMar>
              <w:top w:w="15" w:type="dxa"/>
              <w:left w:w="15" w:type="dxa"/>
              <w:right w:w="15" w:type="dxa"/>
            </w:tcMar>
            <w:vAlign w:val="center"/>
          </w:tcPr>
          <w:p w14:paraId="0F3E644E">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0D6F5516">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DC80D">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11</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0C83A">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三人位沙发</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33EDD">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6F26C">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2200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3BEB88C8">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26B5F882">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DD635">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12</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647F5C">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扁管椅</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29215D">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EB838">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370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513F50F2">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1EA0CDB8">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B84A9">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13</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6EED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班前椅</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1416B">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28EFE6">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370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25CA4C46">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66A36900">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7078F8">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14</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ECEC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实木办公椅</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73B76">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9CC187">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220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12A1EFAC">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20D4A7A1">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20537">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15</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DF2E6">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电脑椅</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28D0A">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BA689E">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500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49A05E3E">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144579F9">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6F251">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16</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70A4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板材</w:t>
            </w:r>
            <w:r>
              <w:rPr>
                <w:rFonts w:hint="eastAsia" w:ascii="仿宋" w:hAnsi="仿宋" w:eastAsia="仿宋" w:cs="仿宋"/>
                <w:color w:val="auto"/>
                <w:sz w:val="28"/>
                <w:szCs w:val="28"/>
                <w:highlight w:val="none"/>
                <w:lang w:val="en-US"/>
              </w:rPr>
              <w:t>文件柜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4F11D3">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78886">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800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14B7567D">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25A4F63F">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A6CC1">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17</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43B6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冷轧钢</w:t>
            </w:r>
            <w:r>
              <w:rPr>
                <w:rFonts w:hint="eastAsia" w:ascii="仿宋" w:hAnsi="仿宋" w:eastAsia="仿宋" w:cs="仿宋"/>
                <w:color w:val="auto"/>
                <w:sz w:val="28"/>
                <w:szCs w:val="28"/>
                <w:highlight w:val="none"/>
                <w:lang w:val="en-US"/>
              </w:rPr>
              <w:t>文件柜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933493">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7F728">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800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5D3FE914">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658870F3">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5C184">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18</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97E1D">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长</w:t>
            </w:r>
            <w:r>
              <w:rPr>
                <w:rFonts w:hint="eastAsia" w:ascii="仿宋" w:hAnsi="仿宋" w:eastAsia="仿宋" w:cs="仿宋"/>
                <w:color w:val="auto"/>
                <w:sz w:val="28"/>
                <w:szCs w:val="28"/>
                <w:highlight w:val="none"/>
                <w:lang w:val="en-US" w:eastAsia="zh-CN"/>
              </w:rPr>
              <w:t>茶几</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C1102">
            <w:pPr>
              <w:pStyle w:val="4"/>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4DE49B">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400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388D5306">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06AE6850">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C60C6">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19</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7EFF3">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方</w:t>
            </w:r>
            <w:r>
              <w:rPr>
                <w:rFonts w:hint="eastAsia" w:ascii="仿宋" w:hAnsi="仿宋" w:eastAsia="仿宋" w:cs="仿宋"/>
                <w:color w:val="auto"/>
                <w:sz w:val="28"/>
                <w:szCs w:val="28"/>
                <w:highlight w:val="none"/>
                <w:lang w:val="en-US" w:eastAsia="zh-CN"/>
              </w:rPr>
              <w:t>茶几</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E3D92">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3CE88">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300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495F53A1">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7F9F3887">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71D72">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20</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7844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钢制工位办公桌</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78F9C">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B1A6E">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900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11C2AA44">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7BAFF963">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4B4FC3">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21</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1D0C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冷轧钢</w:t>
            </w:r>
            <w:r>
              <w:rPr>
                <w:rFonts w:hint="eastAsia" w:ascii="仿宋" w:hAnsi="仿宋" w:eastAsia="仿宋" w:cs="仿宋"/>
                <w:color w:val="auto"/>
                <w:sz w:val="28"/>
                <w:szCs w:val="28"/>
                <w:highlight w:val="none"/>
                <w:lang w:val="en-US"/>
              </w:rPr>
              <w:t>4门储藏柜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AE6BA">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53471">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890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00B1C1B0">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79926ED5">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8806A">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22</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FC64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冷轧钢6</w:t>
            </w:r>
            <w:r>
              <w:rPr>
                <w:rFonts w:hint="eastAsia" w:ascii="仿宋" w:hAnsi="仿宋" w:eastAsia="仿宋" w:cs="仿宋"/>
                <w:color w:val="auto"/>
                <w:sz w:val="28"/>
                <w:szCs w:val="28"/>
                <w:highlight w:val="none"/>
                <w:lang w:val="en-US"/>
              </w:rPr>
              <w:t>门储藏柜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3766E">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3ECA7">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1100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3AFD21E4">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65F2F885">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69A5F">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23</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B91F3">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冷轧钢6格</w:t>
            </w:r>
            <w:r>
              <w:rPr>
                <w:rFonts w:hint="eastAsia" w:ascii="仿宋" w:hAnsi="仿宋" w:eastAsia="仿宋" w:cs="仿宋"/>
                <w:color w:val="auto"/>
                <w:sz w:val="28"/>
                <w:szCs w:val="28"/>
                <w:highlight w:val="none"/>
                <w:lang w:val="en-US"/>
              </w:rPr>
              <w:t>储物柜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531E4">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0738EF">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890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6D98AEE1">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4C8E3DB4">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392F8">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24</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6F0E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冷轧钢</w:t>
            </w:r>
            <w:r>
              <w:rPr>
                <w:rFonts w:hint="eastAsia" w:ascii="仿宋" w:hAnsi="仿宋" w:eastAsia="仿宋" w:cs="仿宋"/>
                <w:color w:val="auto"/>
                <w:sz w:val="28"/>
                <w:szCs w:val="28"/>
                <w:highlight w:val="none"/>
                <w:lang w:val="en-US"/>
              </w:rPr>
              <w:t>6门衣帽柜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B1094B">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DD8BD">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950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4CABEF67">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2E19679B">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042B1">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25</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216ABE">
            <w:pPr>
              <w:pStyle w:val="4"/>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板材4门更衣柜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A4093">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D75B55">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800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2EA9E5A8">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393A63C1">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4F60D">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26</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DA227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上下床</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041F36">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6C14C">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800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22BED55F">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12EBA873">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43D19">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27</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8FD9B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实木</w:t>
            </w:r>
            <w:r>
              <w:rPr>
                <w:rFonts w:hint="eastAsia" w:ascii="仿宋" w:hAnsi="仿宋" w:eastAsia="仿宋" w:cs="仿宋"/>
                <w:color w:val="auto"/>
                <w:sz w:val="28"/>
                <w:szCs w:val="28"/>
                <w:highlight w:val="none"/>
                <w:lang w:val="en-US"/>
              </w:rPr>
              <w:t>凳子</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6F781">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5FC238">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60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7D11BB84">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1D386E8A">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9ACD3">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28</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5E65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rPr>
              <w:t>穿衣镜</w:t>
            </w:r>
            <w:r>
              <w:rPr>
                <w:rFonts w:hint="eastAsia" w:ascii="仿宋" w:hAnsi="仿宋" w:eastAsia="仿宋" w:cs="仿宋"/>
                <w:color w:val="auto"/>
                <w:sz w:val="28"/>
                <w:szCs w:val="28"/>
                <w:highlight w:val="none"/>
                <w:lang w:val="en-US" w:eastAsia="zh-CN"/>
              </w:rPr>
              <w:t>片</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A6EF9">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994F0">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150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4CB4F50D">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2070C12D">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3957C">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29</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733A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镜片</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18499">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张</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59B6C">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65</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459A2792">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0BE8E826">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DAF57">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30</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D04EE">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四层</w:t>
            </w:r>
            <w:r>
              <w:rPr>
                <w:rFonts w:hint="eastAsia" w:ascii="仿宋" w:hAnsi="仿宋" w:eastAsia="仿宋" w:cs="仿宋"/>
                <w:color w:val="auto"/>
                <w:sz w:val="28"/>
                <w:szCs w:val="28"/>
                <w:highlight w:val="none"/>
                <w:lang w:val="en-US"/>
              </w:rPr>
              <w:t>冷轧钢</w:t>
            </w:r>
            <w:r>
              <w:rPr>
                <w:rFonts w:hint="eastAsia" w:ascii="仿宋" w:hAnsi="仿宋" w:eastAsia="仿宋" w:cs="仿宋"/>
                <w:color w:val="auto"/>
                <w:sz w:val="28"/>
                <w:szCs w:val="28"/>
                <w:highlight w:val="none"/>
                <w:lang w:val="en-US" w:eastAsia="zh-CN"/>
              </w:rPr>
              <w:t>货架</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BFFD2">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BB2346">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1200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4E2EC534">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1460FABF">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6AD6A">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31</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2AEA5">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女12门鞋柜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7C1655">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3D7CC">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1300</w:t>
            </w:r>
          </w:p>
        </w:tc>
        <w:tc>
          <w:tcPr>
            <w:tcW w:w="934" w:type="pct"/>
            <w:vMerge w:val="continue"/>
            <w:tcBorders>
              <w:left w:val="single" w:color="000000" w:sz="4" w:space="0"/>
              <w:right w:val="single" w:color="000000" w:sz="4" w:space="0"/>
            </w:tcBorders>
            <w:noWrap w:val="0"/>
            <w:tcMar>
              <w:top w:w="15" w:type="dxa"/>
              <w:left w:w="15" w:type="dxa"/>
              <w:right w:w="15" w:type="dxa"/>
            </w:tcMar>
            <w:vAlign w:val="center"/>
          </w:tcPr>
          <w:p w14:paraId="5ABC62CD">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r w14:paraId="6551AAF7">
        <w:tblPrEx>
          <w:tblCellMar>
            <w:top w:w="0" w:type="dxa"/>
            <w:left w:w="0" w:type="dxa"/>
            <w:bottom w:w="0" w:type="dxa"/>
            <w:right w:w="0" w:type="dxa"/>
          </w:tblCellMar>
        </w:tblPrEx>
        <w:trPr>
          <w:trHeight w:val="380" w:hRule="atLeast"/>
          <w:jc w:val="center"/>
        </w:trPr>
        <w:tc>
          <w:tcPr>
            <w:tcW w:w="47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8B391">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32</w:t>
            </w:r>
          </w:p>
        </w:tc>
        <w:tc>
          <w:tcPr>
            <w:tcW w:w="20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00C61D">
            <w:pPr>
              <w:widowControl/>
              <w:spacing w:line="360" w:lineRule="auto"/>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男15门鞋柜</w:t>
            </w:r>
          </w:p>
        </w:tc>
        <w:tc>
          <w:tcPr>
            <w:tcW w:w="58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9A3EC">
            <w:pPr>
              <w:widowControl/>
              <w:spacing w:line="360" w:lineRule="auto"/>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w:t>
            </w:r>
          </w:p>
        </w:tc>
        <w:tc>
          <w:tcPr>
            <w:tcW w:w="18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F2A0A">
            <w:pPr>
              <w:keepNext w:val="0"/>
              <w:keepLines w:val="0"/>
              <w:widowControl/>
              <w:suppressLineNumbers w:val="0"/>
              <w:jc w:val="center"/>
              <w:textAlignment w:val="center"/>
              <w:rPr>
                <w:rFonts w:hint="eastAsia" w:ascii="仿宋" w:hAnsi="仿宋" w:eastAsia="仿宋" w:cs="仿宋"/>
                <w:color w:val="auto"/>
                <w:sz w:val="28"/>
                <w:szCs w:val="28"/>
                <w:highlight w:val="none"/>
              </w:rPr>
            </w:pPr>
            <w:r>
              <w:rPr>
                <w:rFonts w:hint="eastAsia" w:ascii="宋体" w:hAnsi="宋体" w:eastAsia="宋体" w:cs="宋体"/>
                <w:i w:val="0"/>
                <w:iCs w:val="0"/>
                <w:color w:val="000000"/>
                <w:kern w:val="0"/>
                <w:sz w:val="28"/>
                <w:szCs w:val="28"/>
                <w:u w:val="none"/>
                <w:lang w:val="en-US" w:eastAsia="zh-CN" w:bidi="ar"/>
              </w:rPr>
              <w:t>1350</w:t>
            </w:r>
          </w:p>
        </w:tc>
        <w:tc>
          <w:tcPr>
            <w:tcW w:w="934"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BFE788F">
            <w:pPr>
              <w:keepNext w:val="0"/>
              <w:keepLines w:val="0"/>
              <w:widowControl/>
              <w:suppressLineNumbers w:val="0"/>
              <w:jc w:val="center"/>
              <w:textAlignment w:val="center"/>
              <w:rPr>
                <w:rFonts w:hint="eastAsia" w:ascii="仿宋" w:hAnsi="仿宋" w:eastAsia="仿宋" w:cs="仿宋"/>
                <w:i w:val="0"/>
                <w:iCs w:val="0"/>
                <w:color w:val="FF0000"/>
                <w:kern w:val="0"/>
                <w:sz w:val="28"/>
                <w:szCs w:val="28"/>
                <w:u w:val="none"/>
                <w:lang w:val="en-US" w:eastAsia="zh-CN" w:bidi="ar"/>
              </w:rPr>
            </w:pPr>
          </w:p>
        </w:tc>
      </w:tr>
    </w:tbl>
    <w:p w14:paraId="7E59303F">
      <w:pPr>
        <w:pStyle w:val="13"/>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jc w:val="both"/>
        <w:textAlignment w:val="auto"/>
        <w:rPr>
          <w:rFonts w:hint="default" w:ascii="仿宋" w:hAnsi="仿宋" w:eastAsia="仿宋" w:cs="仿宋"/>
          <w:color w:val="FF0000"/>
          <w:sz w:val="28"/>
          <w:szCs w:val="28"/>
          <w:highlight w:val="none"/>
          <w:lang w:val="en-US" w:eastAsia="zh-CN"/>
        </w:rPr>
      </w:pPr>
      <w:r>
        <w:rPr>
          <w:rFonts w:hint="eastAsia" w:ascii="仿宋" w:hAnsi="仿宋" w:eastAsia="仿宋" w:cs="仿宋"/>
          <w:color w:val="FF0000"/>
          <w:sz w:val="28"/>
          <w:szCs w:val="28"/>
          <w:highlight w:val="none"/>
          <w:lang w:val="en-US" w:eastAsia="zh-CN"/>
        </w:rPr>
        <w:t>1、货物外观颜色采购人可选择，每种货物整体外形长宽高各项尺寸，其长宽高单项尺寸误差不能超过±5毫米。货物有厚度，硬度，耐磨度等技术参数要求的，供应商提供的货物可等于或优于采购人要求的技术参数。</w:t>
      </w:r>
    </w:p>
    <w:p w14:paraId="26FDF266">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2、供应商成交后，成交供应商根据采购人的需求的数量进行供货。</w:t>
      </w:r>
    </w:p>
    <w:p w14:paraId="74BA2277">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3、合同履行期内，以采购人实际需要的各项货物购置数量分别乘以各项货物成交单价为准。最终采购人货物采购总金额不超过本项目成交总金额。</w:t>
      </w:r>
    </w:p>
    <w:p w14:paraId="207424CF">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b/>
          <w:bCs/>
          <w:color w:val="auto"/>
          <w:sz w:val="28"/>
          <w:szCs w:val="28"/>
          <w:lang w:val="en-US" w:eastAsia="zh-CN"/>
        </w:rPr>
        <w:t>四、</w:t>
      </w:r>
      <w:r>
        <w:rPr>
          <w:rFonts w:hint="eastAsia" w:ascii="仿宋" w:hAnsi="仿宋" w:eastAsia="仿宋" w:cs="仿宋"/>
          <w:b/>
          <w:bCs/>
          <w:color w:val="auto"/>
          <w:sz w:val="28"/>
          <w:szCs w:val="28"/>
        </w:rPr>
        <w:t>报价方式</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w:t>
      </w:r>
      <w:r>
        <w:rPr>
          <w:rFonts w:hint="eastAsia" w:ascii="仿宋" w:hAnsi="仿宋" w:eastAsia="仿宋" w:cs="仿宋"/>
          <w:color w:val="auto"/>
          <w:sz w:val="28"/>
          <w:szCs w:val="28"/>
          <w:lang w:val="en-US" w:eastAsia="zh-CN"/>
        </w:rPr>
        <w:t>响应）</w:t>
      </w:r>
    </w:p>
    <w:p w14:paraId="193FFB40">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本项目总预算不变，供应商以本项目货物的单价最高限价的统一折扣率报价，供应商报价只报一个唯一折扣率，本项目所有货物采购价格均按此折扣率执行，项目合同履行期内折扣率不准变动。供应商本次报价，折扣率必须小于或等于100%，否则视为无效报价。（注：折扣率必须是一个固定整数值，如92%。折扣率不得含小数点，如92.5%，折扣率不得为区间值，如以“92.5%～94%”进行报价，否则将视为无效报价）。</w:t>
      </w:r>
    </w:p>
    <w:p w14:paraId="1F1FF89A">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例：采购人当月需要的货物包括，一号货物最高限价为X元/件，二号货物最高限价为X元/件，货物采购数量以当月实际需要数量为准。</w:t>
      </w:r>
    </w:p>
    <w:p w14:paraId="3AF85398">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若成交供应商报价折扣率为95%，则成交供应商当月结算金额为=一号货物为X元/件（单价最高限价）×95%（成交供应商报价折扣率）×当月采购人实际需要数量+二号货物为X元/件（单价最高限价）×95%（成交供应商报价折扣率）×当月采购人实际需要数量+… N货物品名单价最高限价×95%×当月采购人实际需要数量。</w:t>
      </w:r>
    </w:p>
    <w:p w14:paraId="1FAD91E7">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所报的价格（本项目为单价最高限价的折扣率）应是完成本项目的全部内容的价格体现。应包括供应商为完成本项目的全部内容须支付或发生的一切所需费用（包括货物、货物损耗、仓储、包装、运输、配送、搬运、人工服务、税费、售后及其他各类费用等）和拟获得的利润。供应商报价应充分考虑合同履行期内各种费用、市场风险、价格波动、承担义务和付款条件等。</w:t>
      </w:r>
    </w:p>
    <w:p w14:paraId="3EDC942F">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3、货物单价最高限价乘以供应商报价折扣率后的四舍五入保留小数点后1位的价格为各项货物实际供货价。</w:t>
      </w:r>
    </w:p>
    <w:p w14:paraId="570AD6CF">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4、本项目货物购置数量采购人当前无法确定，为预计采购数量，供应商成交后，根据采购人的需求进行供货，最终货物采购数量以合同履行期内采购人实际需求为准。</w:t>
      </w:r>
    </w:p>
    <w:p w14:paraId="39ED9F38">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结算时以采购人实际需要的各项货物购置数量分别乘以各项货物成交单价为准。合同履行期内，最终采购人货物采购总金额不超过本项目总预算金额。</w:t>
      </w:r>
    </w:p>
    <w:p w14:paraId="0CED6692">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五、货物质量及技术要求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2EB728CD">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提供的货物应符合国家最新标准，若本采购文件中的质量技术要求无明确说明或质量要求不明确的，按照强制性国家标准履行；没有强制性国家标准的，按照推荐性国家标准履行；没有推荐性国家标准的，按照行业标准履行；没有国家标准、行业标准的，按照通常标准或者符合合同目的的特定标准履行，包括货物的售后和质保期时间。</w:t>
      </w:r>
    </w:p>
    <w:p w14:paraId="74C17DE1">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所提供的货物须是全新、未拆封、未使用过的原厂原包装合格正品，并完全符合国家有关质量标准、技术标准、安全认证和询比价文件要求，货物应无明显划伤、无碰撞痕迹、无损坏。货物的包装在装卸、运输和仓储过程中能够对货物提供足够保护，防止货物受潮、腐蚀、被冲击以及其他不可预见的损坏。</w:t>
      </w:r>
      <w:bookmarkStart w:id="0" w:name="2.5 配送要求："/>
      <w:bookmarkEnd w:id="0"/>
      <w:r>
        <w:rPr>
          <w:rFonts w:hint="eastAsia" w:ascii="仿宋" w:hAnsi="仿宋" w:eastAsia="仿宋" w:cs="仿宋"/>
          <w:color w:val="auto"/>
          <w:sz w:val="28"/>
          <w:szCs w:val="28"/>
          <w:lang w:val="en-US" w:eastAsia="zh-CN"/>
        </w:rPr>
        <w:t>货物包装应干净、结实、无破损、封口严密、方便储存、运输和使用。每件包装上须注明品名、规格、生产厂家、生产日期、质量合格标志等。</w:t>
      </w:r>
    </w:p>
    <w:p w14:paraId="67850613">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检验报告：为保证产品质量及防止虚假响应采购要求，供应商须提供承诺函，如中标，在成交结果公示后，签订合同前及合同履约过程中由成交供应商向采购人提供自2025年以来第三方检测机构出具的本项目办公家具主要技术要求的主要原材料、配件抽样检验报告原件扫描件（包含中密度纤维板、木皮、胶水、水性油漆、导轨、三合一连接件、锁、铰链、三聚氰胺板、不锈钢板、牛皮、海绵、网布、冷轧钢板、塑粉）</w:t>
      </w:r>
    </w:p>
    <w:p w14:paraId="0FF152B9">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供应商所提供的货物应符合合同约定的品牌（如有）、规格型号、主要技术参数、质量等要求。供应商所提供的货物质量技术参数应等于或优于本合同对货物质量、规格、性能的技术参数要求，不得出现负偏离。本合同履行期间，若因厂家停产等不可抗力导致货物型号、参数变更，供应商继续供货的货物质量、性能必须等于或优于原供货货物。供应商提供的办公家具不应出现虫洞、表面破损、表面气泡、表面颗粒、表面凹凸不平、封边脱落、坑洞、凹陷、开裂、形变、配件脱落、锈蚀、色牢度不足、耐磨度不足等质量问题，必须符合国家有关安全、环保、卫生的规定。货物外观必须整洁，符合该货物固有性状，不得有异常气味与异物及其他缺陷，货物正常使用及操作不得对人体产生不良刺激与过敏反应及其他损害作用。</w:t>
      </w:r>
    </w:p>
    <w:p w14:paraId="16896F0A">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rPr>
      </w:pPr>
      <w:r>
        <w:rPr>
          <w:rFonts w:hint="eastAsia" w:ascii="仿宋" w:hAnsi="仿宋" w:eastAsia="仿宋" w:cs="仿宋"/>
          <w:b/>
          <w:bCs w:val="0"/>
          <w:color w:val="auto"/>
          <w:sz w:val="28"/>
          <w:szCs w:val="28"/>
          <w:highlight w:val="none"/>
          <w:lang w:val="en-US" w:eastAsia="zh-CN"/>
        </w:rPr>
        <w:t>六、项目服务要求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5275CED8">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bCs w:val="0"/>
          <w:color w:val="auto"/>
          <w:sz w:val="28"/>
          <w:szCs w:val="28"/>
          <w:highlight w:val="none"/>
          <w:lang w:val="en-US" w:eastAsia="zh-CN"/>
        </w:rPr>
      </w:pPr>
    </w:p>
    <w:p w14:paraId="14CEF029">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本项目包含办公家具的货物采购和其他服务，供应商应将合格货物按时安装到采购人院区内指定地点，同时根据采购人需要提供以下服务：</w:t>
      </w:r>
    </w:p>
    <w:p w14:paraId="7A6374AF">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根据采购人实际需求及时送货并提供服务，采购人每次要求供货时应明确告知供应商送货时间、货物品名、货物数量、型号规格、配送地点等。供应商须严格按照采购人通知，将指定货物在规定时限内配送至指定地点，并完成安装调试、培训、资料交接等任务。</w:t>
      </w:r>
    </w:p>
    <w:p w14:paraId="54987111">
      <w:pPr>
        <w:pStyle w:val="21"/>
        <w:spacing w:line="560" w:lineRule="exact"/>
        <w:ind w:firstLine="560"/>
        <w:rPr>
          <w:rFonts w:hint="eastAsia" w:ascii="仿宋" w:hAnsi="仿宋" w:eastAsia="仿宋" w:cs="仿宋"/>
          <w:b w:val="0"/>
          <w:bCs/>
          <w:color w:val="auto"/>
          <w:sz w:val="28"/>
          <w:szCs w:val="28"/>
          <w:highlight w:val="yellow"/>
          <w:lang w:val="en-US" w:eastAsia="zh-CN"/>
        </w:rPr>
      </w:pPr>
      <w:r>
        <w:rPr>
          <w:rFonts w:hint="eastAsia" w:ascii="仿宋" w:hAnsi="仿宋" w:eastAsia="仿宋" w:cs="仿宋"/>
          <w:color w:val="auto"/>
          <w:sz w:val="28"/>
          <w:szCs w:val="28"/>
          <w:lang w:val="en-US" w:eastAsia="zh-CN"/>
        </w:rPr>
        <w:t>2、每批次货物送达指定地点之后每个货物的现场安装调试完毕所需时间不超过60分钟。货物现场安装调试要做好防噪声、防尘措施，不得引发他人投诉，不得影响采购人正常运营。</w:t>
      </w:r>
      <w:r>
        <w:rPr>
          <w:rFonts w:hint="eastAsia" w:ascii="仿宋" w:hAnsi="仿宋" w:eastAsia="仿宋" w:cs="仿宋"/>
          <w:b w:val="0"/>
          <w:bCs/>
          <w:color w:val="auto"/>
          <w:sz w:val="28"/>
          <w:szCs w:val="28"/>
          <w:highlight w:val="yellow"/>
          <w:lang w:val="en-US" w:eastAsia="zh-CN"/>
        </w:rPr>
        <w:t>办公桌、电脑桌、实木办公椅、电脑椅、镜片、冷轧钢文件柜接采购人通知后最迟48小时内将其配送上楼到采购人院内指定地点与采购人进行交接；其余货物接采购人通知后7日内将货物配送上楼到采购人院内指定地点与采购人进行交接。</w:t>
      </w:r>
    </w:p>
    <w:p w14:paraId="6398DFC0">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3、完成对采购人货物使用人员的简单培训，令其能掌握货物的正确操作和使用方法，将货物钥匙、配件妥善交接给使用人。</w:t>
      </w:r>
    </w:p>
    <w:p w14:paraId="345BD674">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成交供应商每次完成货物安装现场货物交接后，需协助采购人完成货物的资产管理标签填写，填写内容包括供应商名、品名、规格、安装日期、保修截止日期、所属科室、使用人员姓名，并将资产管理标签内容和货物说明书，合格证，保修卡移交至采购人职能科室。</w:t>
      </w:r>
    </w:p>
    <w:p w14:paraId="5DF30F65">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5、每月以电子文档形式将当月所有配送货物的时间、品名、规格、数量、单价、金额、所属科室等数据发送至采购人相关工作人员存档。</w:t>
      </w:r>
    </w:p>
    <w:p w14:paraId="562BBD07">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供应商应将货物送到采购人指定的院内任意地点接受采购人验货。供应商应每次随货附销售单据。销售单据所记录的数据应与实际供货的品名、规格型号、数量、单价、金额等一致。货物验收时双方填写验收记录单据，验收记录单据应当由采购人签字认可。</w:t>
      </w:r>
    </w:p>
    <w:p w14:paraId="6AA92DFA">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7、供应商负责货物的运输、搬运、装卸、堆叠码放工作及费用。供应商保证所提供的货物在运输、搬运、装卸、堆叠码放和仓储过程中有足够的包装保护，防止货物受潮、变质、受到冲撞以及其他不可预见的损坏。供应商提供货物在上述运送过程中造成货物泄露、损坏、灭失等，造成的一切经济损失由供应商自行承担。</w:t>
      </w:r>
    </w:p>
    <w:p w14:paraId="4A42D48F">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8、质保期内，采购人采购的本项目家具需要搬迁需要拆除的，供应商提供妥善的搬迁拆除服务，对采购人需要搬迁办公室的货物，妥善拆除的货物要保证完整性，做好防损保护，将其搬迁至新地点后，完成货物的二次安装。</w:t>
      </w:r>
    </w:p>
    <w:p w14:paraId="724D5908">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9、供应商应配备业务接洽人员，接洽人员应随时响应采购人的货物采购需求，负责联络、安排、协调货物配送、售后、对账等全流程服务。（全流程服务是指接洽人员负责联络、安排、协调货物配送至采购人指定地点期间发生的所有工作，不得将部分环节工作转嫁给采购人的职能人员，占用采购人职能人员时间。）同时还提供至少2名专门负责货物安装、调试、培训、维保、售后等服务的技术人员。供应商不得随意变更接洽人员、技术人员。</w:t>
      </w:r>
    </w:p>
    <w:p w14:paraId="2060815E">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10、供应商提供服务时，应到采购人指定的院内地点和采购人指定人员对接，按采购人工作人员诉求按时提供服务，态度良好，不得与采购人工作人员发生争执。供应商对现场不能提供的服务，要做好解释工作，并告知具体服务时间。每次服务完毕，供应商应提供服务内容清单由采购人工作人员签字确认，并向采购人派工人员反馈服务结果。</w:t>
      </w:r>
    </w:p>
    <w:p w14:paraId="0C50930E">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11、供应商需在指定的区域内进行作业，供应商做好各项安全保障工作和预案，做好员工安全教育工作，确保员工安全及职业健康，严格执行国家相关法律法规、安全规章制度，采取有效的安全措施。</w:t>
      </w:r>
    </w:p>
    <w:p w14:paraId="3A440E5C">
      <w:pPr>
        <w:pStyle w:val="21"/>
        <w:spacing w:line="560" w:lineRule="exact"/>
        <w:ind w:firstLine="560"/>
        <w:rPr>
          <w:rFonts w:hint="eastAsia" w:ascii="仿宋" w:hAnsi="仿宋" w:eastAsia="仿宋" w:cs="仿宋"/>
          <w:b/>
          <w:bCs w:val="0"/>
          <w:color w:val="auto"/>
          <w:sz w:val="28"/>
          <w:szCs w:val="28"/>
          <w:highlight w:val="none"/>
          <w:lang w:val="en-US" w:eastAsia="zh-CN"/>
        </w:rPr>
      </w:pPr>
      <w:r>
        <w:rPr>
          <w:rFonts w:hint="eastAsia" w:ascii="仿宋" w:hAnsi="仿宋" w:eastAsia="仿宋" w:cs="仿宋"/>
          <w:color w:val="auto"/>
          <w:sz w:val="28"/>
          <w:szCs w:val="28"/>
          <w:lang w:val="en-US" w:eastAsia="zh-CN"/>
        </w:rPr>
        <w:t>合同履行过程中由供应商及员工原因造成的一切安全事故、人身伤亡、经济损失均由供应商自行负责承担，其责任与采购人无关。合同履行过程中由供应商及供应商员工原因造成的一切安全事故、人身伤亡、经济损失均由供应商自行负责承担，其责任与采购人无关。如因供应商及供应商人员在项目实施过程中的疏忽、失职、过错等故意或者过失原因或货物质量问题给采购人造成损失或侵害，包括但不限于采购人本身的财产损失或人身伤害、由此而导致的采购人对任何第三方的法律责任等，供应商对此均应承担全部的赔偿责任和法律责任。</w:t>
      </w:r>
    </w:p>
    <w:p w14:paraId="0BA3EAB1">
      <w:pPr>
        <w:keepNext w:val="0"/>
        <w:keepLines w:val="0"/>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textAlignment w:val="auto"/>
        <w:outlineLvl w:val="1"/>
        <w:rPr>
          <w:rFonts w:hint="eastAsia" w:ascii="仿宋" w:hAnsi="仿宋" w:eastAsia="仿宋" w:cs="仿宋"/>
          <w:b/>
          <w:bCs/>
          <w:color w:val="auto"/>
          <w:sz w:val="28"/>
          <w:szCs w:val="28"/>
          <w:lang w:val="en-US" w:eastAsia="zh-CN"/>
        </w:rPr>
      </w:pPr>
      <w:r>
        <w:rPr>
          <w:rFonts w:hint="eastAsia" w:ascii="仿宋" w:hAnsi="仿宋" w:eastAsia="仿宋" w:cs="仿宋"/>
          <w:b/>
          <w:sz w:val="28"/>
          <w:szCs w:val="28"/>
          <w:lang w:val="en-US" w:eastAsia="zh-CN"/>
        </w:rPr>
        <w:t>七</w:t>
      </w:r>
      <w:r>
        <w:rPr>
          <w:rFonts w:hint="eastAsia" w:ascii="仿宋" w:hAnsi="仿宋" w:eastAsia="仿宋" w:cs="仿宋"/>
          <w:b/>
          <w:sz w:val="28"/>
          <w:szCs w:val="28"/>
        </w:rPr>
        <w:t>、商务要求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此节内容供应商在商务</w:t>
      </w:r>
      <w:r>
        <w:rPr>
          <w:rFonts w:hint="eastAsia" w:ascii="仿宋" w:hAnsi="仿宋" w:eastAsia="仿宋" w:cs="仿宋"/>
          <w:b/>
          <w:bCs/>
          <w:color w:val="auto"/>
          <w:sz w:val="28"/>
          <w:szCs w:val="28"/>
          <w:lang w:eastAsia="zh-CN"/>
        </w:rPr>
        <w:t>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43BDDAC0">
      <w:pPr>
        <w:pStyle w:val="21"/>
        <w:spacing w:line="560" w:lineRule="exact"/>
        <w:ind w:firstLine="56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（一）合同的履行期限：本项目预算金额28万元用完截止。</w:t>
      </w:r>
    </w:p>
    <w:p w14:paraId="32966E54">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（二）项目履行地点：大竹县人民医院院内指定地点。</w:t>
      </w:r>
    </w:p>
    <w:p w14:paraId="1CB4B5AB">
      <w:pPr>
        <w:pStyle w:val="21"/>
        <w:spacing w:line="560" w:lineRule="exact"/>
        <w:ind w:firstLine="56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（三）项目付款方式及验收方式</w:t>
      </w:r>
    </w:p>
    <w:p w14:paraId="41B75EA6">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1、合同履行期间，本项目采购总金额在达到项目成交总金额前，采购人和成交供应商每月核算一次成交供应商所供货物采购数量和金额。</w:t>
      </w:r>
    </w:p>
    <w:p w14:paraId="2F78349F">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每月28号前，成交供应商应完成与采购人当月货款的核算工作。成交供应商提供合同履约期间货物会计数据统计的电子文档给采购人存档。</w:t>
      </w:r>
    </w:p>
    <w:p w14:paraId="7B96980A">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采购人采用银行转账方式付款，采购人付款前，成交供应商必须提供采购人核对签字的各项单据并整理清晰，成交供应商必须出具详细、清楚的销货清单和国家认可的足额有效发票，否则采购人有权拒绝付款。</w:t>
      </w:r>
    </w:p>
    <w:p w14:paraId="4904FFA9">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3、每月采购人在收到成交供应商前款所述有效票据后，60日内转账支付成交供应商该批次货款。</w:t>
      </w:r>
    </w:p>
    <w:p w14:paraId="2951C4ED">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（四）验收要求</w:t>
      </w:r>
    </w:p>
    <w:p w14:paraId="738F36C6">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项目整体验收方式。由采购人组织、供应商配合，参照《财政部关于进一步加强政府采购需求和履约验收管理的指导意见》（财库〔2016〕205号）的要求，根据国家有关规定以及本合同的质量要求和技术指标、供应商的响应文件及承诺，按合同约定标准进行验收，若货物存在质量问题，采购人有权拒绝支付费用。</w:t>
      </w:r>
    </w:p>
    <w:p w14:paraId="397AC80D">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收货验收：供应商应将货物配送到采购人指定的院内任意地点接受采购人验收，并将该批货物的产品检验报告资料和合格证等资料，移交至采购人职能科室工作人员，并提供每批货物的质保生效期和截止日期资料。采购人有权要求供应商提供每批次货物的产品检验合格报告和相关证明材料，并核实材料真实性，如供应商无正当理由不予配合或证实实际货物与合同约定的要求不符，视为供应商违约，采购人有权拒收货物并要求供应商承担违约责任。</w:t>
      </w:r>
    </w:p>
    <w:p w14:paraId="1752F10E">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（五）售后服务要求</w:t>
      </w:r>
    </w:p>
    <w:p w14:paraId="6E04D36D">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成交供应商所提供的货物的质保期不低于两年，（国家标准或行业标准规定的质保期限优于合同约定质保期限的，从其规定），质保期从每批货物交付采购人验收合格之日起计算，质保期内如果货物出现非人为的质量问题，供应商将免费提供维修、更换或退货等服务，其产生的一切费用（含货物、人工、运输费等）由供应商承担，若货物更换必须是等于或优于本合同要求的。</w:t>
      </w:r>
    </w:p>
    <w:p w14:paraId="655E19FA">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货物自采购人验收之日起7日内，发生质量问题，采购人可以选择退货、换货或修理；货物自采购人验收之日起30日内，发生质量问题，采购人可以选择换货或修理；货物自采购人验收之日超出30日的，由供应商负责质保期内的维修工作，在质保期内，超出货物退货或换货时限，但同一货物、同一质量问题经供应商两次售后维修处置货物的质量或规格仍然与合同不符，或证实货物有缺陷的，包括潜在的缺陷或使用不符合要求的材料等，供应商须更换可正常使用的新货物。</w:t>
      </w:r>
    </w:p>
    <w:p w14:paraId="2F82F9F8">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供应商提供因货物质量问题产生的上门货物退换服务。货物出现质量问题，由供应商派人到采购人指定的院内地点和采购人指定人员对接，按采购人工作人员诉求按时提供解释和货物退换服务。</w:t>
      </w:r>
    </w:p>
    <w:p w14:paraId="05CE99BF">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在质保期内所发现的缺陷，采购人应尽快通知供应商，供应商应在采购人通知后24小时内到采购人院内指定地点提供服务或解决故障问题，免费更换有缺陷的货物或维修更换有缺陷的货物部件，使货物符合合同约定。</w:t>
      </w:r>
    </w:p>
    <w:p w14:paraId="64D71461">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采购人通知后24小时内供应商不能更换或维修的由供应商提供备选方案。采购人通知后72小时内供应商怠于或不履行或瑕疵履行售后义务，或未能弥补货物缺陷的，采购人将采取必要的补救措施（采购人自行更换或委托第三方替代供应商更换），其产生的因处理货物问题的所有费用及风险由供应商承担，采购人根据合同约定对供应商行使的其他权利不受影响，同时视为供应商违约，采购人要求供应商承担违约责任。</w:t>
      </w:r>
    </w:p>
    <w:p w14:paraId="3023774B">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（六）违约责任</w:t>
      </w:r>
    </w:p>
    <w:p w14:paraId="007A690C">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1、当事人一方不履行合同义务或者履行合同义务不符合约定的，应当承担继续履行、采取补救措施或者赔偿损失等违约责任。</w:t>
      </w:r>
    </w:p>
    <w:p w14:paraId="1C59A0F5">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双方签订的合同实施过程中，当事人一方不能实现合同目的的，人民法院可以根据当事人的请求终止合同权利义务关系，但是不影响违约责任的承担。</w:t>
      </w:r>
    </w:p>
    <w:p w14:paraId="3AF5138C">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2、当事人一方不履行合同义务或者履行合同义务不符合约定的，在履行义务或者采取补救措施后，对方还有其他损失的，应当赔偿损失。</w:t>
      </w:r>
    </w:p>
    <w:p w14:paraId="7A73791A">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3、采购人迟延支付的违约责任</w:t>
      </w:r>
    </w:p>
    <w:p w14:paraId="1D629382">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采购人未按合同约定付款期限迟延支付供应商合同款项的，采购人应当按未支付合同款项金额的万分之三每日，向供应商支付违约金。采购人延迟支付60日的，供应商有权解除合同，追究采购人违约责任。</w:t>
      </w:r>
    </w:p>
    <w:p w14:paraId="4D74B3A5">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供应商必须严格按照国家相关法律法规和本合同要求及供应商提交的响应文件约定履行合同，按时全面履行本合同的各项义务，供应商不履行本合同义务或瑕疵履行本合同义务或延迟履行本合同义务或履行合同义务不符合合同约定的，则供应商违约。</w:t>
      </w:r>
    </w:p>
    <w:p w14:paraId="476CA025">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中华人民共和国民法典》合同编的法律规定，采购人有权解除合同，并要求供应商承担相应违约责任，支付相应金额的违约金。采购人有权直接从供应商的合同货款中扣除违约金，供应商因违约行为偿付的违约金不足以弥补采购人损失的，还应按采购人损失尚未弥补的部分，支付赔偿金全额赔偿采购人损失。</w:t>
      </w:r>
    </w:p>
    <w:p w14:paraId="37BDE389">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有下列情形之一的行为视为供应商违约，采购人有权按照以下条款要求供应商承担违约金及违约责任：</w:t>
      </w:r>
    </w:p>
    <w:p w14:paraId="2CCA7DB2">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4.1合同履行期限内，供应商明确表示或者以自己的行为表明不履行本合同的主要义务，则供应商违约，供应商应向采购人缴纳合同总价款20%的违约金，同时采购人有权解除合同。</w:t>
      </w:r>
    </w:p>
    <w:p w14:paraId="20B40782">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4.2供应商提供的货物或服务根本违约（例如提供假冒伪劣产品或以次充好），致使合同的目的不能实现的，供应商应向采购人缴纳合同总价款20%的违约金，同时采购人有权解除合同。</w:t>
      </w:r>
    </w:p>
    <w:p w14:paraId="464F344B">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4.3供应商延迟履约，供应商应按照本合同规定的时间、地点交货和提供相关服务未按合同约定达成的，供应商每有一次违约行为，采购人将扣除供应商当月结算货款200元，供应商经采购人书面通知后应继续按合同约定履行合同，供应商接到采购人通知后5日内仍未交付的，视为供应商再次延迟履约，以此类推。若供应商一年内5次延迟履约，则供应商应向采购人缴纳合同总价款5%的违约金，同时采购人有权解除合同。 </w:t>
      </w:r>
    </w:p>
    <w:p w14:paraId="6451C116">
      <w:pPr>
        <w:pStyle w:val="21"/>
        <w:spacing w:line="560" w:lineRule="exact"/>
        <w:ind w:firstLine="56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4.4供应商所提供的货物不符合合同约定的质量标准或存在产品质量缺陷、服务瑕疵违约，与本合同要求不符的，供应商应承担及时修理、重作、更换、退货、减少价款或者报酬等违约责任，并承担由此给采购人造成的损失。同时供应商每有一次违约行为，采购人将扣除供应商当月结算货款200元，供应商出现5次本款所列违约行为，供应商应向采购人支付合同总价款5%的违约金，同时采购人有权解除合同。经采购人同意后，供应商更正瑕疵违约行为后，可以继续按合同约定履行合同。</w:t>
      </w:r>
    </w:p>
    <w:p w14:paraId="4A73766D">
      <w:pPr>
        <w:pStyle w:val="21"/>
        <w:spacing w:line="560" w:lineRule="exact"/>
        <w:ind w:firstLine="560"/>
        <w:rPr>
          <w:rFonts w:hint="eastAsia" w:ascii="仿宋" w:hAnsi="仿宋" w:eastAsia="仿宋" w:cs="仿宋"/>
          <w:color w:val="auto"/>
          <w:sz w:val="28"/>
          <w:szCs w:val="28"/>
          <w:lang w:val="en-US" w:eastAsia="zh-CN"/>
        </w:rPr>
      </w:pPr>
    </w:p>
    <w:p w14:paraId="01C0C65E">
      <w:pPr>
        <w:pStyle w:val="21"/>
        <w:keepNext w:val="0"/>
        <w:keepLines w:val="0"/>
        <w:pageBreakBefore w:val="0"/>
        <w:widowControl w:val="0"/>
        <w:kinsoku/>
        <w:wordWrap/>
        <w:overflowPunct/>
        <w:topLinePunct w:val="0"/>
        <w:autoSpaceDE/>
        <w:autoSpaceDN/>
        <w:bidi w:val="0"/>
        <w:adjustRightInd/>
        <w:snapToGrid/>
        <w:spacing w:after="287" w:afterLines="100" w:line="560" w:lineRule="exact"/>
        <w:ind w:left="0" w:leftChars="0" w:firstLine="0" w:firstLineChars="0"/>
        <w:jc w:val="center"/>
        <w:textAlignment w:val="auto"/>
        <w:rPr>
          <w:rFonts w:hint="eastAsia" w:ascii="黑体" w:hAnsi="黑体" w:eastAsia="黑体" w:cs="黑体"/>
          <w:b/>
          <w:sz w:val="28"/>
          <w:szCs w:val="28"/>
          <w:highlight w:val="none"/>
        </w:rPr>
      </w:pPr>
    </w:p>
    <w:p w14:paraId="2D377EEC">
      <w:pPr>
        <w:pStyle w:val="21"/>
        <w:keepNext w:val="0"/>
        <w:keepLines w:val="0"/>
        <w:pageBreakBefore w:val="0"/>
        <w:widowControl w:val="0"/>
        <w:kinsoku/>
        <w:wordWrap/>
        <w:overflowPunct/>
        <w:topLinePunct w:val="0"/>
        <w:autoSpaceDE/>
        <w:autoSpaceDN/>
        <w:bidi w:val="0"/>
        <w:adjustRightInd/>
        <w:snapToGrid/>
        <w:spacing w:after="287" w:afterLines="100" w:line="560" w:lineRule="exact"/>
        <w:ind w:left="0" w:leftChars="0" w:firstLine="0" w:firstLineChars="0"/>
        <w:jc w:val="center"/>
        <w:textAlignment w:val="auto"/>
        <w:rPr>
          <w:rFonts w:hint="eastAsia" w:ascii="黑体" w:hAnsi="黑体" w:eastAsia="黑体" w:cs="黑体"/>
          <w:b/>
          <w:sz w:val="28"/>
          <w:szCs w:val="28"/>
          <w:highlight w:val="none"/>
        </w:rPr>
      </w:pPr>
    </w:p>
    <w:p w14:paraId="1A609995">
      <w:pPr>
        <w:pStyle w:val="3"/>
        <w:ind w:left="0" w:leftChars="0" w:firstLine="0" w:firstLineChars="0"/>
        <w:jc w:val="both"/>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附件：</w:t>
      </w:r>
    </w:p>
    <w:p w14:paraId="15E7D47C">
      <w:pPr>
        <w:pStyle w:val="3"/>
        <w:ind w:left="0" w:leftChars="0" w:firstLine="0" w:firstLineChars="0"/>
        <w:jc w:val="center"/>
        <w:rPr>
          <w:rFonts w:hint="default" w:ascii="黑体" w:hAnsi="黑体" w:eastAsia="黑体" w:cs="Times New Roman"/>
          <w:color w:val="auto"/>
          <w:sz w:val="32"/>
          <w:szCs w:val="32"/>
          <w:lang w:val="en-US" w:eastAsia="zh-CN"/>
        </w:rPr>
      </w:pPr>
      <w:r>
        <w:rPr>
          <w:rFonts w:hint="eastAsia" w:ascii="黑体" w:hAnsi="黑体" w:eastAsia="黑体"/>
          <w:color w:val="auto"/>
          <w:sz w:val="32"/>
          <w:szCs w:val="32"/>
          <w:lang w:eastAsia="zh-CN"/>
        </w:rPr>
        <w:t>大竹县人民医院</w:t>
      </w:r>
      <w:r>
        <w:rPr>
          <w:rFonts w:hint="eastAsia" w:ascii="黑体" w:hAnsi="黑体" w:eastAsia="黑体"/>
          <w:color w:val="auto"/>
          <w:sz w:val="32"/>
          <w:szCs w:val="32"/>
          <w:lang w:val="en-US" w:eastAsia="zh-CN"/>
        </w:rPr>
        <w:t>常用办公家具采购技术要求</w:t>
      </w:r>
    </w:p>
    <w:tbl>
      <w:tblPr>
        <w:tblStyle w:val="15"/>
        <w:tblW w:w="9890" w:type="dxa"/>
        <w:tblInd w:w="-4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2800"/>
        <w:gridCol w:w="1160"/>
        <w:gridCol w:w="5350"/>
      </w:tblGrid>
      <w:tr w14:paraId="5E9F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580" w:type="dxa"/>
            <w:shd w:val="clear" w:color="auto" w:fill="DAEEF3"/>
            <w:noWrap w:val="0"/>
            <w:vAlign w:val="center"/>
          </w:tcPr>
          <w:p w14:paraId="4D4F121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b w:val="0"/>
                <w:bCs w:val="0"/>
                <w:color w:val="auto"/>
                <w:sz w:val="24"/>
                <w:szCs w:val="24"/>
                <w:highlight w:val="none"/>
              </w:rPr>
            </w:pPr>
            <w:r>
              <w:rPr>
                <w:rFonts w:hint="eastAsia" w:ascii="方正仿宋_GB2312" w:hAnsi="方正仿宋_GB2312" w:eastAsia="方正仿宋_GB2312" w:cs="方正仿宋_GB2312"/>
                <w:b w:val="0"/>
                <w:bCs w:val="0"/>
                <w:color w:val="auto"/>
                <w:sz w:val="24"/>
                <w:szCs w:val="24"/>
                <w:highlight w:val="none"/>
                <w:lang w:val="en-US" w:bidi="ar"/>
              </w:rPr>
              <w:t>序号</w:t>
            </w:r>
          </w:p>
        </w:tc>
        <w:tc>
          <w:tcPr>
            <w:tcW w:w="2800" w:type="dxa"/>
            <w:shd w:val="clear" w:color="auto" w:fill="DAEEF3"/>
            <w:noWrap w:val="0"/>
            <w:vAlign w:val="center"/>
          </w:tcPr>
          <w:p w14:paraId="0C3489C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bidi="ar"/>
              </w:rPr>
              <w:t>产品名称</w:t>
            </w:r>
            <w:r>
              <w:rPr>
                <w:rFonts w:hint="eastAsia" w:ascii="方正仿宋_GB2312" w:hAnsi="方正仿宋_GB2312" w:eastAsia="方正仿宋_GB2312" w:cs="方正仿宋_GB2312"/>
                <w:b w:val="0"/>
                <w:bCs w:val="0"/>
                <w:color w:val="auto"/>
                <w:sz w:val="24"/>
                <w:szCs w:val="24"/>
                <w:highlight w:val="none"/>
                <w:lang w:val="en-US" w:eastAsia="zh-CN" w:bidi="ar"/>
              </w:rPr>
              <w:t>、样式要求如图（</w:t>
            </w:r>
            <w:r>
              <w:rPr>
                <w:rFonts w:hint="eastAsia" w:ascii="方正仿宋_GB2312" w:hAnsi="方正仿宋_GB2312" w:eastAsia="方正仿宋_GB2312" w:cs="方正仿宋_GB2312"/>
                <w:b w:val="0"/>
                <w:bCs w:val="0"/>
                <w:color w:val="auto"/>
                <w:sz w:val="24"/>
                <w:szCs w:val="24"/>
                <w:highlight w:val="none"/>
              </w:rPr>
              <w:t>若文字描述与图片有冲突，以文字描述为准。</w:t>
            </w:r>
            <w:r>
              <w:rPr>
                <w:rFonts w:hint="eastAsia" w:ascii="方正仿宋_GB2312" w:hAnsi="方正仿宋_GB2312" w:eastAsia="方正仿宋_GB2312" w:cs="方正仿宋_GB2312"/>
                <w:b w:val="0"/>
                <w:bCs w:val="0"/>
                <w:color w:val="auto"/>
                <w:sz w:val="24"/>
                <w:szCs w:val="24"/>
                <w:highlight w:val="none"/>
                <w:lang w:val="en-US" w:eastAsia="zh-CN" w:bidi="ar"/>
              </w:rPr>
              <w:t>）</w:t>
            </w:r>
          </w:p>
        </w:tc>
        <w:tc>
          <w:tcPr>
            <w:tcW w:w="1160" w:type="dxa"/>
            <w:shd w:val="clear" w:color="auto" w:fill="DAEEF3"/>
            <w:noWrap w:val="0"/>
            <w:vAlign w:val="center"/>
          </w:tcPr>
          <w:p w14:paraId="32037B6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规格尺寸单位：mm（毫米）</w:t>
            </w:r>
          </w:p>
        </w:tc>
        <w:tc>
          <w:tcPr>
            <w:tcW w:w="5350" w:type="dxa"/>
            <w:shd w:val="clear" w:color="auto" w:fill="DAEEF3"/>
            <w:noWrap w:val="0"/>
            <w:vAlign w:val="center"/>
          </w:tcPr>
          <w:p w14:paraId="0D933628">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b w:val="0"/>
                <w:bCs w:val="0"/>
                <w:color w:val="auto"/>
                <w:sz w:val="24"/>
                <w:szCs w:val="24"/>
                <w:highlight w:val="none"/>
                <w:lang w:val="en-US" w:eastAsia="zh-CN" w:bidi="ar"/>
              </w:rPr>
            </w:pPr>
            <w:r>
              <w:rPr>
                <w:rFonts w:hint="eastAsia" w:ascii="方正仿宋_GB2312" w:hAnsi="方正仿宋_GB2312" w:eastAsia="方正仿宋_GB2312" w:cs="方正仿宋_GB2312"/>
                <w:b w:val="0"/>
                <w:bCs w:val="0"/>
                <w:color w:val="auto"/>
                <w:sz w:val="24"/>
                <w:szCs w:val="24"/>
                <w:highlight w:val="none"/>
                <w:lang w:val="en-US" w:eastAsia="zh-CN" w:bidi="ar"/>
              </w:rPr>
              <w:t>主要技术要求</w:t>
            </w:r>
          </w:p>
        </w:tc>
      </w:tr>
      <w:tr w14:paraId="5389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1D408BC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bidi="ar"/>
              </w:rPr>
              <w:t>1</w:t>
            </w:r>
          </w:p>
        </w:tc>
        <w:tc>
          <w:tcPr>
            <w:tcW w:w="2800" w:type="dxa"/>
            <w:shd w:val="clear" w:color="auto" w:fill="FFFFFF"/>
            <w:noWrap w:val="0"/>
            <w:vAlign w:val="center"/>
          </w:tcPr>
          <w:p w14:paraId="04C6B02A">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办公桌带副台</w:t>
            </w: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60288" behindDoc="0" locked="0" layoutInCell="1" allowOverlap="1">
                  <wp:simplePos x="0" y="0"/>
                  <wp:positionH relativeFrom="column">
                    <wp:posOffset>69215</wp:posOffset>
                  </wp:positionH>
                  <wp:positionV relativeFrom="paragraph">
                    <wp:posOffset>292100</wp:posOffset>
                  </wp:positionV>
                  <wp:extent cx="1452245" cy="795020"/>
                  <wp:effectExtent l="0" t="0" r="10795" b="12700"/>
                  <wp:wrapTopAndBottom/>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4"/>
                          <a:stretch>
                            <a:fillRect/>
                          </a:stretch>
                        </pic:blipFill>
                        <pic:spPr>
                          <a:xfrm>
                            <a:off x="0" y="0"/>
                            <a:ext cx="1452245" cy="795020"/>
                          </a:xfrm>
                          <a:prstGeom prst="rect">
                            <a:avLst/>
                          </a:prstGeom>
                          <a:noFill/>
                          <a:ln>
                            <a:noFill/>
                          </a:ln>
                        </pic:spPr>
                      </pic:pic>
                    </a:graphicData>
                  </a:graphic>
                </wp:anchor>
              </w:drawing>
            </w:r>
          </w:p>
        </w:tc>
        <w:tc>
          <w:tcPr>
            <w:tcW w:w="1160" w:type="dxa"/>
            <w:shd w:val="clear" w:color="auto" w:fill="FFFFFF"/>
            <w:noWrap w:val="0"/>
            <w:vAlign w:val="center"/>
          </w:tcPr>
          <w:p w14:paraId="1B0A0E0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尺</w:t>
            </w:r>
            <w:r>
              <w:rPr>
                <w:rFonts w:hint="eastAsia" w:ascii="方正仿宋_GB2312" w:hAnsi="方正仿宋_GB2312" w:eastAsia="方正仿宋_GB2312" w:cs="方正仿宋_GB2312"/>
                <w:color w:val="auto"/>
                <w:sz w:val="21"/>
                <w:szCs w:val="21"/>
                <w:highlight w:val="none"/>
                <w:lang w:val="en-US"/>
              </w:rPr>
              <w:t>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rPr>
              <w:t>1800*900*750副台</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rPr>
              <w:t>1200*400*680</w:t>
            </w:r>
          </w:p>
        </w:tc>
        <w:tc>
          <w:tcPr>
            <w:tcW w:w="5350" w:type="dxa"/>
            <w:vMerge w:val="restart"/>
            <w:shd w:val="clear" w:color="auto" w:fill="FFFFFF"/>
            <w:noWrap w:val="0"/>
            <w:vAlign w:val="top"/>
          </w:tcPr>
          <w:p w14:paraId="0AB42DD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sz w:val="21"/>
                <w:szCs w:val="21"/>
                <w:highlight w:val="none"/>
                <w:lang w:val="en-US" w:eastAsia="zh-CN"/>
              </w:rPr>
              <w:t>(1)办公桌带副台整体结构：</w:t>
            </w:r>
            <w:r>
              <w:rPr>
                <w:rFonts w:hint="eastAsia" w:ascii="方正仿宋_GB2312" w:hAnsi="方正仿宋_GB2312" w:eastAsia="方正仿宋_GB2312" w:cs="方正仿宋_GB2312"/>
                <w:color w:val="auto"/>
                <w:kern w:val="0"/>
                <w:sz w:val="21"/>
                <w:szCs w:val="21"/>
                <w:highlight w:val="none"/>
              </w:rPr>
              <w:t>主台、侧</w:t>
            </w:r>
            <w:r>
              <w:rPr>
                <w:rFonts w:hint="eastAsia" w:ascii="方正仿宋_GB2312" w:hAnsi="方正仿宋_GB2312" w:eastAsia="方正仿宋_GB2312" w:cs="方正仿宋_GB2312"/>
                <w:color w:val="auto"/>
                <w:kern w:val="0"/>
                <w:sz w:val="21"/>
                <w:szCs w:val="21"/>
                <w:highlight w:val="none"/>
                <w:lang w:val="en-US" w:eastAsia="zh-CN"/>
              </w:rPr>
              <w:t>拖</w:t>
            </w:r>
            <w:r>
              <w:rPr>
                <w:rFonts w:hint="eastAsia" w:ascii="方正仿宋_GB2312" w:hAnsi="方正仿宋_GB2312" w:eastAsia="方正仿宋_GB2312" w:cs="方正仿宋_GB2312"/>
                <w:color w:val="auto"/>
                <w:kern w:val="0"/>
                <w:sz w:val="21"/>
                <w:szCs w:val="21"/>
                <w:highlight w:val="none"/>
              </w:rPr>
              <w:t>柜、活动柜</w:t>
            </w:r>
            <w:r>
              <w:rPr>
                <w:rFonts w:hint="eastAsia" w:ascii="方正仿宋_GB2312" w:hAnsi="方正仿宋_GB2312" w:eastAsia="方正仿宋_GB2312" w:cs="方正仿宋_GB2312"/>
                <w:color w:val="auto"/>
                <w:kern w:val="0"/>
                <w:sz w:val="21"/>
                <w:szCs w:val="21"/>
                <w:highlight w:val="none"/>
                <w:lang w:val="en-US" w:eastAsia="zh-CN"/>
              </w:rPr>
              <w:t>3抽屉</w:t>
            </w:r>
            <w:r>
              <w:rPr>
                <w:rFonts w:hint="eastAsia" w:ascii="方正仿宋_GB2312" w:hAnsi="方正仿宋_GB2312" w:eastAsia="方正仿宋_GB2312" w:cs="方正仿宋_GB2312"/>
                <w:color w:val="auto"/>
                <w:kern w:val="0"/>
                <w:sz w:val="21"/>
                <w:szCs w:val="21"/>
                <w:highlight w:val="none"/>
              </w:rPr>
              <w:t>，含主机架及键盘架</w:t>
            </w:r>
          </w:p>
          <w:p w14:paraId="67328C86">
            <w:pPr>
              <w:keepNext w:val="0"/>
              <w:keepLines w:val="0"/>
              <w:pageBreakBefore w:val="0"/>
              <w:kinsoku/>
              <w:wordWrap/>
              <w:overflowPunct/>
              <w:topLinePunct w:val="0"/>
              <w:autoSpaceDE/>
              <w:autoSpaceDN/>
              <w:bidi w:val="0"/>
              <w:adjustRightInd/>
              <w:snapToGrid/>
              <w:spacing w:line="0" w:lineRule="atLeast"/>
              <w:jc w:val="both"/>
              <w:rPr>
                <w:rFonts w:hint="eastAsia" w:ascii="方正仿宋_GB2312" w:hAnsi="方正仿宋_GB2312" w:eastAsia="方正仿宋_GB2312" w:cs="方正仿宋_GB2312"/>
                <w:color w:val="auto"/>
                <w:kern w:val="0"/>
                <w:sz w:val="21"/>
                <w:szCs w:val="21"/>
                <w:highlight w:val="none"/>
              </w:rPr>
            </w:pPr>
            <w:r>
              <w:rPr>
                <w:rFonts w:hint="eastAsia" w:ascii="方正仿宋_GB2312" w:hAnsi="方正仿宋_GB2312" w:eastAsia="方正仿宋_GB2312" w:cs="方正仿宋_GB2312"/>
                <w:color w:val="auto"/>
                <w:kern w:val="0"/>
                <w:sz w:val="21"/>
                <w:szCs w:val="21"/>
                <w:highlight w:val="none"/>
                <w:lang w:val="en-US" w:eastAsia="zh-CN"/>
              </w:rPr>
              <w:t>(2)</w:t>
            </w:r>
            <w:r>
              <w:rPr>
                <w:rFonts w:hint="eastAsia" w:ascii="方正仿宋_GB2312" w:hAnsi="方正仿宋_GB2312" w:eastAsia="方正仿宋_GB2312" w:cs="方正仿宋_GB2312"/>
                <w:color w:val="auto"/>
                <w:sz w:val="21"/>
                <w:szCs w:val="21"/>
                <w:highlight w:val="none"/>
                <w:lang w:val="en-US" w:eastAsia="zh-CN"/>
              </w:rPr>
              <w:t>胡桃木纹六门</w:t>
            </w:r>
            <w:r>
              <w:rPr>
                <w:rFonts w:hint="eastAsia" w:ascii="方正仿宋_GB2312" w:hAnsi="方正仿宋_GB2312" w:eastAsia="方正仿宋_GB2312" w:cs="方正仿宋_GB2312"/>
                <w:color w:val="auto"/>
                <w:sz w:val="21"/>
                <w:szCs w:val="21"/>
                <w:highlight w:val="none"/>
                <w:lang w:val="en-US"/>
              </w:rPr>
              <w:t>文件柜</w:t>
            </w:r>
            <w:r>
              <w:rPr>
                <w:rFonts w:hint="eastAsia" w:ascii="方正仿宋_GB2312" w:hAnsi="方正仿宋_GB2312" w:eastAsia="方正仿宋_GB2312" w:cs="方正仿宋_GB2312"/>
                <w:color w:val="auto"/>
                <w:kern w:val="0"/>
                <w:sz w:val="21"/>
                <w:szCs w:val="21"/>
                <w:highlight w:val="none"/>
              </w:rPr>
              <w:t>整体结构：玻璃对开门内部含2张活动隔板，通门内含挂衣杆，下面三门内均含一张活动隔板。</w:t>
            </w:r>
          </w:p>
          <w:p w14:paraId="4FB79CAF">
            <w:pPr>
              <w:pStyle w:val="5"/>
              <w:keepNext w:val="0"/>
              <w:keepLines w:val="0"/>
              <w:pageBreakBefore w:val="0"/>
              <w:kinsoku/>
              <w:wordWrap/>
              <w:overflowPunct/>
              <w:topLinePunct w:val="0"/>
              <w:autoSpaceDE/>
              <w:autoSpaceDN/>
              <w:bidi w:val="0"/>
              <w:adjustRightInd/>
              <w:snapToGrid/>
              <w:spacing w:before="0" w:after="0" w:line="0" w:lineRule="atLeast"/>
              <w:jc w:val="both"/>
              <w:rPr>
                <w:rFonts w:hint="eastAsia"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highlight w:val="none"/>
                <w:lang w:val="en-US" w:eastAsia="zh-CN"/>
              </w:rPr>
              <w:t>办公桌带副台与胡桃木纹六门</w:t>
            </w:r>
            <w:r>
              <w:rPr>
                <w:rFonts w:hint="eastAsia" w:ascii="方正仿宋_GB2312" w:hAnsi="方正仿宋_GB2312" w:eastAsia="方正仿宋_GB2312" w:cs="方正仿宋_GB2312"/>
                <w:color w:val="auto"/>
                <w:sz w:val="21"/>
                <w:szCs w:val="21"/>
                <w:highlight w:val="none"/>
                <w:lang w:val="en-US"/>
              </w:rPr>
              <w:t>文件柜</w:t>
            </w:r>
            <w:r>
              <w:rPr>
                <w:rFonts w:hint="eastAsia" w:ascii="方正仿宋_GB2312" w:hAnsi="方正仿宋_GB2312" w:eastAsia="方正仿宋_GB2312" w:cs="方正仿宋_GB2312"/>
                <w:color w:val="auto"/>
                <w:sz w:val="21"/>
                <w:szCs w:val="21"/>
                <w:highlight w:val="none"/>
                <w:lang w:val="en-US" w:eastAsia="zh-CN"/>
              </w:rPr>
              <w:t>总技术要求：</w:t>
            </w:r>
          </w:p>
          <w:p w14:paraId="610BCBDD">
            <w:pPr>
              <w:keepNext w:val="0"/>
              <w:keepLines w:val="0"/>
              <w:pageBreakBefore w:val="0"/>
              <w:widowControl/>
              <w:numPr>
                <w:ilvl w:val="0"/>
                <w:numId w:val="0"/>
              </w:numPr>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eastAsia="zh-CN"/>
              </w:rPr>
            </w:pPr>
            <w:r>
              <w:rPr>
                <w:rFonts w:hint="eastAsia" w:ascii="方正仿宋_GB2312" w:hAnsi="方正仿宋_GB2312" w:eastAsia="方正仿宋_GB2312" w:cs="方正仿宋_GB2312"/>
                <w:b w:val="0"/>
                <w:bCs w:val="0"/>
                <w:color w:val="auto"/>
                <w:sz w:val="21"/>
                <w:szCs w:val="21"/>
                <w:highlight w:val="none"/>
                <w:lang w:val="en-US" w:eastAsia="zh-CN"/>
              </w:rPr>
              <w:t>1、</w:t>
            </w:r>
            <w:r>
              <w:rPr>
                <w:rFonts w:hint="eastAsia" w:ascii="方正仿宋_GB2312" w:hAnsi="方正仿宋_GB2312" w:eastAsia="方正仿宋_GB2312" w:cs="方正仿宋_GB2312"/>
                <w:b w:val="0"/>
                <w:bCs w:val="0"/>
                <w:color w:val="auto"/>
                <w:sz w:val="21"/>
                <w:szCs w:val="21"/>
                <w:highlight w:val="none"/>
                <w:lang w:eastAsia="zh-CN"/>
              </w:rPr>
              <w:t>基材：采用厚度≥18mm的中密度纤维板，依据GB/T11718-2021，静曲强度≥23.0MPa、弹性模量≥1800MPa、吸水厚度膨胀率≤9.0%、表面胶合强度≥0.90MPa、防潮性能合格、板面握螺钉力≥900N、板边握螺钉力≥600N、尺寸稳定性合格、表面吸收性能合格、甲醛释放量≤0.05mg/m³。</w:t>
            </w:r>
          </w:p>
          <w:p w14:paraId="4CE0AA1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rPr>
            </w:pPr>
            <w:r>
              <w:rPr>
                <w:rFonts w:hint="eastAsia" w:ascii="方正仿宋_GB2312" w:hAnsi="方正仿宋_GB2312" w:eastAsia="方正仿宋_GB2312" w:cs="方正仿宋_GB2312"/>
                <w:b w:val="0"/>
                <w:bCs w:val="0"/>
                <w:color w:val="auto"/>
                <w:sz w:val="21"/>
                <w:szCs w:val="21"/>
                <w:highlight w:val="none"/>
              </w:rPr>
              <w:t>2、面材：采用厚度</w:t>
            </w:r>
            <w:r>
              <w:rPr>
                <w:rFonts w:hint="eastAsia" w:ascii="方正仿宋_GB2312" w:hAnsi="方正仿宋_GB2312" w:eastAsia="方正仿宋_GB2312" w:cs="方正仿宋_GB2312"/>
                <w:b w:val="0"/>
                <w:bCs w:val="0"/>
                <w:color w:val="auto"/>
                <w:sz w:val="21"/>
                <w:szCs w:val="21"/>
                <w:highlight w:val="none"/>
                <w:lang w:eastAsia="zh-CN"/>
              </w:rPr>
              <w:t>≥0.6mm</w:t>
            </w:r>
            <w:r>
              <w:rPr>
                <w:rFonts w:hint="eastAsia" w:ascii="方正仿宋_GB2312" w:hAnsi="方正仿宋_GB2312" w:eastAsia="方正仿宋_GB2312" w:cs="方正仿宋_GB2312"/>
                <w:b w:val="0"/>
                <w:bCs w:val="0"/>
                <w:color w:val="auto"/>
                <w:sz w:val="21"/>
                <w:szCs w:val="21"/>
                <w:highlight w:val="none"/>
              </w:rPr>
              <w:t>的AAA级胡桃木皮饰面，色泽均匀，木皮纹理颜色一致，纹理清晰；无结疤</w:t>
            </w:r>
            <w:r>
              <w:rPr>
                <w:rFonts w:hint="eastAsia" w:ascii="方正仿宋_GB2312" w:hAnsi="方正仿宋_GB2312" w:eastAsia="方正仿宋_GB2312" w:cs="方正仿宋_GB2312"/>
                <w:b w:val="0"/>
                <w:bCs w:val="0"/>
                <w:color w:val="auto"/>
                <w:sz w:val="21"/>
                <w:szCs w:val="21"/>
                <w:highlight w:val="none"/>
                <w:lang w:eastAsia="zh-CN"/>
              </w:rPr>
              <w:t>。</w:t>
            </w:r>
            <w:r>
              <w:rPr>
                <w:rFonts w:hint="eastAsia" w:ascii="方正仿宋_GB2312" w:hAnsi="方正仿宋_GB2312" w:eastAsia="方正仿宋_GB2312" w:cs="方正仿宋_GB2312"/>
                <w:b w:val="0"/>
                <w:bCs w:val="0"/>
                <w:color w:val="auto"/>
                <w:sz w:val="21"/>
                <w:szCs w:val="21"/>
                <w:highlight w:val="none"/>
              </w:rPr>
              <w:t>木皮甲醛释放限量和含水率</w:t>
            </w:r>
            <w:r>
              <w:rPr>
                <w:rFonts w:hint="eastAsia" w:ascii="方正仿宋_GB2312" w:hAnsi="方正仿宋_GB2312" w:eastAsia="方正仿宋_GB2312" w:cs="方正仿宋_GB2312"/>
                <w:b w:val="0"/>
                <w:bCs w:val="0"/>
                <w:color w:val="auto"/>
                <w:sz w:val="21"/>
                <w:szCs w:val="21"/>
                <w:highlight w:val="none"/>
                <w:lang w:eastAsia="zh-CN"/>
              </w:rPr>
              <w:t>均符合国家最新标准</w:t>
            </w:r>
            <w:r>
              <w:rPr>
                <w:rFonts w:hint="eastAsia" w:ascii="方正仿宋_GB2312" w:hAnsi="方正仿宋_GB2312" w:eastAsia="方正仿宋_GB2312" w:cs="方正仿宋_GB2312"/>
                <w:b w:val="0"/>
                <w:bCs w:val="0"/>
                <w:color w:val="auto"/>
                <w:sz w:val="21"/>
                <w:szCs w:val="21"/>
                <w:highlight w:val="none"/>
              </w:rPr>
              <w:t>。</w:t>
            </w:r>
          </w:p>
          <w:p w14:paraId="4AC1E68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eastAsia="zh-CN"/>
              </w:rPr>
            </w:pPr>
            <w:r>
              <w:rPr>
                <w:rFonts w:hint="eastAsia" w:ascii="方正仿宋_GB2312" w:hAnsi="方正仿宋_GB2312" w:eastAsia="方正仿宋_GB2312" w:cs="方正仿宋_GB2312"/>
                <w:b w:val="0"/>
                <w:bCs w:val="0"/>
                <w:color w:val="auto"/>
                <w:sz w:val="21"/>
                <w:szCs w:val="21"/>
                <w:highlight w:val="none"/>
              </w:rPr>
              <w:t>3、封边：实木封边条。无缝封边，具有良好的耐气候性能，不易受环境、温度变化而产生收缩、膨胀的问题</w:t>
            </w:r>
            <w:r>
              <w:rPr>
                <w:rFonts w:hint="eastAsia" w:ascii="方正仿宋_GB2312" w:hAnsi="方正仿宋_GB2312" w:eastAsia="方正仿宋_GB2312" w:cs="方正仿宋_GB2312"/>
                <w:b w:val="0"/>
                <w:bCs w:val="0"/>
                <w:color w:val="auto"/>
                <w:sz w:val="21"/>
                <w:szCs w:val="21"/>
                <w:highlight w:val="none"/>
                <w:lang w:eastAsia="zh-CN"/>
              </w:rPr>
              <w:t>。</w:t>
            </w:r>
          </w:p>
          <w:p w14:paraId="2881ED54">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4</w:t>
            </w:r>
            <w:r>
              <w:rPr>
                <w:rFonts w:hint="eastAsia" w:ascii="方正仿宋_GB2312" w:hAnsi="方正仿宋_GB2312" w:eastAsia="方正仿宋_GB2312" w:cs="方正仿宋_GB2312"/>
                <w:b w:val="0"/>
                <w:bCs w:val="0"/>
                <w:color w:val="auto"/>
                <w:sz w:val="21"/>
                <w:szCs w:val="21"/>
                <w:highlight w:val="none"/>
              </w:rPr>
              <w:t>、</w:t>
            </w:r>
            <w:r>
              <w:rPr>
                <w:rFonts w:hint="eastAsia" w:ascii="方正仿宋_GB2312" w:hAnsi="方正仿宋_GB2312" w:eastAsia="方正仿宋_GB2312" w:cs="方正仿宋_GB2312"/>
                <w:b w:val="0"/>
                <w:bCs w:val="0"/>
                <w:color w:val="auto"/>
                <w:sz w:val="21"/>
                <w:szCs w:val="21"/>
                <w:highlight w:val="none"/>
                <w:lang w:eastAsia="zh-CN"/>
              </w:rPr>
              <w:t>油漆：水性漆，①依据GB/T23999-2009，不挥发物≥40％，硬度（擦伤）≥B，附着力（划格间距2mm）≤1级，贮存稳定性[（50±2）℃，7d]无异常，耐水性（24h）无异常，耐沸水性（15min）无异常，耐碱性无异常，耐醇性无异常，耐干热性≤2级。</w:t>
            </w:r>
            <w:r>
              <w:rPr>
                <w:rFonts w:hint="eastAsia" w:ascii="方正仿宋_GB2312" w:hAnsi="方正仿宋_GB2312" w:eastAsia="方正仿宋_GB2312" w:cs="方正仿宋_GB2312"/>
                <w:b w:val="0"/>
                <w:bCs w:val="0"/>
                <w:color w:val="auto"/>
                <w:sz w:val="21"/>
                <w:szCs w:val="21"/>
                <w:highlight w:val="none"/>
                <w:lang w:val="en-US" w:eastAsia="zh-CN"/>
              </w:rPr>
              <w:t>油漆中有害物质限量应符合GB 30981.2-2025标准的要求。</w:t>
            </w:r>
          </w:p>
          <w:p w14:paraId="1A2667A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5</w:t>
            </w:r>
            <w:r>
              <w:rPr>
                <w:rFonts w:hint="eastAsia" w:ascii="方正仿宋_GB2312" w:hAnsi="方正仿宋_GB2312" w:eastAsia="方正仿宋_GB2312" w:cs="方正仿宋_GB2312"/>
                <w:b w:val="0"/>
                <w:bCs w:val="0"/>
                <w:color w:val="auto"/>
                <w:sz w:val="21"/>
                <w:szCs w:val="21"/>
                <w:highlight w:val="none"/>
                <w:lang w:val="en-US"/>
              </w:rPr>
              <w:t>.五金件</w:t>
            </w:r>
          </w:p>
          <w:p w14:paraId="627E5111">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①</w:t>
            </w:r>
            <w:r>
              <w:rPr>
                <w:rFonts w:hint="eastAsia" w:ascii="方正仿宋_GB2312" w:hAnsi="方正仿宋_GB2312" w:eastAsia="方正仿宋_GB2312" w:cs="方正仿宋_GB2312"/>
                <w:color w:val="auto"/>
                <w:szCs w:val="21"/>
                <w:highlight w:val="none"/>
              </w:rPr>
              <w:t>铰链（门铰）</w:t>
            </w:r>
          </w:p>
          <w:p w14:paraId="22352C0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执行标准：符合现行国家标准或行业标准（如QB/T2189）中关于杯状暗铰链的技术要求。</w:t>
            </w:r>
          </w:p>
          <w:p w14:paraId="1AA5A92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auto"/>
                <w:szCs w:val="21"/>
                <w:highlight w:val="none"/>
              </w:rPr>
              <w:t>耐久性测试循环次数≥50,000次，试验后铰链功能正常，无断裂、无卡滞，门板下沉量符合标准要求。</w:t>
            </w:r>
          </w:p>
          <w:p w14:paraId="71BA0DF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耐腐蚀性：依据GB/T10125进行中性盐雾试验（NSS）≥48小时，保护评级（Rp）≥9级（表面无红锈）。</w:t>
            </w:r>
          </w:p>
          <w:p w14:paraId="5144333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②</w:t>
            </w:r>
            <w:r>
              <w:rPr>
                <w:rFonts w:hint="eastAsia" w:ascii="方正仿宋_GB2312" w:hAnsi="方正仿宋_GB2312" w:eastAsia="方正仿宋_GB2312" w:cs="方正仿宋_GB2312"/>
                <w:color w:val="auto"/>
                <w:szCs w:val="21"/>
                <w:highlight w:val="none"/>
              </w:rPr>
              <w:t>导轨（抽屉滑轨）</w:t>
            </w:r>
          </w:p>
          <w:p w14:paraId="5C747C9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执行标准：符合现行国家标准或行业标准（如QB/T2454）关于抽屉导轨的技术要求。</w:t>
            </w:r>
          </w:p>
          <w:p w14:paraId="0D19107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性能要求：垂直向下静载荷≥200N（确保抽屉满载不变形），水平侧向稳定性测试合格。</w:t>
            </w:r>
          </w:p>
          <w:p w14:paraId="559F5DE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耐久性：循环测试≥80,000次无损坏，抽拉顺畅。</w:t>
            </w:r>
          </w:p>
          <w:p w14:paraId="79783D1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③</w:t>
            </w:r>
            <w:r>
              <w:rPr>
                <w:rFonts w:hint="eastAsia" w:ascii="方正仿宋_GB2312" w:hAnsi="方正仿宋_GB2312" w:eastAsia="方正仿宋_GB2312" w:cs="方正仿宋_GB2312"/>
                <w:color w:val="auto"/>
                <w:szCs w:val="21"/>
                <w:highlight w:val="none"/>
              </w:rPr>
              <w:t>连接件（三合一/二合一）</w:t>
            </w:r>
          </w:p>
          <w:p w14:paraId="594232A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执行标准：符合现行国家标准（如GB/T28203）关于家具连接件的技术要求。</w:t>
            </w:r>
          </w:p>
          <w:p w14:paraId="156D838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力学性能：偏心体抗拉强度≥250N，预埋件抗拔力≥600N，确保柜体连接牢固，长期使用不松动。</w:t>
            </w:r>
          </w:p>
          <w:p w14:paraId="5DE9E99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④</w:t>
            </w:r>
            <w:r>
              <w:rPr>
                <w:rFonts w:hint="eastAsia" w:ascii="方正仿宋_GB2312" w:hAnsi="方正仿宋_GB2312" w:eastAsia="方正仿宋_GB2312" w:cs="方正仿宋_GB2312"/>
                <w:color w:val="auto"/>
                <w:szCs w:val="21"/>
                <w:highlight w:val="none"/>
              </w:rPr>
              <w:t>锁具执行标准：符合QB/T1621《家具锁》标准。</w:t>
            </w:r>
          </w:p>
          <w:p w14:paraId="225EAF5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通用要求：开启灵活，无卡滞，互开率符合标准要求（≤0.5%），具备基本的防撬结构。</w:t>
            </w:r>
          </w:p>
          <w:p w14:paraId="7CB9E03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⑤</w:t>
            </w:r>
            <w:r>
              <w:rPr>
                <w:rFonts w:hint="eastAsia" w:ascii="方正仿宋_GB2312" w:hAnsi="方正仿宋_GB2312" w:eastAsia="方正仿宋_GB2312" w:cs="方正仿宋_GB2312"/>
                <w:color w:val="auto"/>
                <w:szCs w:val="21"/>
                <w:highlight w:val="none"/>
              </w:rPr>
              <w:t>金属表面处理与耐腐蚀</w:t>
            </w:r>
          </w:p>
          <w:p w14:paraId="1B1046B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盐雾试验：所有金属五金件（含铰链、导轨、拉手、连接件等）须通过GB/T10125</w:t>
            </w:r>
            <w:r>
              <w:rPr>
                <w:rFonts w:hint="eastAsia" w:ascii="方正仿宋_GB2312" w:hAnsi="方正仿宋_GB2312" w:eastAsia="方正仿宋_GB2312" w:cs="方正仿宋_GB2312"/>
                <w:color w:val="auto"/>
                <w:szCs w:val="21"/>
                <w:highlight w:val="none"/>
                <w:lang w:val="en-US" w:eastAsia="zh-CN"/>
              </w:rPr>
              <w:t>-2021</w:t>
            </w:r>
            <w:r>
              <w:rPr>
                <w:rFonts w:hint="eastAsia" w:ascii="方正仿宋_GB2312" w:hAnsi="方正仿宋_GB2312" w:eastAsia="方正仿宋_GB2312" w:cs="方正仿宋_GB2312"/>
                <w:color w:val="auto"/>
                <w:szCs w:val="21"/>
                <w:highlight w:val="none"/>
              </w:rPr>
              <w:t>中性盐雾试验</w:t>
            </w:r>
            <w:r>
              <w:rPr>
                <w:rFonts w:hint="eastAsia" w:ascii="方正仿宋_GB2312" w:hAnsi="方正仿宋_GB2312" w:eastAsia="方正仿宋_GB2312" w:cs="方正仿宋_GB2312"/>
                <w:color w:val="auto"/>
                <w:szCs w:val="21"/>
                <w:highlight w:val="none"/>
                <w:lang w:val="en-US" w:eastAsia="zh-CN"/>
              </w:rPr>
              <w:t xml:space="preserve"> </w:t>
            </w:r>
            <w:r>
              <w:rPr>
                <w:rFonts w:hint="eastAsia" w:ascii="方正仿宋_GB2312" w:hAnsi="方正仿宋_GB2312" w:eastAsia="方正仿宋_GB2312" w:cs="方正仿宋_GB2312"/>
                <w:color w:val="auto"/>
                <w:szCs w:val="21"/>
                <w:highlight w:val="none"/>
              </w:rPr>
              <w:t>保护评级（Rp）≥</w:t>
            </w:r>
            <w:r>
              <w:rPr>
                <w:rFonts w:hint="eastAsia" w:ascii="方正仿宋_GB2312" w:hAnsi="方正仿宋_GB2312" w:eastAsia="方正仿宋_GB2312" w:cs="方正仿宋_GB2312"/>
                <w:color w:val="auto"/>
                <w:szCs w:val="21"/>
                <w:highlight w:val="none"/>
                <w:lang w:eastAsia="zh-CN"/>
              </w:rPr>
              <w:t>1</w:t>
            </w:r>
            <w:r>
              <w:rPr>
                <w:rFonts w:hint="eastAsia" w:ascii="方正仿宋_GB2312" w:hAnsi="方正仿宋_GB2312" w:eastAsia="方正仿宋_GB2312" w:cs="方正仿宋_GB2312"/>
                <w:color w:val="auto"/>
                <w:szCs w:val="21"/>
                <w:highlight w:val="none"/>
                <w:lang w:val="en-US" w:eastAsia="zh-CN"/>
              </w:rPr>
              <w:t>0</w:t>
            </w:r>
            <w:r>
              <w:rPr>
                <w:rFonts w:hint="eastAsia" w:ascii="方正仿宋_GB2312" w:hAnsi="方正仿宋_GB2312" w:eastAsia="方正仿宋_GB2312" w:cs="方正仿宋_GB2312"/>
                <w:color w:val="auto"/>
                <w:szCs w:val="21"/>
                <w:highlight w:val="none"/>
              </w:rPr>
              <w:t>级。</w:t>
            </w:r>
          </w:p>
          <w:p w14:paraId="427D2D50">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color w:val="auto"/>
                <w:szCs w:val="21"/>
                <w:highlight w:val="none"/>
                <w:lang w:val="en-US" w:eastAsia="zh-CN"/>
              </w:rPr>
              <w:t>⑥</w:t>
            </w:r>
            <w:r>
              <w:rPr>
                <w:rFonts w:hint="eastAsia" w:ascii="方正仿宋_GB2312" w:hAnsi="方正仿宋_GB2312" w:eastAsia="方正仿宋_GB2312" w:cs="方正仿宋_GB2312"/>
                <w:color w:val="auto"/>
                <w:szCs w:val="21"/>
                <w:highlight w:val="none"/>
              </w:rPr>
              <w:t>环保工艺：电镀层须采用环保三价铬工艺（符合GB/T26572），严禁使用六价铬；涂层附着力达到GB/T9286标准的1级</w:t>
            </w:r>
            <w:r>
              <w:rPr>
                <w:rFonts w:hint="eastAsia" w:ascii="方正仿宋_GB2312" w:hAnsi="方正仿宋_GB2312" w:eastAsia="方正仿宋_GB2312" w:cs="方正仿宋_GB2312"/>
                <w:color w:val="auto"/>
                <w:szCs w:val="21"/>
                <w:highlight w:val="none"/>
                <w:lang w:val="en-US" w:eastAsia="zh-CN"/>
              </w:rPr>
              <w:t>及以上</w:t>
            </w:r>
            <w:r>
              <w:rPr>
                <w:rFonts w:hint="eastAsia" w:ascii="方正仿宋_GB2312" w:hAnsi="方正仿宋_GB2312" w:eastAsia="方正仿宋_GB2312" w:cs="方正仿宋_GB2312"/>
                <w:color w:val="auto"/>
                <w:szCs w:val="21"/>
                <w:highlight w:val="none"/>
              </w:rPr>
              <w:t>。</w:t>
            </w:r>
          </w:p>
          <w:p w14:paraId="014D5ADF">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p>
        </w:tc>
      </w:tr>
      <w:tr w14:paraId="6FC5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0" w:type="dxa"/>
            <w:shd w:val="clear" w:color="auto" w:fill="FFFFFF"/>
            <w:noWrap w:val="0"/>
            <w:vAlign w:val="center"/>
          </w:tcPr>
          <w:p w14:paraId="4BB1339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bidi="ar"/>
              </w:rPr>
              <w:t>2</w:t>
            </w:r>
          </w:p>
        </w:tc>
        <w:tc>
          <w:tcPr>
            <w:tcW w:w="2800" w:type="dxa"/>
            <w:shd w:val="clear" w:color="auto" w:fill="FFFFFF"/>
            <w:noWrap w:val="0"/>
            <w:vAlign w:val="center"/>
          </w:tcPr>
          <w:p w14:paraId="6BF10032">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61312" behindDoc="0" locked="0" layoutInCell="1" allowOverlap="1">
                  <wp:simplePos x="0" y="0"/>
                  <wp:positionH relativeFrom="column">
                    <wp:posOffset>307340</wp:posOffset>
                  </wp:positionH>
                  <wp:positionV relativeFrom="paragraph">
                    <wp:posOffset>393700</wp:posOffset>
                  </wp:positionV>
                  <wp:extent cx="877570" cy="1449070"/>
                  <wp:effectExtent l="0" t="0" r="6350" b="13970"/>
                  <wp:wrapSquare wrapText="bothSides"/>
                  <wp:docPr id="23" name="图片 8"/>
                  <wp:cNvGraphicFramePr/>
                  <a:graphic xmlns:a="http://schemas.openxmlformats.org/drawingml/2006/main">
                    <a:graphicData uri="http://schemas.openxmlformats.org/drawingml/2006/picture">
                      <pic:pic xmlns:pic="http://schemas.openxmlformats.org/drawingml/2006/picture">
                        <pic:nvPicPr>
                          <pic:cNvPr id="23" name="图片 8"/>
                          <pic:cNvPicPr/>
                        </pic:nvPicPr>
                        <pic:blipFill>
                          <a:blip r:embed="rId5"/>
                          <a:stretch>
                            <a:fillRect/>
                          </a:stretch>
                        </pic:blipFill>
                        <pic:spPr>
                          <a:xfrm>
                            <a:off x="0" y="0"/>
                            <a:ext cx="877570" cy="1449070"/>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eastAsia="zh-CN"/>
              </w:rPr>
              <w:t>胡桃木纹六门</w:t>
            </w:r>
            <w:r>
              <w:rPr>
                <w:rFonts w:hint="eastAsia" w:ascii="方正仿宋_GB2312" w:hAnsi="方正仿宋_GB2312" w:eastAsia="方正仿宋_GB2312" w:cs="方正仿宋_GB2312"/>
                <w:color w:val="auto"/>
                <w:sz w:val="21"/>
                <w:szCs w:val="21"/>
                <w:highlight w:val="none"/>
                <w:lang w:val="en-US"/>
              </w:rPr>
              <w:t>文件柜</w:t>
            </w:r>
          </w:p>
        </w:tc>
        <w:tc>
          <w:tcPr>
            <w:tcW w:w="1160" w:type="dxa"/>
            <w:shd w:val="clear" w:color="auto" w:fill="FFFFFF"/>
            <w:noWrap w:val="0"/>
            <w:vAlign w:val="center"/>
          </w:tcPr>
          <w:p w14:paraId="776E2EF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bidi="ar"/>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bidi="ar"/>
              </w:rPr>
              <w:t>1350*400*2000</w:t>
            </w:r>
          </w:p>
        </w:tc>
        <w:tc>
          <w:tcPr>
            <w:tcW w:w="5350" w:type="dxa"/>
            <w:vMerge w:val="continue"/>
            <w:shd w:val="clear" w:color="auto" w:fill="FFFFFF"/>
            <w:noWrap w:val="0"/>
            <w:vAlign w:val="top"/>
          </w:tcPr>
          <w:p w14:paraId="4BE2D3E3">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p>
        </w:tc>
      </w:tr>
      <w:tr w14:paraId="3668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1" w:hRule="atLeast"/>
        </w:trPr>
        <w:tc>
          <w:tcPr>
            <w:tcW w:w="580" w:type="dxa"/>
            <w:shd w:val="clear" w:color="auto" w:fill="FFFFFF"/>
            <w:noWrap w:val="0"/>
            <w:vAlign w:val="center"/>
          </w:tcPr>
          <w:p w14:paraId="6E3A7CF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3</w:t>
            </w:r>
          </w:p>
        </w:tc>
        <w:tc>
          <w:tcPr>
            <w:tcW w:w="2800" w:type="dxa"/>
            <w:shd w:val="clear" w:color="auto" w:fill="FFFFFF"/>
            <w:noWrap w:val="0"/>
            <w:vAlign w:val="center"/>
          </w:tcPr>
          <w:p w14:paraId="01777B85">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1.2m办公桌</w:t>
            </w:r>
            <w:r>
              <w:rPr>
                <w:rFonts w:hint="eastAsia" w:ascii="方正仿宋_GB2312" w:hAnsi="方正仿宋_GB2312" w:eastAsia="方正仿宋_GB2312" w:cs="方正仿宋_GB2312"/>
                <w:color w:val="auto"/>
                <w:kern w:val="0"/>
                <w:sz w:val="21"/>
                <w:szCs w:val="21"/>
                <w:highlight w:val="none"/>
              </w:rPr>
              <w:drawing>
                <wp:anchor distT="0" distB="0" distL="114300" distR="114300" simplePos="0" relativeHeight="251662336" behindDoc="0" locked="0" layoutInCell="1" allowOverlap="1">
                  <wp:simplePos x="0" y="0"/>
                  <wp:positionH relativeFrom="column">
                    <wp:posOffset>107315</wp:posOffset>
                  </wp:positionH>
                  <wp:positionV relativeFrom="paragraph">
                    <wp:posOffset>346075</wp:posOffset>
                  </wp:positionV>
                  <wp:extent cx="1373505" cy="812800"/>
                  <wp:effectExtent l="0" t="0" r="13335" b="10160"/>
                  <wp:wrapTopAndBottom/>
                  <wp:docPr id="24" name="图片 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descr="IMG_263"/>
                          <pic:cNvPicPr>
                            <a:picLocks noChangeAspect="1"/>
                          </pic:cNvPicPr>
                        </pic:nvPicPr>
                        <pic:blipFill>
                          <a:blip r:embed="rId6"/>
                          <a:stretch>
                            <a:fillRect/>
                          </a:stretch>
                        </pic:blipFill>
                        <pic:spPr>
                          <a:xfrm>
                            <a:off x="0" y="0"/>
                            <a:ext cx="1373505" cy="812800"/>
                          </a:xfrm>
                          <a:prstGeom prst="rect">
                            <a:avLst/>
                          </a:prstGeom>
                          <a:noFill/>
                          <a:ln>
                            <a:noFill/>
                          </a:ln>
                        </pic:spPr>
                      </pic:pic>
                    </a:graphicData>
                  </a:graphic>
                </wp:anchor>
              </w:drawing>
            </w:r>
          </w:p>
        </w:tc>
        <w:tc>
          <w:tcPr>
            <w:tcW w:w="1160" w:type="dxa"/>
            <w:shd w:val="clear" w:color="auto" w:fill="FFFFFF"/>
            <w:noWrap w:val="0"/>
            <w:vAlign w:val="center"/>
          </w:tcPr>
          <w:p w14:paraId="7F3ADC4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bidi="ar"/>
              </w:rPr>
            </w:pPr>
            <w:r>
              <w:rPr>
                <w:rFonts w:hint="eastAsia" w:ascii="方正仿宋_GB2312" w:hAnsi="方正仿宋_GB2312" w:eastAsia="方正仿宋_GB2312" w:cs="方正仿宋_GB2312"/>
                <w:color w:val="auto"/>
                <w:sz w:val="21"/>
                <w:szCs w:val="21"/>
                <w:highlight w:val="none"/>
                <w:lang w:val="en-US" w:bidi="ar"/>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bidi="ar"/>
              </w:rPr>
              <w:t>1200*600*750</w:t>
            </w:r>
          </w:p>
        </w:tc>
        <w:tc>
          <w:tcPr>
            <w:tcW w:w="5350" w:type="dxa"/>
            <w:vMerge w:val="restart"/>
            <w:shd w:val="clear" w:color="auto" w:fill="FFFFFF"/>
            <w:noWrap w:val="0"/>
            <w:vAlign w:val="top"/>
          </w:tcPr>
          <w:p w14:paraId="01ED6D0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1、整体结构：办公桌共有5个带锁抽屉，1个封闭式带锁柜体共计6个储物区域。颜色：通体灰白色/通体深胡桃木色。</w:t>
            </w:r>
          </w:p>
          <w:p w14:paraId="060FC629">
            <w:pPr>
              <w:keepNext w:val="0"/>
              <w:keepLines w:val="0"/>
              <w:pageBreakBefore w:val="0"/>
              <w:widowControl/>
              <w:numPr>
                <w:ilvl w:val="0"/>
                <w:numId w:val="0"/>
              </w:numPr>
              <w:kinsoku/>
              <w:wordWrap/>
              <w:overflowPunct/>
              <w:topLinePunct w:val="0"/>
              <w:autoSpaceDE/>
              <w:autoSpaceDN/>
              <w:bidi w:val="0"/>
              <w:adjustRightInd/>
              <w:snapToGrid/>
              <w:spacing w:line="0" w:lineRule="atLeast"/>
              <w:ind w:right="0" w:rightChars="0"/>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整体结构。</w:t>
            </w:r>
          </w:p>
          <w:p w14:paraId="2CA5E2F1">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2、基材：板材采用三聚氰胺板，台面、侧脚厚度≥50mm，副柜面、底板厚度≥25mm，其余部件厚度≥16mm。</w:t>
            </w:r>
          </w:p>
          <w:p w14:paraId="33D0BC92">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3、工艺要求：台面与侧脚采用连接件做斜45度拼接，副柜侧板采用金属包边，抽面采用隐形斜边拉手。板件全部四周均需进行封边处理；其中板件厚度≥20mm的，应采用厚度≥2.0mm的PVC封边条；板件厚度＜20mm的，应采用厚度≥1.0mm的PVC封边条。</w:t>
            </w:r>
          </w:p>
          <w:p w14:paraId="5830C2F9">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4、三聚氰胺板：</w:t>
            </w:r>
          </w:p>
          <w:p w14:paraId="014E1526">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①物理力学性能：</w:t>
            </w:r>
          </w:p>
          <w:p w14:paraId="607A5869">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15102-2017《浸渍胶膜纸饰面纤维板和刨花板》，静曲强度≥18MPa，弹性模量≥3500MPa，内结合强度≥0.45MPa，表面胶合强度≥0.80MPa，2h吸水厚度膨胀率≤8%。</w:t>
            </w:r>
          </w:p>
          <w:p w14:paraId="27630391">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②表面理化性能：</w:t>
            </w:r>
          </w:p>
          <w:p w14:paraId="4599C3BB">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15102-2017，表面耐干热、表面耐龟裂、表面耐水蒸气均达到 4 级以上；表面耐污染腐蚀达到 4 级以上；表面耐香烟灼烧达到 4 级以上；表面耐磨磨耗值≤350r/100r（转数越低越耐磨）；耐光色牢度≥4级（灰度卡）。</w:t>
            </w:r>
          </w:p>
          <w:p w14:paraId="30113D1E">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③环保健康性能：</w:t>
            </w:r>
          </w:p>
          <w:p w14:paraId="4E1E4EB1">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39600-2021《人造板及其制品甲醛释放量分级》，甲醛释放限量达到 ENF级（≤0.025 mg/m³）；依据 GB/T 35601-2024《绿色产品评价 人造板和木质地板》，挥发性有机化合物释放浓度（7d）苯≤2μg/m³、甲苯≤20μg/m³、二甲苯≤20μg/m³、总挥发性有机化合物（TVOC）≤200μg/m³。</w:t>
            </w:r>
          </w:p>
          <w:p w14:paraId="3068FC14">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④抗菌防霉性能：</w:t>
            </w:r>
          </w:p>
          <w:p w14:paraId="04A44210">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JC/T 2039-2010《抗菌防霉木质装饰板》，对大肠杆菌、金黄色葡萄球菌等常见细菌的抗菌率≥90%；黑曲霉、黄曲霉、桔青霉的防霉菌等级达到 0 级（最高防霉等级）。</w:t>
            </w:r>
          </w:p>
          <w:p w14:paraId="0311B955">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⑤防火安全性能：</w:t>
            </w:r>
          </w:p>
          <w:p w14:paraId="323B5CCB">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 8624-2012《建筑材料及制品燃烧性能分级》，燃烧性能等级达到 B1级（难燃材料）；依据 GB/T 20285-2006《材料产烟毒性危险分级》，产烟毒性危险分级达到准安全一级（ZA1）。</w:t>
            </w:r>
          </w:p>
          <w:p w14:paraId="7AB562AC">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5、封边条</w:t>
            </w:r>
          </w:p>
          <w:p w14:paraId="48DA6018">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①采用优质环保 PVC/ABS 封边条。依据 QB/T 4463-2013《家具用封边条技术要求》及相关国家标准：</w:t>
            </w:r>
          </w:p>
          <w:p w14:paraId="654A4037">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②环保性能：甲醛释放量、氯乙烯单体、可迁移元素（铅、镉、铬、汞等）、邻苯二甲酸酯（塑化剂）均需未检出。</w:t>
            </w:r>
          </w:p>
          <w:p w14:paraId="2D37F86A">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③抗菌防霉：抗菌率≥90%，防霉等级达到0级。</w:t>
            </w:r>
          </w:p>
          <w:p w14:paraId="4B5FF5D5">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④理化性能：耐干热性、耐开裂性、耐老化性测试合格；耐磨性磨30转后无露底；耐光色牢度≥4级。</w:t>
            </w:r>
          </w:p>
          <w:p w14:paraId="7BBF6011">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6、</w:t>
            </w:r>
            <w:r>
              <w:rPr>
                <w:rFonts w:hint="eastAsia" w:ascii="方正仿宋_GB2312" w:hAnsi="方正仿宋_GB2312" w:eastAsia="方正仿宋_GB2312" w:cs="方正仿宋_GB2312"/>
                <w:b w:val="0"/>
                <w:bCs w:val="0"/>
                <w:color w:val="auto"/>
                <w:sz w:val="21"/>
                <w:szCs w:val="21"/>
                <w:highlight w:val="none"/>
                <w:lang w:val="en-US"/>
              </w:rPr>
              <w:t>五金件</w:t>
            </w:r>
          </w:p>
          <w:p w14:paraId="20D3953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①</w:t>
            </w:r>
            <w:r>
              <w:rPr>
                <w:rFonts w:hint="eastAsia" w:ascii="方正仿宋_GB2312" w:hAnsi="方正仿宋_GB2312" w:eastAsia="方正仿宋_GB2312" w:cs="方正仿宋_GB2312"/>
                <w:color w:val="auto"/>
                <w:szCs w:val="21"/>
                <w:highlight w:val="none"/>
              </w:rPr>
              <w:t>铰链（门铰）</w:t>
            </w:r>
          </w:p>
          <w:p w14:paraId="4803D42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执行标准：符合现行国家标准或行业标准（如QB/T2189）中关于杯状暗铰链的技术要求。</w:t>
            </w:r>
          </w:p>
          <w:p w14:paraId="05C53FD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auto"/>
                <w:szCs w:val="21"/>
                <w:highlight w:val="none"/>
              </w:rPr>
              <w:t>耐久性测试循环次数≥50,000次，试验后铰链功能正常，无断裂、无卡滞，门板下沉量符合标准要求。</w:t>
            </w:r>
          </w:p>
          <w:p w14:paraId="06F46E2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耐腐蚀性：依据GB/T10125进行中性盐雾试验（NSS）≥48小时，保护评级（Rp）≥9级（表面无红锈）。</w:t>
            </w:r>
          </w:p>
          <w:p w14:paraId="4F7A2C8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②</w:t>
            </w:r>
            <w:r>
              <w:rPr>
                <w:rFonts w:hint="eastAsia" w:ascii="方正仿宋_GB2312" w:hAnsi="方正仿宋_GB2312" w:eastAsia="方正仿宋_GB2312" w:cs="方正仿宋_GB2312"/>
                <w:color w:val="auto"/>
                <w:szCs w:val="21"/>
                <w:highlight w:val="none"/>
              </w:rPr>
              <w:t>导轨（抽屉滑轨）</w:t>
            </w:r>
          </w:p>
          <w:p w14:paraId="3E4D04C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执行标准：符合现行国家标准或行业标准（如QB/T2454）关于抽屉导轨的技术要求。</w:t>
            </w:r>
          </w:p>
          <w:p w14:paraId="57E2A4B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性能要求：垂直向下静载荷≥200N（确保抽屉满载不变形），水平侧向稳定性测试合格。</w:t>
            </w:r>
          </w:p>
          <w:p w14:paraId="1ACF3C1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耐久性：循环测试≥80,000次无损坏，抽拉顺畅。</w:t>
            </w:r>
          </w:p>
          <w:p w14:paraId="68AA5D7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③</w:t>
            </w:r>
            <w:r>
              <w:rPr>
                <w:rFonts w:hint="eastAsia" w:ascii="方正仿宋_GB2312" w:hAnsi="方正仿宋_GB2312" w:eastAsia="方正仿宋_GB2312" w:cs="方正仿宋_GB2312"/>
                <w:color w:val="auto"/>
                <w:szCs w:val="21"/>
                <w:highlight w:val="none"/>
              </w:rPr>
              <w:t>连接件（三合一/二合一）</w:t>
            </w:r>
          </w:p>
          <w:p w14:paraId="33C0FCC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执行标准：符合现行国家标准（如GB/T28203）关于家具连接件的技术要求。</w:t>
            </w:r>
          </w:p>
          <w:p w14:paraId="67CE0C2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力学性能：偏心体抗拉强度≥250N，预埋件抗拔力≥600N，确保柜体连接牢固，长期使用不松动。</w:t>
            </w:r>
          </w:p>
          <w:p w14:paraId="31659AB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④</w:t>
            </w:r>
            <w:r>
              <w:rPr>
                <w:rFonts w:hint="eastAsia" w:ascii="方正仿宋_GB2312" w:hAnsi="方正仿宋_GB2312" w:eastAsia="方正仿宋_GB2312" w:cs="方正仿宋_GB2312"/>
                <w:color w:val="auto"/>
                <w:szCs w:val="21"/>
                <w:highlight w:val="none"/>
              </w:rPr>
              <w:t>锁具执行标准：符合QB/T1621《家具锁》标准。</w:t>
            </w:r>
          </w:p>
          <w:p w14:paraId="006C715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通用要求：开启灵活，无卡滞，互开率符合标准要求（≤0.5%），具备基本的防撬结构。</w:t>
            </w:r>
          </w:p>
          <w:p w14:paraId="1225816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⑤</w:t>
            </w:r>
            <w:r>
              <w:rPr>
                <w:rFonts w:hint="eastAsia" w:ascii="方正仿宋_GB2312" w:hAnsi="方正仿宋_GB2312" w:eastAsia="方正仿宋_GB2312" w:cs="方正仿宋_GB2312"/>
                <w:color w:val="auto"/>
                <w:szCs w:val="21"/>
                <w:highlight w:val="none"/>
              </w:rPr>
              <w:t>金属表面处理与耐腐蚀</w:t>
            </w:r>
          </w:p>
          <w:p w14:paraId="65DC1B6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盐雾试验：所有金属五金件（含铰链、导轨、拉手、连接件等）须通过GB/T10125</w:t>
            </w:r>
            <w:r>
              <w:rPr>
                <w:rFonts w:hint="eastAsia" w:ascii="方正仿宋_GB2312" w:hAnsi="方正仿宋_GB2312" w:eastAsia="方正仿宋_GB2312" w:cs="方正仿宋_GB2312"/>
                <w:color w:val="auto"/>
                <w:szCs w:val="21"/>
                <w:highlight w:val="none"/>
                <w:lang w:val="en-US" w:eastAsia="zh-CN"/>
              </w:rPr>
              <w:t>-2021</w:t>
            </w:r>
            <w:r>
              <w:rPr>
                <w:rFonts w:hint="eastAsia" w:ascii="方正仿宋_GB2312" w:hAnsi="方正仿宋_GB2312" w:eastAsia="方正仿宋_GB2312" w:cs="方正仿宋_GB2312"/>
                <w:color w:val="auto"/>
                <w:szCs w:val="21"/>
                <w:highlight w:val="none"/>
              </w:rPr>
              <w:t>中性盐雾试验</w:t>
            </w:r>
            <w:r>
              <w:rPr>
                <w:rFonts w:hint="eastAsia" w:ascii="方正仿宋_GB2312" w:hAnsi="方正仿宋_GB2312" w:eastAsia="方正仿宋_GB2312" w:cs="方正仿宋_GB2312"/>
                <w:color w:val="auto"/>
                <w:szCs w:val="21"/>
                <w:highlight w:val="none"/>
                <w:lang w:val="en-US" w:eastAsia="zh-CN"/>
              </w:rPr>
              <w:t xml:space="preserve"> </w:t>
            </w:r>
            <w:r>
              <w:rPr>
                <w:rFonts w:hint="eastAsia" w:ascii="方正仿宋_GB2312" w:hAnsi="方正仿宋_GB2312" w:eastAsia="方正仿宋_GB2312" w:cs="方正仿宋_GB2312"/>
                <w:color w:val="auto"/>
                <w:szCs w:val="21"/>
                <w:highlight w:val="none"/>
              </w:rPr>
              <w:t>保护评级（Rp）≥</w:t>
            </w:r>
            <w:r>
              <w:rPr>
                <w:rFonts w:hint="eastAsia" w:ascii="方正仿宋_GB2312" w:hAnsi="方正仿宋_GB2312" w:eastAsia="方正仿宋_GB2312" w:cs="方正仿宋_GB2312"/>
                <w:color w:val="auto"/>
                <w:szCs w:val="21"/>
                <w:highlight w:val="none"/>
                <w:lang w:eastAsia="zh-CN"/>
              </w:rPr>
              <w:t>1</w:t>
            </w:r>
            <w:r>
              <w:rPr>
                <w:rFonts w:hint="eastAsia" w:ascii="方正仿宋_GB2312" w:hAnsi="方正仿宋_GB2312" w:eastAsia="方正仿宋_GB2312" w:cs="方正仿宋_GB2312"/>
                <w:color w:val="auto"/>
                <w:szCs w:val="21"/>
                <w:highlight w:val="none"/>
                <w:lang w:val="en-US" w:eastAsia="zh-CN"/>
              </w:rPr>
              <w:t>0</w:t>
            </w:r>
            <w:r>
              <w:rPr>
                <w:rFonts w:hint="eastAsia" w:ascii="方正仿宋_GB2312" w:hAnsi="方正仿宋_GB2312" w:eastAsia="方正仿宋_GB2312" w:cs="方正仿宋_GB2312"/>
                <w:color w:val="auto"/>
                <w:szCs w:val="21"/>
                <w:highlight w:val="none"/>
              </w:rPr>
              <w:t>级。</w:t>
            </w:r>
          </w:p>
          <w:p w14:paraId="7B0A5AA8">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color w:val="auto"/>
                <w:szCs w:val="21"/>
                <w:highlight w:val="none"/>
                <w:lang w:val="en-US" w:eastAsia="zh-CN"/>
              </w:rPr>
              <w:t>⑥</w:t>
            </w:r>
            <w:r>
              <w:rPr>
                <w:rFonts w:hint="eastAsia" w:ascii="方正仿宋_GB2312" w:hAnsi="方正仿宋_GB2312" w:eastAsia="方正仿宋_GB2312" w:cs="方正仿宋_GB2312"/>
                <w:color w:val="auto"/>
                <w:szCs w:val="21"/>
                <w:highlight w:val="none"/>
              </w:rPr>
              <w:t>环保工艺：电镀层须采用环保三价铬工艺（符合GB/T26572），严禁使用六价铬；涂层附着力达到GB/T9286标准的1级</w:t>
            </w:r>
            <w:r>
              <w:rPr>
                <w:rFonts w:hint="eastAsia" w:ascii="方正仿宋_GB2312" w:hAnsi="方正仿宋_GB2312" w:eastAsia="方正仿宋_GB2312" w:cs="方正仿宋_GB2312"/>
                <w:color w:val="auto"/>
                <w:szCs w:val="21"/>
                <w:highlight w:val="none"/>
                <w:lang w:val="en-US" w:eastAsia="zh-CN"/>
              </w:rPr>
              <w:t>及以上</w:t>
            </w:r>
            <w:r>
              <w:rPr>
                <w:rFonts w:hint="eastAsia" w:ascii="方正仿宋_GB2312" w:hAnsi="方正仿宋_GB2312" w:eastAsia="方正仿宋_GB2312" w:cs="方正仿宋_GB2312"/>
                <w:color w:val="auto"/>
                <w:szCs w:val="21"/>
                <w:highlight w:val="none"/>
              </w:rPr>
              <w:t>。</w:t>
            </w:r>
          </w:p>
        </w:tc>
      </w:tr>
      <w:tr w14:paraId="55B4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580" w:type="dxa"/>
            <w:shd w:val="clear" w:color="auto" w:fill="FFFFFF"/>
            <w:noWrap w:val="0"/>
            <w:vAlign w:val="center"/>
          </w:tcPr>
          <w:p w14:paraId="0210D63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4</w:t>
            </w:r>
          </w:p>
        </w:tc>
        <w:tc>
          <w:tcPr>
            <w:tcW w:w="2800" w:type="dxa"/>
            <w:shd w:val="clear" w:color="auto" w:fill="FFFFFF"/>
            <w:noWrap w:val="0"/>
            <w:vAlign w:val="center"/>
          </w:tcPr>
          <w:p w14:paraId="2DBA1019">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1.4m办公桌</w:t>
            </w:r>
            <w:r>
              <w:rPr>
                <w:rFonts w:hint="eastAsia" w:ascii="方正仿宋_GB2312" w:hAnsi="方正仿宋_GB2312" w:eastAsia="方正仿宋_GB2312" w:cs="方正仿宋_GB2312"/>
                <w:color w:val="auto"/>
                <w:kern w:val="0"/>
                <w:sz w:val="21"/>
                <w:szCs w:val="21"/>
                <w:highlight w:val="none"/>
              </w:rPr>
              <w:drawing>
                <wp:anchor distT="0" distB="0" distL="114300" distR="114300" simplePos="0" relativeHeight="251663360" behindDoc="0" locked="0" layoutInCell="1" allowOverlap="1">
                  <wp:simplePos x="0" y="0"/>
                  <wp:positionH relativeFrom="column">
                    <wp:posOffset>107315</wp:posOffset>
                  </wp:positionH>
                  <wp:positionV relativeFrom="paragraph">
                    <wp:posOffset>247015</wp:posOffset>
                  </wp:positionV>
                  <wp:extent cx="1373505" cy="812800"/>
                  <wp:effectExtent l="0" t="0" r="13335" b="10160"/>
                  <wp:wrapTopAndBottom/>
                  <wp:docPr id="26" name="图片 1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descr="IMG_263"/>
                          <pic:cNvPicPr>
                            <a:picLocks noChangeAspect="1"/>
                          </pic:cNvPicPr>
                        </pic:nvPicPr>
                        <pic:blipFill>
                          <a:blip r:embed="rId6"/>
                          <a:stretch>
                            <a:fillRect/>
                          </a:stretch>
                        </pic:blipFill>
                        <pic:spPr>
                          <a:xfrm>
                            <a:off x="0" y="0"/>
                            <a:ext cx="1373505" cy="812800"/>
                          </a:xfrm>
                          <a:prstGeom prst="rect">
                            <a:avLst/>
                          </a:prstGeom>
                          <a:noFill/>
                          <a:ln>
                            <a:noFill/>
                          </a:ln>
                        </pic:spPr>
                      </pic:pic>
                    </a:graphicData>
                  </a:graphic>
                </wp:anchor>
              </w:drawing>
            </w:r>
          </w:p>
        </w:tc>
        <w:tc>
          <w:tcPr>
            <w:tcW w:w="1160" w:type="dxa"/>
            <w:shd w:val="clear" w:color="auto" w:fill="FFFFFF"/>
            <w:noWrap w:val="0"/>
            <w:vAlign w:val="center"/>
          </w:tcPr>
          <w:p w14:paraId="688C83A6">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color w:val="auto"/>
                <w:sz w:val="21"/>
                <w:szCs w:val="21"/>
                <w:highlight w:val="none"/>
                <w:lang w:val="en-US" w:bidi="ar"/>
              </w:rPr>
            </w:pPr>
            <w:r>
              <w:rPr>
                <w:rFonts w:hint="eastAsia" w:ascii="方正仿宋_GB2312" w:hAnsi="方正仿宋_GB2312" w:eastAsia="方正仿宋_GB2312" w:cs="方正仿宋_GB2312"/>
                <w:color w:val="auto"/>
                <w:sz w:val="21"/>
                <w:szCs w:val="21"/>
                <w:highlight w:val="none"/>
                <w:lang w:val="en-US" w:bidi="ar"/>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bidi="ar"/>
              </w:rPr>
              <w:t>1400*700*750</w:t>
            </w:r>
          </w:p>
        </w:tc>
        <w:tc>
          <w:tcPr>
            <w:tcW w:w="5350" w:type="dxa"/>
            <w:vMerge w:val="continue"/>
            <w:shd w:val="clear" w:color="auto" w:fill="FFFFFF"/>
            <w:noWrap w:val="0"/>
            <w:vAlign w:val="top"/>
          </w:tcPr>
          <w:p w14:paraId="0CBCFC7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bidi="ar"/>
              </w:rPr>
            </w:pPr>
          </w:p>
        </w:tc>
      </w:tr>
      <w:tr w14:paraId="7450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4DA1393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eastAsia="zh-CN"/>
              </w:rPr>
            </w:pPr>
            <w:r>
              <w:rPr>
                <w:rFonts w:hint="eastAsia" w:ascii="方正仿宋_GB2312" w:hAnsi="方正仿宋_GB2312" w:eastAsia="方正仿宋_GB2312" w:cs="方正仿宋_GB2312"/>
                <w:color w:val="auto"/>
                <w:sz w:val="21"/>
                <w:szCs w:val="21"/>
                <w:highlight w:val="none"/>
                <w:lang w:val="en-US" w:eastAsia="zh-CN" w:bidi="ar"/>
              </w:rPr>
              <w:t>5</w:t>
            </w:r>
          </w:p>
        </w:tc>
        <w:tc>
          <w:tcPr>
            <w:tcW w:w="2800" w:type="dxa"/>
            <w:shd w:val="clear" w:color="auto" w:fill="FFFFFF"/>
            <w:noWrap w:val="0"/>
            <w:vAlign w:val="center"/>
          </w:tcPr>
          <w:p w14:paraId="42E4319F">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64384" behindDoc="0" locked="0" layoutInCell="1" allowOverlap="1">
                  <wp:simplePos x="0" y="0"/>
                  <wp:positionH relativeFrom="column">
                    <wp:posOffset>126365</wp:posOffset>
                  </wp:positionH>
                  <wp:positionV relativeFrom="paragraph">
                    <wp:posOffset>688975</wp:posOffset>
                  </wp:positionV>
                  <wp:extent cx="1362710" cy="1163320"/>
                  <wp:effectExtent l="0" t="0" r="8890" b="10160"/>
                  <wp:wrapTopAndBottom/>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7">
                            <a:lum bright="6000"/>
                          </a:blip>
                          <a:stretch>
                            <a:fillRect/>
                          </a:stretch>
                        </pic:blipFill>
                        <pic:spPr>
                          <a:xfrm>
                            <a:off x="0" y="0"/>
                            <a:ext cx="1362710" cy="1163320"/>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eastAsia="zh-CN"/>
              </w:rPr>
              <w:t>1.2m</w:t>
            </w:r>
            <w:r>
              <w:rPr>
                <w:rFonts w:hint="eastAsia" w:ascii="方正仿宋_GB2312" w:hAnsi="方正仿宋_GB2312" w:eastAsia="方正仿宋_GB2312" w:cs="方正仿宋_GB2312"/>
                <w:color w:val="auto"/>
                <w:sz w:val="21"/>
                <w:szCs w:val="21"/>
                <w:highlight w:val="none"/>
                <w:lang w:val="en-US"/>
              </w:rPr>
              <w:t>电脑桌</w:t>
            </w:r>
          </w:p>
        </w:tc>
        <w:tc>
          <w:tcPr>
            <w:tcW w:w="1160" w:type="dxa"/>
            <w:shd w:val="clear" w:color="auto" w:fill="FFFFFF"/>
            <w:noWrap w:val="0"/>
            <w:vAlign w:val="center"/>
          </w:tcPr>
          <w:p w14:paraId="2F732F3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lang w:val="en-US" w:eastAsia="zh-CN"/>
              </w:rPr>
              <w:t>：</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rPr>
              <w:t>1200*600*750</w:t>
            </w:r>
          </w:p>
        </w:tc>
        <w:tc>
          <w:tcPr>
            <w:tcW w:w="5350" w:type="dxa"/>
            <w:vMerge w:val="restart"/>
            <w:shd w:val="clear" w:color="auto" w:fill="FFFFFF"/>
            <w:noWrap w:val="0"/>
            <w:vAlign w:val="top"/>
          </w:tcPr>
          <w:p w14:paraId="42BDFA6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1、（1）1.2m电脑桌与1.4m电脑桌整体结构</w:t>
            </w:r>
            <w:r>
              <w:rPr>
                <w:rFonts w:hint="eastAsia" w:ascii="方正仿宋_GB2312" w:hAnsi="方正仿宋_GB2312" w:eastAsia="方正仿宋_GB2312" w:cs="方正仿宋_GB2312"/>
                <w:color w:val="auto"/>
                <w:sz w:val="21"/>
                <w:szCs w:val="21"/>
                <w:highlight w:val="none"/>
                <w:lang w:val="en-US" w:eastAsia="zh-CN"/>
              </w:rPr>
              <w:t>整体结构和颜色：电脑桌共有4个带锁抽屉，1个开放式主机放置区域，1个键盘抽。颜色：通体灰白色/通体深胡桃木色，桌面书写区域黑色</w:t>
            </w:r>
          </w:p>
          <w:p w14:paraId="1D134111">
            <w:pPr>
              <w:pStyle w:val="4"/>
              <w:keepNext w:val="0"/>
              <w:keepLines w:val="0"/>
              <w:pageBreakBefore w:val="0"/>
              <w:kinsoku/>
              <w:wordWrap/>
              <w:overflowPunct/>
              <w:topLinePunct w:val="0"/>
              <w:autoSpaceDE/>
              <w:autoSpaceDN/>
              <w:bidi w:val="0"/>
              <w:adjustRightInd/>
              <w:snapToGrid/>
              <w:spacing w:after="0" w:line="0" w:lineRule="atLeast"/>
              <w:rPr>
                <w:rFonts w:hint="eastAsia" w:ascii="方正仿宋_GB2312" w:hAnsi="方正仿宋_GB2312" w:eastAsia="方正仿宋_GB2312" w:cs="方正仿宋_GB2312"/>
                <w:color w:val="auto"/>
                <w:kern w:val="2"/>
                <w:sz w:val="21"/>
                <w:szCs w:val="21"/>
                <w:highlight w:val="none"/>
                <w:lang w:val="en-US" w:eastAsia="zh-CN" w:bidi="ar-SA"/>
              </w:rPr>
            </w:pPr>
            <w:r>
              <w:rPr>
                <w:rFonts w:hint="eastAsia" w:ascii="方正仿宋_GB2312" w:hAnsi="方正仿宋_GB2312" w:eastAsia="方正仿宋_GB2312" w:cs="方正仿宋_GB2312"/>
                <w:color w:val="auto"/>
                <w:kern w:val="2"/>
                <w:sz w:val="21"/>
                <w:szCs w:val="21"/>
                <w:highlight w:val="none"/>
                <w:lang w:val="en-US" w:eastAsia="zh-CN" w:bidi="ar-SA"/>
              </w:rPr>
              <w:t>（2）茶水柜整体结构：两个抽屉，下部双面储物格带一张活动隔板。</w:t>
            </w:r>
          </w:p>
          <w:p w14:paraId="66EA9F13">
            <w:pPr>
              <w:keepNext w:val="0"/>
              <w:keepLines w:val="0"/>
              <w:pageBreakBefore w:val="0"/>
              <w:widowControl/>
              <w:numPr>
                <w:ilvl w:val="0"/>
                <w:numId w:val="0"/>
              </w:numPr>
              <w:kinsoku/>
              <w:wordWrap/>
              <w:overflowPunct/>
              <w:topLinePunct w:val="0"/>
              <w:autoSpaceDE/>
              <w:autoSpaceDN/>
              <w:bidi w:val="0"/>
              <w:adjustRightInd/>
              <w:snapToGrid/>
              <w:spacing w:line="0" w:lineRule="atLeast"/>
              <w:ind w:right="0" w:rightChars="0"/>
              <w:jc w:val="left"/>
              <w:textAlignment w:val="center"/>
              <w:rPr>
                <w:rFonts w:hint="eastAsia" w:ascii="方正仿宋_GB2312" w:hAnsi="方正仿宋_GB2312" w:eastAsia="方正仿宋_GB2312" w:cs="方正仿宋_GB2312"/>
                <w:b/>
                <w:bCs/>
                <w:color w:val="auto"/>
                <w:sz w:val="21"/>
                <w:szCs w:val="21"/>
                <w:highlight w:val="none"/>
                <w:lang w:val="en-US" w:eastAsia="zh-CN"/>
              </w:rPr>
            </w:pPr>
            <w:r>
              <w:rPr>
                <w:rFonts w:hint="eastAsia" w:ascii="方正仿宋_GB2312" w:hAnsi="方正仿宋_GB2312" w:eastAsia="方正仿宋_GB2312" w:cs="方正仿宋_GB2312"/>
                <w:b/>
                <w:bCs/>
                <w:color w:val="auto"/>
                <w:sz w:val="21"/>
                <w:szCs w:val="21"/>
                <w:highlight w:val="none"/>
                <w:lang w:val="en-US" w:eastAsia="zh-CN"/>
              </w:rPr>
              <w:t>1.2m电脑桌、1.4m电脑桌、茶水柜总技术要求：</w:t>
            </w:r>
          </w:p>
          <w:p w14:paraId="61A7E149">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1、基材：板材采用三聚氰胺板，台面、侧脚厚度≥50mm，副柜面、底板厚度≥25mm，其余部件厚度≥16mm。</w:t>
            </w:r>
          </w:p>
          <w:p w14:paraId="046D2E21">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2、工艺要求：台面与侧脚采用连接件做斜45度拼接，副柜侧板采用金属包边，抽面采用隐形斜边拉手。板件全部四周均需进行封边处理；其中板件厚度≥20mm的，应采用厚度≥2.0mm的PVC封边条；板件厚度＜20mm的，应采用厚度≥1.0mm的PVC封边条。</w:t>
            </w:r>
          </w:p>
          <w:p w14:paraId="366A6244">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3、三聚氰胺板：</w:t>
            </w:r>
          </w:p>
          <w:p w14:paraId="54F267A9">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①物理力学性能：</w:t>
            </w:r>
          </w:p>
          <w:p w14:paraId="725C5E6F">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15102-2017《浸渍胶膜纸饰面纤维板和刨花板》，静曲强度≥18MPa，弹性模量≥3500MPa，内结合强度≥0.45MPa，表面胶合强度≥0.80MPa，2h吸水厚度膨胀率≤8%。</w:t>
            </w:r>
          </w:p>
          <w:p w14:paraId="503D399C">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②表面理化性能：</w:t>
            </w:r>
          </w:p>
          <w:p w14:paraId="69D06564">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15102-2017，表面耐干热、表面耐龟裂、表面耐水蒸气均达到 4 级以上；表面耐污染腐蚀达到 4 级以上；表面耐香烟灼烧达到 4 级以上；表面耐磨磨耗值≤350r/100r（转数越低越耐磨）；耐光色牢度≥4级（灰度卡）。</w:t>
            </w:r>
          </w:p>
          <w:p w14:paraId="2655B4BA">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③环保健康性能：</w:t>
            </w:r>
          </w:p>
          <w:p w14:paraId="5643C586">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39600-2021《人造板及其制品甲醛释放量分级》，甲醛释放限量达到 ENF级（≤0.025 mg/m³）；依据 GB/T 35601-2024《绿色产品评价 人造板和木质地板》，挥发性有机化合物释放浓度（7d）苯≤2μg/m³、甲苯≤20μg/m³、二甲苯≤20μg/m³、总挥发性有机化合物（TVOC）≤200μg/m³。</w:t>
            </w:r>
          </w:p>
          <w:p w14:paraId="1FB87D9C">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④抗菌防霉性能：</w:t>
            </w:r>
          </w:p>
          <w:p w14:paraId="249C035C">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JC/T 2039-2010《抗菌防霉木质装饰板》，对大肠杆菌、金黄色葡萄球菌等常见细菌的抗菌率≥90%；黑曲霉、黄曲霉、桔青霉的防霉菌等级达到 0 级（最高防霉等级）。</w:t>
            </w:r>
          </w:p>
          <w:p w14:paraId="6D918EC9">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⑤防火安全性能：</w:t>
            </w:r>
          </w:p>
          <w:p w14:paraId="75CE2200">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 8624-2012《建筑材料及制品燃烧性能分级》，燃烧性能等级达到 B1级（难燃材料）；依据 GB/T 20285-2006《材料产烟毒性危险分级》，产烟毒性危险分级达到准安全一级（ZA1）。</w:t>
            </w:r>
          </w:p>
          <w:p w14:paraId="4C3A1761">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4、封边条</w:t>
            </w:r>
          </w:p>
          <w:p w14:paraId="34B69BA9">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①采用优质环保 PVC/ABS 封边条。依据 QB/T 4463-2013《家具用封边条技术要求》及相关国家标准：</w:t>
            </w:r>
          </w:p>
          <w:p w14:paraId="6AE770E5">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②环保性能：甲醛释放量、氯乙烯单体、可迁移元素（铅、镉、铬、汞等）、邻苯二甲酸酯（塑化剂）均需未检出。</w:t>
            </w:r>
          </w:p>
          <w:p w14:paraId="27AB4F58">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③抗菌防霉：抗菌率≥90%，防霉等级达到0级。</w:t>
            </w:r>
          </w:p>
          <w:p w14:paraId="35CD0DBD">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④理化性能：耐干热性、耐开裂性、耐老化性测试合格；耐磨性磨30转后无露底；耐光色牢度≥4级。</w:t>
            </w:r>
          </w:p>
          <w:p w14:paraId="6C8FD0D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5、</w:t>
            </w:r>
            <w:r>
              <w:rPr>
                <w:rFonts w:hint="eastAsia" w:ascii="方正仿宋_GB2312" w:hAnsi="方正仿宋_GB2312" w:eastAsia="方正仿宋_GB2312" w:cs="方正仿宋_GB2312"/>
                <w:b w:val="0"/>
                <w:bCs w:val="0"/>
                <w:color w:val="auto"/>
                <w:sz w:val="21"/>
                <w:szCs w:val="21"/>
                <w:highlight w:val="none"/>
                <w:lang w:val="en-US"/>
              </w:rPr>
              <w:t>五金件</w:t>
            </w:r>
          </w:p>
          <w:p w14:paraId="220B209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①</w:t>
            </w:r>
            <w:r>
              <w:rPr>
                <w:rFonts w:hint="eastAsia" w:ascii="方正仿宋_GB2312" w:hAnsi="方正仿宋_GB2312" w:eastAsia="方正仿宋_GB2312" w:cs="方正仿宋_GB2312"/>
                <w:color w:val="auto"/>
                <w:szCs w:val="21"/>
                <w:highlight w:val="none"/>
              </w:rPr>
              <w:t>铰链（门铰）</w:t>
            </w:r>
          </w:p>
          <w:p w14:paraId="7146DFB2">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执行标准：符合现行国家标准或行业标准（如QB/T2189）中关于杯状暗铰链的技术要求。</w:t>
            </w:r>
          </w:p>
          <w:p w14:paraId="0189783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auto"/>
                <w:szCs w:val="21"/>
                <w:highlight w:val="none"/>
              </w:rPr>
              <w:t>耐久性测试循环次数≥50,000次，试验后铰链功能正常，无断裂、无卡滞，门板下沉量符合标准要求。</w:t>
            </w:r>
          </w:p>
          <w:p w14:paraId="417D439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耐腐蚀性：依据GB/T10125进行中性盐雾试验（NSS）≥48小时，保护评级（Rp）≥9级（表面无红锈）。</w:t>
            </w:r>
          </w:p>
          <w:p w14:paraId="5B88704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②</w:t>
            </w:r>
            <w:r>
              <w:rPr>
                <w:rFonts w:hint="eastAsia" w:ascii="方正仿宋_GB2312" w:hAnsi="方正仿宋_GB2312" w:eastAsia="方正仿宋_GB2312" w:cs="方正仿宋_GB2312"/>
                <w:color w:val="auto"/>
                <w:szCs w:val="21"/>
                <w:highlight w:val="none"/>
              </w:rPr>
              <w:t>导轨（抽屉滑轨）</w:t>
            </w:r>
          </w:p>
          <w:p w14:paraId="760037C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执行标准：符合现行国家标准或行业标准（如QB/T2454）关于抽屉导轨的技术要求。</w:t>
            </w:r>
          </w:p>
          <w:p w14:paraId="4FE2471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性能要求：垂直向下静载荷≥200N（确保抽屉满载不变形），水平侧向稳定性测试合格。</w:t>
            </w:r>
          </w:p>
          <w:p w14:paraId="2E1BA77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耐久性：循环测试≥80,000次无损坏，抽拉顺畅。</w:t>
            </w:r>
          </w:p>
          <w:p w14:paraId="291DA88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③</w:t>
            </w:r>
            <w:r>
              <w:rPr>
                <w:rFonts w:hint="eastAsia" w:ascii="方正仿宋_GB2312" w:hAnsi="方正仿宋_GB2312" w:eastAsia="方正仿宋_GB2312" w:cs="方正仿宋_GB2312"/>
                <w:color w:val="auto"/>
                <w:szCs w:val="21"/>
                <w:highlight w:val="none"/>
              </w:rPr>
              <w:t>连接件（三合一/二合一）</w:t>
            </w:r>
          </w:p>
          <w:p w14:paraId="33BD763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执行标准：符合现行国家标准（如GB/T28203）关于家具连接件的技术要求。</w:t>
            </w:r>
          </w:p>
          <w:p w14:paraId="4D2C906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力学性能：偏心体抗拉强度≥250N，预埋件抗拔力≥600N，确保柜体连接牢固，长期使用不松动。</w:t>
            </w:r>
          </w:p>
          <w:p w14:paraId="5DF457D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④</w:t>
            </w:r>
            <w:r>
              <w:rPr>
                <w:rFonts w:hint="eastAsia" w:ascii="方正仿宋_GB2312" w:hAnsi="方正仿宋_GB2312" w:eastAsia="方正仿宋_GB2312" w:cs="方正仿宋_GB2312"/>
                <w:color w:val="auto"/>
                <w:szCs w:val="21"/>
                <w:highlight w:val="none"/>
              </w:rPr>
              <w:t>锁具执行标准：符合QB/T1621《家具锁》标准。</w:t>
            </w:r>
          </w:p>
          <w:p w14:paraId="426AD67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color w:val="auto"/>
                <w:szCs w:val="21"/>
                <w:highlight w:val="none"/>
              </w:rPr>
              <w:t>通用要求：开启灵活，无卡滞，互开率符合标准要求（≤0.5%），具备基本的防撬结构。</w:t>
            </w:r>
          </w:p>
        </w:tc>
      </w:tr>
      <w:tr w14:paraId="5C12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1" w:hRule="atLeast"/>
        </w:trPr>
        <w:tc>
          <w:tcPr>
            <w:tcW w:w="580" w:type="dxa"/>
            <w:shd w:val="clear" w:color="auto" w:fill="FFFFFF"/>
            <w:noWrap w:val="0"/>
            <w:vAlign w:val="center"/>
          </w:tcPr>
          <w:p w14:paraId="46BED8F3">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eastAsia="zh-CN"/>
              </w:rPr>
            </w:pPr>
            <w:r>
              <w:rPr>
                <w:rFonts w:hint="eastAsia" w:ascii="方正仿宋_GB2312" w:hAnsi="方正仿宋_GB2312" w:eastAsia="方正仿宋_GB2312" w:cs="方正仿宋_GB2312"/>
                <w:color w:val="auto"/>
                <w:sz w:val="21"/>
                <w:szCs w:val="21"/>
                <w:highlight w:val="none"/>
                <w:lang w:val="en-US" w:eastAsia="zh-CN" w:bidi="ar"/>
              </w:rPr>
              <w:t>6</w:t>
            </w:r>
          </w:p>
        </w:tc>
        <w:tc>
          <w:tcPr>
            <w:tcW w:w="2800" w:type="dxa"/>
            <w:shd w:val="clear" w:color="auto" w:fill="FFFFFF"/>
            <w:noWrap w:val="0"/>
            <w:vAlign w:val="center"/>
          </w:tcPr>
          <w:p w14:paraId="0EAFC173">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65408" behindDoc="0" locked="0" layoutInCell="1" allowOverlap="1">
                  <wp:simplePos x="0" y="0"/>
                  <wp:positionH relativeFrom="column">
                    <wp:posOffset>126365</wp:posOffset>
                  </wp:positionH>
                  <wp:positionV relativeFrom="paragraph">
                    <wp:posOffset>111125</wp:posOffset>
                  </wp:positionV>
                  <wp:extent cx="1383665" cy="1181735"/>
                  <wp:effectExtent l="0" t="0" r="3175" b="6985"/>
                  <wp:wrapTopAndBottom/>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7">
                            <a:lum bright="6000"/>
                          </a:blip>
                          <a:stretch>
                            <a:fillRect/>
                          </a:stretch>
                        </pic:blipFill>
                        <pic:spPr>
                          <a:xfrm>
                            <a:off x="0" y="0"/>
                            <a:ext cx="1383665" cy="1181735"/>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eastAsia="zh-CN"/>
              </w:rPr>
              <w:t>1.4m</w:t>
            </w:r>
            <w:r>
              <w:rPr>
                <w:rFonts w:hint="eastAsia" w:ascii="方正仿宋_GB2312" w:hAnsi="方正仿宋_GB2312" w:eastAsia="方正仿宋_GB2312" w:cs="方正仿宋_GB2312"/>
                <w:color w:val="auto"/>
                <w:sz w:val="21"/>
                <w:szCs w:val="21"/>
                <w:highlight w:val="none"/>
                <w:lang w:val="en-US"/>
              </w:rPr>
              <w:t>电脑桌</w:t>
            </w:r>
          </w:p>
        </w:tc>
        <w:tc>
          <w:tcPr>
            <w:tcW w:w="1160" w:type="dxa"/>
            <w:shd w:val="clear" w:color="auto" w:fill="FFFFFF"/>
            <w:noWrap w:val="0"/>
            <w:vAlign w:val="center"/>
          </w:tcPr>
          <w:p w14:paraId="737B2FB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eastAsia="zh-CN"/>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rPr>
              <w:t>1400*700*750</w:t>
            </w:r>
          </w:p>
        </w:tc>
        <w:tc>
          <w:tcPr>
            <w:tcW w:w="5350" w:type="dxa"/>
            <w:vMerge w:val="continue"/>
            <w:shd w:val="clear" w:color="auto" w:fill="FFFFFF"/>
            <w:noWrap w:val="0"/>
            <w:vAlign w:val="top"/>
          </w:tcPr>
          <w:p w14:paraId="44EE632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p>
        </w:tc>
      </w:tr>
      <w:tr w14:paraId="1B84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580" w:type="dxa"/>
            <w:shd w:val="clear" w:color="auto" w:fill="FFFFFF"/>
            <w:noWrap w:val="0"/>
            <w:vAlign w:val="center"/>
          </w:tcPr>
          <w:p w14:paraId="75C63F96">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eastAsia="zh-CN"/>
              </w:rPr>
            </w:pPr>
            <w:r>
              <w:rPr>
                <w:rFonts w:hint="eastAsia" w:ascii="方正仿宋_GB2312" w:hAnsi="方正仿宋_GB2312" w:eastAsia="方正仿宋_GB2312" w:cs="方正仿宋_GB2312"/>
                <w:color w:val="auto"/>
                <w:sz w:val="21"/>
                <w:szCs w:val="21"/>
                <w:highlight w:val="none"/>
                <w:lang w:val="en-US" w:eastAsia="zh-CN" w:bidi="ar"/>
              </w:rPr>
              <w:t>7</w:t>
            </w:r>
          </w:p>
        </w:tc>
        <w:tc>
          <w:tcPr>
            <w:tcW w:w="2800" w:type="dxa"/>
            <w:shd w:val="clear" w:color="auto" w:fill="FFFFFF"/>
            <w:noWrap w:val="0"/>
            <w:vAlign w:val="center"/>
          </w:tcPr>
          <w:p w14:paraId="5D62B1C8">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66432" behindDoc="0" locked="0" layoutInCell="1" allowOverlap="1">
                  <wp:simplePos x="0" y="0"/>
                  <wp:positionH relativeFrom="column">
                    <wp:posOffset>342265</wp:posOffset>
                  </wp:positionH>
                  <wp:positionV relativeFrom="paragraph">
                    <wp:posOffset>307975</wp:posOffset>
                  </wp:positionV>
                  <wp:extent cx="883920" cy="1244600"/>
                  <wp:effectExtent l="0" t="0" r="0" b="5080"/>
                  <wp:wrapTopAndBottom/>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8">
                            <a:lum bright="6000"/>
                          </a:blip>
                          <a:stretch>
                            <a:fillRect/>
                          </a:stretch>
                        </pic:blipFill>
                        <pic:spPr>
                          <a:xfrm>
                            <a:off x="0" y="0"/>
                            <a:ext cx="883920" cy="1244600"/>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rPr>
              <w:t>茶水柜</w:t>
            </w:r>
          </w:p>
        </w:tc>
        <w:tc>
          <w:tcPr>
            <w:tcW w:w="1160" w:type="dxa"/>
            <w:shd w:val="clear" w:color="auto" w:fill="FFFFFF"/>
            <w:noWrap w:val="0"/>
            <w:vAlign w:val="center"/>
          </w:tcPr>
          <w:p w14:paraId="4696C6E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eastAsia="zh-CN"/>
              </w:rPr>
              <w:t>：</w:t>
            </w:r>
            <w:r>
              <w:rPr>
                <w:rFonts w:hint="eastAsia" w:ascii="方正仿宋_GB2312" w:hAnsi="方正仿宋_GB2312" w:eastAsia="方正仿宋_GB2312" w:cs="方正仿宋_GB2312"/>
                <w:color w:val="auto"/>
                <w:sz w:val="21"/>
                <w:szCs w:val="21"/>
                <w:highlight w:val="none"/>
                <w:lang w:val="en-US"/>
              </w:rPr>
              <w:t>600*400*800</w:t>
            </w:r>
          </w:p>
        </w:tc>
        <w:tc>
          <w:tcPr>
            <w:tcW w:w="5350" w:type="dxa"/>
            <w:vMerge w:val="continue"/>
            <w:shd w:val="clear" w:color="auto" w:fill="FFFFFF"/>
            <w:noWrap w:val="0"/>
            <w:vAlign w:val="top"/>
          </w:tcPr>
          <w:p w14:paraId="3552CD2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rPr>
            </w:pPr>
          </w:p>
        </w:tc>
      </w:tr>
      <w:tr w14:paraId="6AF2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0" w:type="dxa"/>
            <w:shd w:val="clear" w:color="auto" w:fill="FFFFFF"/>
            <w:noWrap w:val="0"/>
            <w:vAlign w:val="center"/>
          </w:tcPr>
          <w:p w14:paraId="4E3CF5C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8</w:t>
            </w:r>
          </w:p>
        </w:tc>
        <w:tc>
          <w:tcPr>
            <w:tcW w:w="2800" w:type="dxa"/>
            <w:shd w:val="clear" w:color="auto" w:fill="FFFFFF"/>
            <w:noWrap w:val="0"/>
            <w:vAlign w:val="center"/>
          </w:tcPr>
          <w:p w14:paraId="455A7F5A">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67456" behindDoc="0" locked="0" layoutInCell="1" allowOverlap="1">
                  <wp:simplePos x="0" y="0"/>
                  <wp:positionH relativeFrom="column">
                    <wp:posOffset>116840</wp:posOffset>
                  </wp:positionH>
                  <wp:positionV relativeFrom="paragraph">
                    <wp:posOffset>1012825</wp:posOffset>
                  </wp:positionV>
                  <wp:extent cx="1219200" cy="948690"/>
                  <wp:effectExtent l="0" t="0" r="0" b="11430"/>
                  <wp:wrapTopAndBottom/>
                  <wp:docPr id="39" name="图片 7"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7" descr="IMG_280"/>
                          <pic:cNvPicPr>
                            <a:picLocks noChangeAspect="1"/>
                          </pic:cNvPicPr>
                        </pic:nvPicPr>
                        <pic:blipFill>
                          <a:blip r:embed="rId9"/>
                          <a:stretch>
                            <a:fillRect/>
                          </a:stretch>
                        </pic:blipFill>
                        <pic:spPr>
                          <a:xfrm>
                            <a:off x="0" y="0"/>
                            <a:ext cx="1219200" cy="948690"/>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rPr>
              <w:t>会议条桌</w:t>
            </w:r>
          </w:p>
        </w:tc>
        <w:tc>
          <w:tcPr>
            <w:tcW w:w="1160" w:type="dxa"/>
            <w:shd w:val="clear" w:color="auto" w:fill="FFFFFF"/>
            <w:noWrap w:val="0"/>
            <w:vAlign w:val="center"/>
          </w:tcPr>
          <w:p w14:paraId="2DB61E7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bidi="ar"/>
              </w:rPr>
            </w:pPr>
            <w:r>
              <w:rPr>
                <w:rFonts w:hint="eastAsia" w:ascii="方正仿宋_GB2312" w:hAnsi="方正仿宋_GB2312" w:eastAsia="方正仿宋_GB2312" w:cs="方正仿宋_GB2312"/>
                <w:color w:val="auto"/>
                <w:sz w:val="21"/>
                <w:szCs w:val="21"/>
                <w:highlight w:val="none"/>
                <w:lang w:val="en-US" w:bidi="ar"/>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bidi="ar"/>
              </w:rPr>
              <w:t>：</w:t>
            </w:r>
            <w:r>
              <w:rPr>
                <w:rFonts w:hint="eastAsia" w:ascii="方正仿宋_GB2312" w:hAnsi="方正仿宋_GB2312" w:eastAsia="方正仿宋_GB2312" w:cs="方正仿宋_GB2312"/>
                <w:color w:val="auto"/>
                <w:sz w:val="21"/>
                <w:szCs w:val="21"/>
                <w:highlight w:val="none"/>
                <w:lang w:val="en-US" w:eastAsia="zh-CN" w:bidi="ar"/>
              </w:rPr>
              <w:t>1200*400*760</w:t>
            </w:r>
          </w:p>
        </w:tc>
        <w:tc>
          <w:tcPr>
            <w:tcW w:w="5350" w:type="dxa"/>
            <w:shd w:val="clear" w:color="auto" w:fill="FFFFFF"/>
            <w:noWrap w:val="0"/>
            <w:vAlign w:val="top"/>
          </w:tcPr>
          <w:p w14:paraId="35D2978D">
            <w:pPr>
              <w:keepNext w:val="0"/>
              <w:keepLines w:val="0"/>
              <w:pageBreakBefore w:val="0"/>
              <w:widowControl/>
              <w:numPr>
                <w:ilvl w:val="0"/>
                <w:numId w:val="0"/>
              </w:numPr>
              <w:kinsoku/>
              <w:wordWrap/>
              <w:overflowPunct/>
              <w:topLinePunct w:val="0"/>
              <w:autoSpaceDE/>
              <w:autoSpaceDN/>
              <w:bidi w:val="0"/>
              <w:adjustRightInd/>
              <w:snapToGrid/>
              <w:spacing w:line="0" w:lineRule="atLeast"/>
              <w:ind w:right="0" w:rightChars="0"/>
              <w:jc w:val="left"/>
              <w:textAlignment w:val="auto"/>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1、整体结构：桌面前沿带挡笔槽、两个开放式抽屉，桌子带半截背板，桌腿一侧为直线，一侧为曲线造型。</w:t>
            </w:r>
          </w:p>
          <w:p w14:paraId="222FF8E1">
            <w:pPr>
              <w:keepNext w:val="0"/>
              <w:keepLines w:val="0"/>
              <w:pageBreakBefore w:val="0"/>
              <w:widowControl/>
              <w:numPr>
                <w:ilvl w:val="0"/>
                <w:numId w:val="0"/>
              </w:numPr>
              <w:kinsoku/>
              <w:wordWrap/>
              <w:overflowPunct/>
              <w:topLinePunct w:val="0"/>
              <w:autoSpaceDE/>
              <w:autoSpaceDN/>
              <w:bidi w:val="0"/>
              <w:adjustRightInd/>
              <w:snapToGrid/>
              <w:spacing w:line="0" w:lineRule="atLeast"/>
              <w:ind w:right="0" w:rightChars="0"/>
              <w:jc w:val="left"/>
              <w:textAlignment w:val="auto"/>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eastAsia="zh-CN"/>
              </w:rPr>
              <w:t>2、</w:t>
            </w:r>
            <w:r>
              <w:rPr>
                <w:rFonts w:hint="eastAsia" w:ascii="方正仿宋_GB2312" w:hAnsi="方正仿宋_GB2312" w:eastAsia="方正仿宋_GB2312" w:cs="方正仿宋_GB2312"/>
                <w:color w:val="auto"/>
                <w:sz w:val="21"/>
                <w:szCs w:val="21"/>
                <w:highlight w:val="none"/>
                <w:lang w:eastAsia="zh-CN"/>
              </w:rPr>
              <w:t>基材：采用厚度≥18mm的中密度纤维板，依据GB/T11718-2021，静曲强度≥23.0MPa、弹性模量≥1800MPa、吸水厚度膨胀率≤9.0%、表面胶合强度≥0.90MPa、防潮性能合格、板面握螺钉力≥900N、板边握螺钉力≥600N、尺寸稳定性合格、表面吸收性能合格、甲醛释放量≤0.05mg/m³。</w:t>
            </w:r>
          </w:p>
          <w:p w14:paraId="5388AE0F">
            <w:pPr>
              <w:keepNext w:val="0"/>
              <w:keepLines w:val="0"/>
              <w:pageBreakBefore w:val="0"/>
              <w:widowControl/>
              <w:numPr>
                <w:ilvl w:val="0"/>
                <w:numId w:val="0"/>
              </w:numPr>
              <w:kinsoku/>
              <w:wordWrap/>
              <w:overflowPunct/>
              <w:topLinePunct w:val="0"/>
              <w:autoSpaceDE/>
              <w:autoSpaceDN/>
              <w:bidi w:val="0"/>
              <w:adjustRightInd/>
              <w:snapToGrid/>
              <w:spacing w:line="0" w:lineRule="atLeast"/>
              <w:jc w:val="left"/>
              <w:textAlignment w:val="auto"/>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eastAsia="zh-CN"/>
              </w:rPr>
              <w:t>3</w:t>
            </w:r>
            <w:r>
              <w:rPr>
                <w:rFonts w:hint="eastAsia" w:ascii="方正仿宋_GB2312" w:hAnsi="方正仿宋_GB2312" w:eastAsia="方正仿宋_GB2312" w:cs="方正仿宋_GB2312"/>
                <w:color w:val="auto"/>
                <w:sz w:val="21"/>
                <w:szCs w:val="21"/>
                <w:highlight w:val="none"/>
              </w:rPr>
              <w:t>、面材：采用厚度</w:t>
            </w:r>
            <w:r>
              <w:rPr>
                <w:rFonts w:hint="eastAsia" w:ascii="方正仿宋_GB2312" w:hAnsi="方正仿宋_GB2312" w:eastAsia="方正仿宋_GB2312" w:cs="方正仿宋_GB2312"/>
                <w:color w:val="auto"/>
                <w:sz w:val="21"/>
                <w:szCs w:val="21"/>
                <w:highlight w:val="none"/>
                <w:lang w:eastAsia="zh-CN"/>
              </w:rPr>
              <w:t>≥0.6mm</w:t>
            </w:r>
            <w:r>
              <w:rPr>
                <w:rFonts w:hint="eastAsia" w:ascii="方正仿宋_GB2312" w:hAnsi="方正仿宋_GB2312" w:eastAsia="方正仿宋_GB2312" w:cs="方正仿宋_GB2312"/>
                <w:color w:val="auto"/>
                <w:sz w:val="21"/>
                <w:szCs w:val="21"/>
                <w:highlight w:val="none"/>
              </w:rPr>
              <w:t>的AAA级胡桃木皮饰面，色泽均匀，木皮纹理颜色一致，纹理清晰；无结疤</w:t>
            </w:r>
            <w:r>
              <w:rPr>
                <w:rFonts w:hint="eastAsia" w:ascii="方正仿宋_GB2312" w:hAnsi="方正仿宋_GB2312" w:eastAsia="方正仿宋_GB2312" w:cs="方正仿宋_GB2312"/>
                <w:color w:val="auto"/>
                <w:sz w:val="21"/>
                <w:szCs w:val="21"/>
                <w:highlight w:val="none"/>
                <w:lang w:eastAsia="zh-CN"/>
              </w:rPr>
              <w:t>。</w:t>
            </w:r>
            <w:r>
              <w:rPr>
                <w:rFonts w:hint="eastAsia" w:ascii="方正仿宋_GB2312" w:hAnsi="方正仿宋_GB2312" w:eastAsia="方正仿宋_GB2312" w:cs="方正仿宋_GB2312"/>
                <w:color w:val="auto"/>
                <w:sz w:val="21"/>
                <w:szCs w:val="21"/>
                <w:highlight w:val="none"/>
              </w:rPr>
              <w:t>木皮甲醛释放限量和含水率</w:t>
            </w:r>
            <w:r>
              <w:rPr>
                <w:rFonts w:hint="eastAsia" w:ascii="方正仿宋_GB2312" w:hAnsi="方正仿宋_GB2312" w:eastAsia="方正仿宋_GB2312" w:cs="方正仿宋_GB2312"/>
                <w:color w:val="auto"/>
                <w:sz w:val="21"/>
                <w:szCs w:val="21"/>
                <w:highlight w:val="none"/>
                <w:lang w:eastAsia="zh-CN"/>
              </w:rPr>
              <w:t>均符合国家最新标准</w:t>
            </w:r>
            <w:r>
              <w:rPr>
                <w:rFonts w:hint="eastAsia" w:ascii="方正仿宋_GB2312" w:hAnsi="方正仿宋_GB2312" w:eastAsia="方正仿宋_GB2312" w:cs="方正仿宋_GB2312"/>
                <w:color w:val="auto"/>
                <w:sz w:val="21"/>
                <w:szCs w:val="21"/>
                <w:highlight w:val="none"/>
              </w:rPr>
              <w:t>。</w:t>
            </w:r>
          </w:p>
          <w:p w14:paraId="1606CEB3">
            <w:pPr>
              <w:keepNext w:val="0"/>
              <w:keepLines w:val="0"/>
              <w:pageBreakBefore w:val="0"/>
              <w:widowControl/>
              <w:numPr>
                <w:ilvl w:val="0"/>
                <w:numId w:val="0"/>
              </w:numPr>
              <w:kinsoku/>
              <w:wordWrap/>
              <w:overflowPunct/>
              <w:topLinePunct w:val="0"/>
              <w:autoSpaceDE/>
              <w:autoSpaceDN/>
              <w:bidi w:val="0"/>
              <w:adjustRightInd/>
              <w:snapToGrid/>
              <w:spacing w:line="0" w:lineRule="atLeast"/>
              <w:jc w:val="left"/>
              <w:textAlignment w:val="auto"/>
              <w:rPr>
                <w:rFonts w:hint="eastAsia" w:ascii="方正仿宋_GB2312" w:hAnsi="方正仿宋_GB2312" w:eastAsia="方正仿宋_GB2312" w:cs="方正仿宋_GB2312"/>
                <w:color w:val="auto"/>
                <w:sz w:val="21"/>
                <w:szCs w:val="21"/>
                <w:highlight w:val="none"/>
                <w:lang w:eastAsia="zh-CN"/>
              </w:rPr>
            </w:pPr>
            <w:r>
              <w:rPr>
                <w:rFonts w:hint="eastAsia" w:ascii="方正仿宋_GB2312" w:hAnsi="方正仿宋_GB2312" w:eastAsia="方正仿宋_GB2312" w:cs="方正仿宋_GB2312"/>
                <w:color w:val="auto"/>
                <w:sz w:val="21"/>
                <w:szCs w:val="21"/>
                <w:highlight w:val="none"/>
                <w:lang w:val="en-US" w:eastAsia="zh-CN"/>
              </w:rPr>
              <w:t>4</w:t>
            </w:r>
            <w:r>
              <w:rPr>
                <w:rFonts w:hint="eastAsia" w:ascii="方正仿宋_GB2312" w:hAnsi="方正仿宋_GB2312" w:eastAsia="方正仿宋_GB2312" w:cs="方正仿宋_GB2312"/>
                <w:color w:val="auto"/>
                <w:sz w:val="21"/>
                <w:szCs w:val="21"/>
                <w:highlight w:val="none"/>
              </w:rPr>
              <w:t>、封边：实木封边条。无缝封边，具有良好的耐气候性能，不易受环境、温度变化而产生收缩、膨胀的问题</w:t>
            </w:r>
            <w:r>
              <w:rPr>
                <w:rFonts w:hint="eastAsia" w:ascii="方正仿宋_GB2312" w:hAnsi="方正仿宋_GB2312" w:eastAsia="方正仿宋_GB2312" w:cs="方正仿宋_GB2312"/>
                <w:color w:val="auto"/>
                <w:sz w:val="21"/>
                <w:szCs w:val="21"/>
                <w:highlight w:val="none"/>
                <w:lang w:eastAsia="zh-CN"/>
              </w:rPr>
              <w:t>。</w:t>
            </w:r>
          </w:p>
          <w:p w14:paraId="5F6CF727">
            <w:pPr>
              <w:keepNext w:val="0"/>
              <w:keepLines w:val="0"/>
              <w:pageBreakBefore w:val="0"/>
              <w:widowControl/>
              <w:numPr>
                <w:ilvl w:val="0"/>
                <w:numId w:val="0"/>
              </w:numPr>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color w:val="auto"/>
                <w:sz w:val="21"/>
                <w:szCs w:val="21"/>
                <w:highlight w:val="none"/>
                <w:lang w:eastAsia="zh-CN"/>
              </w:rPr>
            </w:pPr>
            <w:r>
              <w:rPr>
                <w:rFonts w:hint="eastAsia" w:ascii="方正仿宋_GB2312" w:hAnsi="方正仿宋_GB2312" w:eastAsia="方正仿宋_GB2312" w:cs="方正仿宋_GB2312"/>
                <w:color w:val="auto"/>
                <w:sz w:val="21"/>
                <w:szCs w:val="21"/>
                <w:highlight w:val="none"/>
                <w:lang w:val="en-US" w:eastAsia="zh-CN"/>
              </w:rPr>
              <w:t>5</w:t>
            </w:r>
            <w:r>
              <w:rPr>
                <w:rFonts w:hint="eastAsia" w:ascii="方正仿宋_GB2312" w:hAnsi="方正仿宋_GB2312" w:eastAsia="方正仿宋_GB2312" w:cs="方正仿宋_GB2312"/>
                <w:color w:val="auto"/>
                <w:sz w:val="21"/>
                <w:szCs w:val="21"/>
                <w:highlight w:val="none"/>
              </w:rPr>
              <w:t>、</w:t>
            </w:r>
            <w:r>
              <w:rPr>
                <w:rFonts w:hint="eastAsia" w:ascii="方正仿宋_GB2312" w:hAnsi="方正仿宋_GB2312" w:eastAsia="方正仿宋_GB2312" w:cs="方正仿宋_GB2312"/>
                <w:color w:val="auto"/>
                <w:sz w:val="21"/>
                <w:szCs w:val="21"/>
                <w:highlight w:val="none"/>
                <w:lang w:eastAsia="zh-CN"/>
              </w:rPr>
              <w:t>油漆：水性漆，①依据GB/T23999-2009，不挥发物≥40％，硬度（擦伤）≥B，附着力（划格间距2mm）≤1级，贮存稳定性[（50±2）℃，7d]无异常，耐水性（24h）无异常，耐沸水性（15min）无异常，耐碱性无异常，耐醇性无异常，耐干热性≤2级。</w:t>
            </w:r>
          </w:p>
          <w:p w14:paraId="1A6AA656">
            <w:pPr>
              <w:keepNext w:val="0"/>
              <w:keepLines w:val="0"/>
              <w:pageBreakBefore w:val="0"/>
              <w:widowControl/>
              <w:numPr>
                <w:ilvl w:val="0"/>
                <w:numId w:val="0"/>
              </w:numPr>
              <w:kinsoku/>
              <w:wordWrap/>
              <w:overflowPunct/>
              <w:topLinePunct w:val="0"/>
              <w:autoSpaceDE/>
              <w:autoSpaceDN/>
              <w:bidi w:val="0"/>
              <w:adjustRightInd/>
              <w:snapToGrid/>
              <w:spacing w:line="0" w:lineRule="atLeast"/>
              <w:jc w:val="left"/>
              <w:textAlignment w:val="auto"/>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6</w:t>
            </w:r>
            <w:r>
              <w:rPr>
                <w:rFonts w:hint="eastAsia" w:ascii="方正仿宋_GB2312" w:hAnsi="方正仿宋_GB2312" w:eastAsia="方正仿宋_GB2312" w:cs="方正仿宋_GB2312"/>
                <w:color w:val="auto"/>
                <w:sz w:val="21"/>
                <w:szCs w:val="21"/>
                <w:highlight w:val="none"/>
                <w:lang w:val="en-US"/>
              </w:rPr>
              <w:t>.五金件：</w:t>
            </w:r>
          </w:p>
          <w:p w14:paraId="6290A0D4">
            <w:pPr>
              <w:keepNext w:val="0"/>
              <w:keepLines w:val="0"/>
              <w:pageBreakBefore w:val="0"/>
              <w:widowControl/>
              <w:numPr>
                <w:ilvl w:val="0"/>
                <w:numId w:val="0"/>
              </w:numPr>
              <w:kinsoku/>
              <w:wordWrap/>
              <w:overflowPunct/>
              <w:topLinePunct w:val="0"/>
              <w:autoSpaceDE/>
              <w:autoSpaceDN/>
              <w:bidi w:val="0"/>
              <w:adjustRightInd/>
              <w:snapToGrid/>
              <w:spacing w:line="0" w:lineRule="atLeast"/>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连接件（三合一/二合一）</w:t>
            </w:r>
          </w:p>
          <w:p w14:paraId="2C188E62">
            <w:pPr>
              <w:keepNext w:val="0"/>
              <w:keepLines w:val="0"/>
              <w:pageBreakBefore w:val="0"/>
              <w:widowControl/>
              <w:numPr>
                <w:ilvl w:val="0"/>
                <w:numId w:val="0"/>
              </w:numPr>
              <w:kinsoku/>
              <w:wordWrap/>
              <w:overflowPunct/>
              <w:topLinePunct w:val="0"/>
              <w:autoSpaceDE/>
              <w:autoSpaceDN/>
              <w:bidi w:val="0"/>
              <w:adjustRightInd/>
              <w:snapToGrid/>
              <w:spacing w:line="0" w:lineRule="atLeast"/>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执行标准：符合现行国家标准（如GB/T28203）关于家具连接件的技术要求。</w:t>
            </w:r>
          </w:p>
          <w:p w14:paraId="773A30A0">
            <w:pPr>
              <w:keepNext w:val="0"/>
              <w:keepLines w:val="0"/>
              <w:pageBreakBefore w:val="0"/>
              <w:widowControl/>
              <w:numPr>
                <w:ilvl w:val="0"/>
                <w:numId w:val="0"/>
              </w:numPr>
              <w:kinsoku/>
              <w:wordWrap/>
              <w:overflowPunct/>
              <w:topLinePunct w:val="0"/>
              <w:autoSpaceDE/>
              <w:autoSpaceDN/>
              <w:bidi w:val="0"/>
              <w:adjustRightInd/>
              <w:snapToGrid/>
              <w:spacing w:line="0" w:lineRule="atLeast"/>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力学性能：偏心体抗拉强度≥250N，预埋件抗拔力≥600N，确保柜体连接牢固，长期使用不松动。</w:t>
            </w:r>
          </w:p>
          <w:p w14:paraId="43A90E4F">
            <w:pPr>
              <w:keepNext w:val="0"/>
              <w:keepLines w:val="0"/>
              <w:pageBreakBefore w:val="0"/>
              <w:widowControl/>
              <w:numPr>
                <w:ilvl w:val="0"/>
                <w:numId w:val="0"/>
              </w:numPr>
              <w:kinsoku/>
              <w:wordWrap/>
              <w:overflowPunct/>
              <w:topLinePunct w:val="0"/>
              <w:autoSpaceDE/>
              <w:autoSpaceDN/>
              <w:bidi w:val="0"/>
              <w:adjustRightInd/>
              <w:snapToGrid/>
              <w:spacing w:line="0" w:lineRule="atLeast"/>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环保工艺：电镀层须采用环保三价铬工艺（符合GB/T26572），严禁使用六价铬；涂层附着力达到GB/T9286标准的0级或1级。</w:t>
            </w:r>
          </w:p>
          <w:p w14:paraId="3C3982A5">
            <w:pPr>
              <w:keepNext w:val="0"/>
              <w:keepLines w:val="0"/>
              <w:pageBreakBefore w:val="0"/>
              <w:widowControl/>
              <w:numPr>
                <w:ilvl w:val="0"/>
                <w:numId w:val="0"/>
              </w:numPr>
              <w:kinsoku/>
              <w:wordWrap/>
              <w:overflowPunct/>
              <w:topLinePunct w:val="0"/>
              <w:autoSpaceDE/>
              <w:autoSpaceDN/>
              <w:bidi w:val="0"/>
              <w:adjustRightInd/>
              <w:snapToGrid/>
              <w:spacing w:line="0" w:lineRule="atLeast"/>
              <w:rPr>
                <w:rFonts w:hint="eastAsia"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highlight w:val="none"/>
                <w:lang w:val="en-US" w:eastAsia="zh-CN"/>
              </w:rPr>
              <w:t>。</w:t>
            </w:r>
          </w:p>
        </w:tc>
      </w:tr>
      <w:tr w14:paraId="51F9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3F00FE18">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bidi="ar"/>
              </w:rPr>
              <w:t>9</w:t>
            </w:r>
          </w:p>
        </w:tc>
        <w:tc>
          <w:tcPr>
            <w:tcW w:w="2800" w:type="dxa"/>
            <w:shd w:val="clear" w:color="auto" w:fill="FFFFFF"/>
            <w:noWrap w:val="0"/>
            <w:vAlign w:val="center"/>
          </w:tcPr>
          <w:p w14:paraId="624FE026">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四人位机场排椅</w:t>
            </w:r>
            <w:r>
              <w:rPr>
                <w:rFonts w:hint="eastAsia" w:ascii="方正仿宋_GB2312" w:hAnsi="方正仿宋_GB2312" w:eastAsia="方正仿宋_GB2312" w:cs="方正仿宋_GB2312"/>
                <w:color w:val="auto"/>
                <w:sz w:val="21"/>
                <w:szCs w:val="21"/>
                <w:highlight w:val="none"/>
                <w:lang w:val="en-US" w:eastAsia="zh-CN"/>
              </w:rPr>
              <w:drawing>
                <wp:inline distT="0" distB="0" distL="114300" distR="114300">
                  <wp:extent cx="1602740" cy="1196340"/>
                  <wp:effectExtent l="0" t="0" r="12700" b="7620"/>
                  <wp:docPr id="40" name="图片 40" descr="1779409468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779409468324"/>
                          <pic:cNvPicPr>
                            <a:picLocks noChangeAspect="1"/>
                          </pic:cNvPicPr>
                        </pic:nvPicPr>
                        <pic:blipFill>
                          <a:blip r:embed="rId10"/>
                          <a:stretch>
                            <a:fillRect/>
                          </a:stretch>
                        </pic:blipFill>
                        <pic:spPr>
                          <a:xfrm>
                            <a:off x="0" y="0"/>
                            <a:ext cx="1602740" cy="1196340"/>
                          </a:xfrm>
                          <a:prstGeom prst="rect">
                            <a:avLst/>
                          </a:prstGeom>
                        </pic:spPr>
                      </pic:pic>
                    </a:graphicData>
                  </a:graphic>
                </wp:inline>
              </w:drawing>
            </w:r>
          </w:p>
        </w:tc>
        <w:tc>
          <w:tcPr>
            <w:tcW w:w="1160" w:type="dxa"/>
            <w:shd w:val="clear" w:color="auto" w:fill="FFFFFF"/>
            <w:noWrap w:val="0"/>
            <w:vAlign w:val="center"/>
          </w:tcPr>
          <w:p w14:paraId="2DEDA6C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eastAsia="zh-CN"/>
              </w:rPr>
            </w:pPr>
            <w:r>
              <w:rPr>
                <w:rFonts w:hint="eastAsia" w:ascii="方正仿宋_GB2312" w:hAnsi="方正仿宋_GB2312" w:eastAsia="方正仿宋_GB2312" w:cs="方正仿宋_GB2312"/>
                <w:color w:val="auto"/>
                <w:sz w:val="21"/>
                <w:szCs w:val="21"/>
                <w:highlight w:val="none"/>
                <w:lang w:val="en-US" w:bidi="ar"/>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bidi="ar"/>
              </w:rPr>
              <w:t>23</w:t>
            </w:r>
            <w:r>
              <w:rPr>
                <w:rFonts w:hint="eastAsia" w:ascii="方正仿宋_GB2312" w:hAnsi="方正仿宋_GB2312" w:eastAsia="方正仿宋_GB2312" w:cs="方正仿宋_GB2312"/>
                <w:color w:val="auto"/>
                <w:sz w:val="21"/>
                <w:szCs w:val="21"/>
                <w:highlight w:val="none"/>
                <w:lang w:val="en-US" w:eastAsia="zh-CN" w:bidi="ar"/>
              </w:rPr>
              <w:t>05</w:t>
            </w:r>
            <w:r>
              <w:rPr>
                <w:rFonts w:hint="eastAsia" w:ascii="方正仿宋_GB2312" w:hAnsi="方正仿宋_GB2312" w:eastAsia="方正仿宋_GB2312" w:cs="方正仿宋_GB2312"/>
                <w:color w:val="auto"/>
                <w:sz w:val="21"/>
                <w:szCs w:val="21"/>
                <w:highlight w:val="none"/>
                <w:lang w:val="en-US" w:bidi="ar"/>
              </w:rPr>
              <w:t>*6</w:t>
            </w:r>
            <w:r>
              <w:rPr>
                <w:rFonts w:hint="eastAsia" w:ascii="方正仿宋_GB2312" w:hAnsi="方正仿宋_GB2312" w:eastAsia="方正仿宋_GB2312" w:cs="方正仿宋_GB2312"/>
                <w:color w:val="auto"/>
                <w:sz w:val="21"/>
                <w:szCs w:val="21"/>
                <w:highlight w:val="none"/>
                <w:lang w:val="en-US" w:eastAsia="zh-CN" w:bidi="ar"/>
              </w:rPr>
              <w:t>75</w:t>
            </w:r>
            <w:r>
              <w:rPr>
                <w:rFonts w:hint="eastAsia" w:ascii="方正仿宋_GB2312" w:hAnsi="方正仿宋_GB2312" w:eastAsia="方正仿宋_GB2312" w:cs="方正仿宋_GB2312"/>
                <w:color w:val="auto"/>
                <w:sz w:val="21"/>
                <w:szCs w:val="21"/>
                <w:highlight w:val="none"/>
                <w:lang w:val="en-US" w:bidi="ar"/>
              </w:rPr>
              <w:t>*</w:t>
            </w:r>
            <w:r>
              <w:rPr>
                <w:rFonts w:hint="eastAsia" w:ascii="方正仿宋_GB2312" w:hAnsi="方正仿宋_GB2312" w:eastAsia="方正仿宋_GB2312" w:cs="方正仿宋_GB2312"/>
                <w:color w:val="auto"/>
                <w:sz w:val="21"/>
                <w:szCs w:val="21"/>
                <w:highlight w:val="none"/>
                <w:lang w:val="en-US" w:eastAsia="zh-CN" w:bidi="ar"/>
              </w:rPr>
              <w:t>80</w:t>
            </w:r>
            <w:r>
              <w:rPr>
                <w:rFonts w:hint="eastAsia" w:ascii="方正仿宋_GB2312" w:hAnsi="方正仿宋_GB2312" w:eastAsia="方正仿宋_GB2312" w:cs="方正仿宋_GB2312"/>
                <w:color w:val="auto"/>
                <w:sz w:val="21"/>
                <w:szCs w:val="21"/>
                <w:highlight w:val="none"/>
                <w:lang w:val="en-US" w:bidi="ar"/>
              </w:rPr>
              <w:t>0</w:t>
            </w:r>
          </w:p>
        </w:tc>
        <w:tc>
          <w:tcPr>
            <w:tcW w:w="5350" w:type="dxa"/>
            <w:vMerge w:val="restart"/>
            <w:shd w:val="clear" w:color="auto" w:fill="FFFFFF"/>
            <w:noWrap w:val="0"/>
            <w:vAlign w:val="top"/>
          </w:tcPr>
          <w:p w14:paraId="7391A05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1、横梁采用厚度不低于1.5mm的三角钢板钢板管，耐用不易生锈。</w:t>
            </w:r>
          </w:p>
          <w:p w14:paraId="4E7F93F1">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2、扶手/脚架：采用铝合金一体压铸成型，经静电喷涂。</w:t>
            </w:r>
          </w:p>
          <w:p w14:paraId="0AAEFBC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rPr>
              <w:t>3、座板采用厚度不低于1.2mm冷扎钢板冷拔成型，表面经多次喷砂除锈后静电喷塑，耐磨不易生锈。</w:t>
            </w:r>
          </w:p>
          <w:p w14:paraId="6E16F744">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4、</w:t>
            </w:r>
            <w:r>
              <w:rPr>
                <w:rFonts w:hint="eastAsia" w:ascii="方正仿宋_GB2312" w:hAnsi="方正仿宋_GB2312" w:eastAsia="方正仿宋_GB2312" w:cs="方正仿宋_GB2312"/>
                <w:b w:val="0"/>
                <w:bCs w:val="0"/>
                <w:color w:val="auto"/>
                <w:sz w:val="21"/>
                <w:szCs w:val="21"/>
                <w:highlight w:val="none"/>
                <w:lang w:val="en-US"/>
              </w:rPr>
              <w:t>座椅金属零部件的表面采用耐磨的静电环氧基粉末。涂层均匀光洁，附着力强，无针孔、起泡、起皱、开裂等缺陷。</w:t>
            </w:r>
          </w:p>
          <w:p w14:paraId="01E075CF">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5、整体</w:t>
            </w:r>
            <w:r>
              <w:rPr>
                <w:rFonts w:hint="eastAsia" w:ascii="方正仿宋_GB2312" w:hAnsi="方正仿宋_GB2312" w:eastAsia="方正仿宋_GB2312" w:cs="方正仿宋_GB2312"/>
                <w:b w:val="0"/>
                <w:bCs w:val="0"/>
                <w:color w:val="auto"/>
                <w:sz w:val="21"/>
                <w:szCs w:val="21"/>
                <w:highlight w:val="none"/>
              </w:rPr>
              <w:t>结构：椅座及椅背为整体冲压成形，无任何锐角。</w:t>
            </w:r>
            <w:r>
              <w:rPr>
                <w:rFonts w:hint="eastAsia" w:ascii="方正仿宋_GB2312" w:hAnsi="方正仿宋_GB2312" w:eastAsia="方正仿宋_GB2312" w:cs="方正仿宋_GB2312"/>
                <w:b w:val="0"/>
                <w:bCs w:val="0"/>
                <w:color w:val="auto"/>
                <w:sz w:val="21"/>
                <w:szCs w:val="21"/>
                <w:highlight w:val="none"/>
                <w:lang w:val="en-US"/>
              </w:rPr>
              <w:t>椅座及椅背均须设有透气孔。透气孔的数量不应影响椅座及椅背的强度和承重能力。</w:t>
            </w:r>
          </w:p>
          <w:p w14:paraId="5C20F798">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6、工艺处理：焊接</w:t>
            </w:r>
            <w:r>
              <w:rPr>
                <w:rFonts w:hint="eastAsia" w:ascii="方正仿宋_GB2312" w:hAnsi="方正仿宋_GB2312" w:eastAsia="方正仿宋_GB2312" w:cs="方正仿宋_GB2312"/>
                <w:b w:val="0"/>
                <w:bCs w:val="0"/>
                <w:color w:val="auto"/>
                <w:sz w:val="21"/>
                <w:szCs w:val="21"/>
                <w:highlight w:val="none"/>
                <w:lang w:val="en-US" w:eastAsia="zh-CN"/>
              </w:rPr>
              <w:t>及螺栓链接</w:t>
            </w:r>
            <w:r>
              <w:rPr>
                <w:rFonts w:hint="eastAsia" w:ascii="方正仿宋_GB2312" w:hAnsi="方正仿宋_GB2312" w:eastAsia="方正仿宋_GB2312" w:cs="方正仿宋_GB2312"/>
                <w:b w:val="0"/>
                <w:bCs w:val="0"/>
                <w:color w:val="auto"/>
                <w:sz w:val="21"/>
                <w:szCs w:val="21"/>
                <w:highlight w:val="none"/>
                <w:lang w:val="en-US"/>
              </w:rPr>
              <w:t>结构，</w:t>
            </w:r>
            <w:r>
              <w:rPr>
                <w:rFonts w:hint="eastAsia" w:ascii="方正仿宋_GB2312" w:hAnsi="方正仿宋_GB2312" w:eastAsia="方正仿宋_GB2312" w:cs="方正仿宋_GB2312"/>
                <w:b w:val="0"/>
                <w:bCs w:val="0"/>
                <w:color w:val="auto"/>
                <w:sz w:val="21"/>
                <w:szCs w:val="21"/>
                <w:highlight w:val="none"/>
                <w:lang w:val="en-US" w:eastAsia="zh-CN"/>
              </w:rPr>
              <w:t>焊接</w:t>
            </w:r>
            <w:r>
              <w:rPr>
                <w:rFonts w:hint="eastAsia" w:ascii="方正仿宋_GB2312" w:hAnsi="方正仿宋_GB2312" w:eastAsia="方正仿宋_GB2312" w:cs="方正仿宋_GB2312"/>
                <w:b w:val="0"/>
                <w:bCs w:val="0"/>
                <w:color w:val="auto"/>
                <w:sz w:val="21"/>
                <w:szCs w:val="21"/>
                <w:highlight w:val="none"/>
                <w:lang w:val="en-US"/>
              </w:rPr>
              <w:t>焊缝均匀牢固</w:t>
            </w:r>
            <w:r>
              <w:rPr>
                <w:rFonts w:hint="eastAsia" w:ascii="方正仿宋_GB2312" w:hAnsi="方正仿宋_GB2312" w:eastAsia="方正仿宋_GB2312" w:cs="方正仿宋_GB2312"/>
                <w:b w:val="0"/>
                <w:bCs w:val="0"/>
                <w:color w:val="auto"/>
                <w:sz w:val="21"/>
                <w:szCs w:val="21"/>
                <w:highlight w:val="none"/>
                <w:lang w:val="en-US" w:eastAsia="zh-CN"/>
              </w:rPr>
              <w:t>，</w:t>
            </w:r>
            <w:r>
              <w:rPr>
                <w:rFonts w:hint="eastAsia" w:ascii="方正仿宋_GB2312" w:hAnsi="方正仿宋_GB2312" w:eastAsia="方正仿宋_GB2312" w:cs="方正仿宋_GB2312"/>
                <w:b w:val="0"/>
                <w:bCs w:val="0"/>
                <w:color w:val="auto"/>
                <w:sz w:val="21"/>
                <w:szCs w:val="21"/>
                <w:highlight w:val="none"/>
                <w:lang w:val="en-US"/>
              </w:rPr>
              <w:t>符合GB/T 3325-2024《金属家具通用技术条件》的要求：要求理化性能金属喷塑涂层（硬度、冲击强度、耐盐浴、附着力）均检测合格。</w:t>
            </w:r>
          </w:p>
          <w:p w14:paraId="63A964F0">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7、力学性能：符合GB/T 10357.3-2025 全称《家具力学性能试验 第 3 部分：椅凳类强度和耐久性》的要求：静载荷≥1200 N，保持10 s；无断裂、无永久变形。</w:t>
            </w:r>
          </w:p>
          <w:p w14:paraId="147CDA0F">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b w:val="0"/>
                <w:bCs w:val="0"/>
                <w:color w:val="auto"/>
                <w:sz w:val="21"/>
                <w:szCs w:val="21"/>
                <w:highlight w:val="none"/>
                <w:lang w:val="en-US"/>
              </w:rPr>
              <w:t>8、机场椅符合GB/T 3325-2024《金属家具通用技术条件》的要求。</w:t>
            </w:r>
          </w:p>
        </w:tc>
      </w:tr>
      <w:tr w14:paraId="163F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772A6D96">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bidi="ar"/>
              </w:rPr>
              <w:t>10</w:t>
            </w:r>
          </w:p>
        </w:tc>
        <w:tc>
          <w:tcPr>
            <w:tcW w:w="2800" w:type="dxa"/>
            <w:shd w:val="clear" w:color="auto" w:fill="FFFFFF"/>
            <w:noWrap w:val="0"/>
            <w:vAlign w:val="center"/>
          </w:tcPr>
          <w:p w14:paraId="65905DFA">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三人位机场排椅</w:t>
            </w:r>
            <w:r>
              <w:rPr>
                <w:rFonts w:hint="eastAsia" w:ascii="方正仿宋_GB2312" w:hAnsi="方正仿宋_GB2312" w:eastAsia="方正仿宋_GB2312" w:cs="方正仿宋_GB2312"/>
                <w:color w:val="auto"/>
                <w:sz w:val="21"/>
                <w:szCs w:val="21"/>
                <w:highlight w:val="none"/>
                <w:lang w:val="en-US" w:eastAsia="zh-CN"/>
              </w:rPr>
              <w:drawing>
                <wp:inline distT="0" distB="0" distL="114300" distR="114300">
                  <wp:extent cx="1600200" cy="1191895"/>
                  <wp:effectExtent l="0" t="0" r="0" b="12065"/>
                  <wp:docPr id="41" name="图片 41" descr="0fc579506dab2a917b422fcd9694b7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0fc579506dab2a917b422fcd9694b79e"/>
                          <pic:cNvPicPr>
                            <a:picLocks noChangeAspect="1"/>
                          </pic:cNvPicPr>
                        </pic:nvPicPr>
                        <pic:blipFill>
                          <a:blip r:embed="rId11"/>
                          <a:stretch>
                            <a:fillRect/>
                          </a:stretch>
                        </pic:blipFill>
                        <pic:spPr>
                          <a:xfrm>
                            <a:off x="0" y="0"/>
                            <a:ext cx="1600200" cy="1191895"/>
                          </a:xfrm>
                          <a:prstGeom prst="rect">
                            <a:avLst/>
                          </a:prstGeom>
                        </pic:spPr>
                      </pic:pic>
                    </a:graphicData>
                  </a:graphic>
                </wp:inline>
              </w:drawing>
            </w:r>
          </w:p>
        </w:tc>
        <w:tc>
          <w:tcPr>
            <w:tcW w:w="1160" w:type="dxa"/>
            <w:shd w:val="clear" w:color="auto" w:fill="FFFFFF"/>
            <w:noWrap w:val="0"/>
            <w:vAlign w:val="center"/>
          </w:tcPr>
          <w:p w14:paraId="0FA680A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bidi="ar"/>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bidi="ar"/>
              </w:rPr>
              <w:t>：1750*6</w:t>
            </w:r>
            <w:r>
              <w:rPr>
                <w:rFonts w:hint="eastAsia" w:ascii="方正仿宋_GB2312" w:hAnsi="方正仿宋_GB2312" w:eastAsia="方正仿宋_GB2312" w:cs="方正仿宋_GB2312"/>
                <w:color w:val="auto"/>
                <w:sz w:val="21"/>
                <w:szCs w:val="21"/>
                <w:highlight w:val="none"/>
                <w:lang w:val="en-US" w:eastAsia="zh-CN" w:bidi="ar"/>
              </w:rPr>
              <w:t>75</w:t>
            </w:r>
            <w:r>
              <w:rPr>
                <w:rFonts w:hint="eastAsia" w:ascii="方正仿宋_GB2312" w:hAnsi="方正仿宋_GB2312" w:eastAsia="方正仿宋_GB2312" w:cs="方正仿宋_GB2312"/>
                <w:color w:val="auto"/>
                <w:sz w:val="21"/>
                <w:szCs w:val="21"/>
                <w:highlight w:val="none"/>
                <w:lang w:val="en-US" w:bidi="ar"/>
              </w:rPr>
              <w:t>*</w:t>
            </w:r>
            <w:r>
              <w:rPr>
                <w:rFonts w:hint="eastAsia" w:ascii="方正仿宋_GB2312" w:hAnsi="方正仿宋_GB2312" w:eastAsia="方正仿宋_GB2312" w:cs="方正仿宋_GB2312"/>
                <w:color w:val="auto"/>
                <w:sz w:val="21"/>
                <w:szCs w:val="21"/>
                <w:highlight w:val="none"/>
                <w:lang w:val="en-US" w:eastAsia="zh-CN" w:bidi="ar"/>
              </w:rPr>
              <w:t>800</w:t>
            </w:r>
          </w:p>
        </w:tc>
        <w:tc>
          <w:tcPr>
            <w:tcW w:w="5350" w:type="dxa"/>
            <w:vMerge w:val="continue"/>
            <w:shd w:val="clear" w:color="auto" w:fill="FFFFFF"/>
            <w:noWrap w:val="0"/>
            <w:vAlign w:val="top"/>
          </w:tcPr>
          <w:p w14:paraId="74F3AC4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bidi="ar"/>
              </w:rPr>
            </w:pPr>
          </w:p>
        </w:tc>
      </w:tr>
      <w:tr w14:paraId="382D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580" w:type="dxa"/>
            <w:shd w:val="clear" w:color="auto" w:fill="FFFFFF"/>
            <w:noWrap w:val="0"/>
            <w:vAlign w:val="center"/>
          </w:tcPr>
          <w:p w14:paraId="6F5A9373">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11</w:t>
            </w:r>
          </w:p>
          <w:p w14:paraId="78D4F60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p>
        </w:tc>
        <w:tc>
          <w:tcPr>
            <w:tcW w:w="2800" w:type="dxa"/>
            <w:shd w:val="clear" w:color="auto" w:fill="FFFFFF"/>
            <w:noWrap w:val="0"/>
            <w:vAlign w:val="center"/>
          </w:tcPr>
          <w:p w14:paraId="6580AE73">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rPr>
              <w:t>三人位沙发</w:t>
            </w: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80768" behindDoc="0" locked="0" layoutInCell="1" allowOverlap="1">
                  <wp:simplePos x="0" y="0"/>
                  <wp:positionH relativeFrom="column">
                    <wp:posOffset>107315</wp:posOffset>
                  </wp:positionH>
                  <wp:positionV relativeFrom="paragraph">
                    <wp:posOffset>2813050</wp:posOffset>
                  </wp:positionV>
                  <wp:extent cx="1390650" cy="622935"/>
                  <wp:effectExtent l="0" t="0" r="11430" b="1905"/>
                  <wp:wrapTopAndBottom/>
                  <wp:docPr id="42" name="图片 10"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0" descr="IMG_267"/>
                          <pic:cNvPicPr>
                            <a:picLocks noChangeAspect="1"/>
                          </pic:cNvPicPr>
                        </pic:nvPicPr>
                        <pic:blipFill>
                          <a:blip r:embed="rId12"/>
                          <a:srcRect b="14023"/>
                          <a:stretch>
                            <a:fillRect/>
                          </a:stretch>
                        </pic:blipFill>
                        <pic:spPr>
                          <a:xfrm>
                            <a:off x="0" y="0"/>
                            <a:ext cx="1390650" cy="622935"/>
                          </a:xfrm>
                          <a:prstGeom prst="rect">
                            <a:avLst/>
                          </a:prstGeom>
                          <a:noFill/>
                          <a:ln>
                            <a:noFill/>
                          </a:ln>
                        </pic:spPr>
                      </pic:pic>
                    </a:graphicData>
                  </a:graphic>
                </wp:anchor>
              </w:drawing>
            </w:r>
          </w:p>
        </w:tc>
        <w:tc>
          <w:tcPr>
            <w:tcW w:w="1160" w:type="dxa"/>
            <w:shd w:val="clear" w:color="auto" w:fill="FFFFFF"/>
            <w:noWrap w:val="0"/>
            <w:vAlign w:val="center"/>
          </w:tcPr>
          <w:p w14:paraId="2A8B2DA8">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rPr>
              <w:t>：1900*770*850</w:t>
            </w:r>
          </w:p>
        </w:tc>
        <w:tc>
          <w:tcPr>
            <w:tcW w:w="5350" w:type="dxa"/>
            <w:shd w:val="clear" w:color="auto" w:fill="FFFFFF"/>
            <w:noWrap w:val="0"/>
            <w:vAlign w:val="top"/>
          </w:tcPr>
          <w:p w14:paraId="1DD0EFD3">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1、面材</w:t>
            </w:r>
            <w:r>
              <w:rPr>
                <w:rFonts w:hint="eastAsia" w:ascii="方正仿宋_GB2312" w:hAnsi="方正仿宋_GB2312" w:eastAsia="方正仿宋_GB2312" w:cs="方正仿宋_GB2312"/>
                <w:b w:val="0"/>
                <w:bCs w:val="0"/>
                <w:color w:val="auto"/>
                <w:sz w:val="21"/>
                <w:szCs w:val="21"/>
                <w:highlight w:val="none"/>
                <w:lang w:val="en-US" w:eastAsia="zh-CN"/>
              </w:rPr>
              <w:t>：人体座姿势，人体直接接触面</w:t>
            </w:r>
            <w:r>
              <w:rPr>
                <w:rFonts w:hint="eastAsia" w:ascii="方正仿宋_GB2312" w:hAnsi="方正仿宋_GB2312" w:eastAsia="方正仿宋_GB2312" w:cs="方正仿宋_GB2312"/>
                <w:b w:val="0"/>
                <w:bCs w:val="0"/>
                <w:color w:val="auto"/>
                <w:sz w:val="21"/>
                <w:szCs w:val="21"/>
                <w:highlight w:val="none"/>
                <w:lang w:val="en-US"/>
              </w:rPr>
              <w:t>选用</w:t>
            </w:r>
            <w:r>
              <w:rPr>
                <w:rFonts w:hint="eastAsia" w:ascii="方正仿宋_GB2312" w:hAnsi="方正仿宋_GB2312" w:eastAsia="方正仿宋_GB2312" w:cs="方正仿宋_GB2312"/>
                <w:b w:val="0"/>
                <w:bCs w:val="0"/>
                <w:color w:val="auto"/>
                <w:sz w:val="21"/>
                <w:szCs w:val="21"/>
                <w:highlight w:val="none"/>
                <w:lang w:val="en-US" w:eastAsia="zh-CN"/>
              </w:rPr>
              <w:t>优质环保皮</w:t>
            </w:r>
            <w:r>
              <w:rPr>
                <w:rFonts w:hint="eastAsia" w:ascii="方正仿宋_GB2312" w:hAnsi="方正仿宋_GB2312" w:eastAsia="方正仿宋_GB2312" w:cs="方正仿宋_GB2312"/>
                <w:b w:val="0"/>
                <w:bCs w:val="0"/>
                <w:color w:val="auto"/>
                <w:sz w:val="21"/>
                <w:szCs w:val="21"/>
                <w:highlight w:val="none"/>
                <w:lang w:val="en-US"/>
              </w:rPr>
              <w:t>，</w:t>
            </w:r>
            <w:r>
              <w:rPr>
                <w:rFonts w:hint="eastAsia" w:ascii="方正仿宋_GB2312" w:hAnsi="方正仿宋_GB2312" w:eastAsia="方正仿宋_GB2312" w:cs="方正仿宋_GB2312"/>
                <w:b w:val="0"/>
                <w:bCs w:val="0"/>
                <w:color w:val="auto"/>
                <w:sz w:val="21"/>
                <w:szCs w:val="21"/>
                <w:highlight w:val="none"/>
              </w:rPr>
              <w:t>皮面光泽，透气，</w:t>
            </w:r>
            <w:r>
              <w:rPr>
                <w:rFonts w:hint="eastAsia" w:ascii="方正仿宋_GB2312" w:hAnsi="方正仿宋_GB2312" w:eastAsia="方正仿宋_GB2312" w:cs="方正仿宋_GB2312"/>
                <w:b w:val="0"/>
                <w:bCs w:val="0"/>
                <w:color w:val="auto"/>
                <w:sz w:val="21"/>
                <w:szCs w:val="21"/>
                <w:highlight w:val="none"/>
                <w:lang w:val="en-US" w:eastAsia="zh-CN"/>
              </w:rPr>
              <w:t>触感舒适</w:t>
            </w:r>
            <w:r>
              <w:rPr>
                <w:rFonts w:hint="eastAsia" w:ascii="方正仿宋_GB2312" w:hAnsi="方正仿宋_GB2312" w:eastAsia="方正仿宋_GB2312" w:cs="方正仿宋_GB2312"/>
                <w:b w:val="0"/>
                <w:bCs w:val="0"/>
                <w:color w:val="auto"/>
                <w:sz w:val="21"/>
                <w:szCs w:val="21"/>
                <w:highlight w:val="none"/>
              </w:rPr>
              <w:t>柔软，经液态浸色及防潮、防污等工艺处理</w:t>
            </w:r>
            <w:r>
              <w:rPr>
                <w:rFonts w:hint="eastAsia" w:ascii="方正仿宋_GB2312" w:hAnsi="方正仿宋_GB2312" w:eastAsia="方正仿宋_GB2312" w:cs="方正仿宋_GB2312"/>
                <w:b w:val="0"/>
                <w:bCs w:val="0"/>
                <w:color w:val="auto"/>
                <w:sz w:val="21"/>
                <w:szCs w:val="21"/>
                <w:highlight w:val="none"/>
                <w:lang w:eastAsia="zh-CN"/>
              </w:rPr>
              <w:t>。</w:t>
            </w:r>
            <w:r>
              <w:rPr>
                <w:rFonts w:hint="eastAsia" w:ascii="方正仿宋_GB2312" w:hAnsi="方正仿宋_GB2312" w:eastAsia="方正仿宋_GB2312" w:cs="方正仿宋_GB2312"/>
                <w:b w:val="0"/>
                <w:bCs w:val="0"/>
                <w:color w:val="auto"/>
                <w:sz w:val="21"/>
                <w:szCs w:val="21"/>
                <w:highlight w:val="none"/>
              </w:rPr>
              <w:t>缝纫线线条间隙均匀平整，线条流畅</w:t>
            </w:r>
            <w:r>
              <w:rPr>
                <w:rFonts w:hint="eastAsia" w:ascii="方正仿宋_GB2312" w:hAnsi="方正仿宋_GB2312" w:eastAsia="方正仿宋_GB2312" w:cs="方正仿宋_GB2312"/>
                <w:b w:val="0"/>
                <w:bCs w:val="0"/>
                <w:color w:val="auto"/>
                <w:sz w:val="21"/>
                <w:szCs w:val="21"/>
                <w:highlight w:val="none"/>
                <w:lang w:eastAsia="zh-CN"/>
              </w:rPr>
              <w:t>。</w:t>
            </w:r>
          </w:p>
          <w:p w14:paraId="0AA0C40A">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rPr>
              <w:t>2、</w:t>
            </w:r>
            <w:r>
              <w:rPr>
                <w:rFonts w:hint="eastAsia" w:ascii="方正仿宋_GB2312" w:hAnsi="方正仿宋_GB2312" w:eastAsia="方正仿宋_GB2312" w:cs="方正仿宋_GB2312"/>
                <w:b w:val="0"/>
                <w:bCs w:val="0"/>
                <w:color w:val="auto"/>
                <w:sz w:val="21"/>
                <w:szCs w:val="21"/>
                <w:highlight w:val="none"/>
                <w:lang w:val="en-US" w:eastAsia="zh-CN"/>
              </w:rPr>
              <w:t>海绵①依据GB/T10802-2023，回弹率≥35％，75％压缩永久变形≤6％，65％/25％压陷比≥1.8，拉伸强度≥100kPa，断裂伸长率≥110％，撕裂强度≥1.8N/cm，干热老化后拉伸强度≥90kPa，干热老化拉伸强度变化率≤±30％，湿热老化后拉伸强度≥55kPa，湿热老化拉伸强度变化率≤±30％，灰分≤2.75％。</w:t>
            </w:r>
          </w:p>
          <w:p w14:paraId="4282514F">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3</w:t>
            </w:r>
            <w:r>
              <w:rPr>
                <w:rFonts w:hint="eastAsia" w:ascii="方正仿宋_GB2312" w:hAnsi="方正仿宋_GB2312" w:eastAsia="方正仿宋_GB2312" w:cs="方正仿宋_GB2312"/>
                <w:b w:val="0"/>
                <w:bCs w:val="0"/>
                <w:color w:val="auto"/>
                <w:sz w:val="21"/>
                <w:szCs w:val="21"/>
                <w:highlight w:val="none"/>
                <w:lang w:val="en-US"/>
              </w:rPr>
              <w:t>、脚架</w:t>
            </w:r>
            <w:r>
              <w:rPr>
                <w:rFonts w:hint="eastAsia" w:ascii="方正仿宋_GB2312" w:hAnsi="方正仿宋_GB2312" w:eastAsia="方正仿宋_GB2312" w:cs="方正仿宋_GB2312"/>
                <w:b w:val="0"/>
                <w:bCs w:val="0"/>
                <w:color w:val="auto"/>
                <w:sz w:val="21"/>
                <w:szCs w:val="21"/>
                <w:highlight w:val="none"/>
                <w:lang w:val="en-US" w:eastAsia="zh-CN"/>
              </w:rPr>
              <w:t>：</w:t>
            </w:r>
            <w:r>
              <w:rPr>
                <w:rFonts w:hint="eastAsia" w:ascii="方正仿宋_GB2312" w:hAnsi="方正仿宋_GB2312" w:eastAsia="方正仿宋_GB2312" w:cs="方正仿宋_GB2312"/>
                <w:b w:val="0"/>
                <w:bCs w:val="0"/>
                <w:color w:val="auto"/>
                <w:sz w:val="21"/>
                <w:szCs w:val="21"/>
                <w:highlight w:val="none"/>
              </w:rPr>
              <w:t>304不锈钢</w:t>
            </w:r>
            <w:r>
              <w:rPr>
                <w:rFonts w:hint="eastAsia" w:ascii="方正仿宋_GB2312" w:hAnsi="方正仿宋_GB2312" w:eastAsia="方正仿宋_GB2312" w:cs="方正仿宋_GB2312"/>
                <w:b w:val="0"/>
                <w:bCs w:val="0"/>
                <w:color w:val="auto"/>
                <w:sz w:val="21"/>
                <w:szCs w:val="21"/>
                <w:highlight w:val="none"/>
                <w:lang w:val="en-US" w:eastAsia="zh-CN"/>
              </w:rPr>
              <w:t>亮面脚架</w:t>
            </w:r>
            <w:r>
              <w:rPr>
                <w:rFonts w:hint="eastAsia" w:ascii="方正仿宋_GB2312" w:hAnsi="方正仿宋_GB2312" w:eastAsia="方正仿宋_GB2312" w:cs="方正仿宋_GB2312"/>
                <w:b w:val="0"/>
                <w:bCs w:val="0"/>
                <w:color w:val="auto"/>
                <w:sz w:val="21"/>
                <w:szCs w:val="21"/>
                <w:highlight w:val="none"/>
                <w:lang w:val="en-US"/>
              </w:rPr>
              <w:t>。</w:t>
            </w:r>
          </w:p>
          <w:p w14:paraId="45E6FA4D">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eastAsia="zh-CN"/>
              </w:rPr>
            </w:pPr>
            <w:r>
              <w:rPr>
                <w:rFonts w:hint="eastAsia" w:ascii="方正仿宋_GB2312" w:hAnsi="方正仿宋_GB2312" w:eastAsia="方正仿宋_GB2312" w:cs="方正仿宋_GB2312"/>
                <w:b w:val="0"/>
                <w:bCs w:val="0"/>
                <w:color w:val="auto"/>
                <w:sz w:val="21"/>
                <w:szCs w:val="21"/>
                <w:highlight w:val="none"/>
                <w:lang w:val="en-US" w:eastAsia="zh-CN"/>
              </w:rPr>
              <w:t>4</w:t>
            </w:r>
            <w:r>
              <w:rPr>
                <w:rFonts w:hint="eastAsia" w:ascii="方正仿宋_GB2312" w:hAnsi="方正仿宋_GB2312" w:eastAsia="方正仿宋_GB2312" w:cs="方正仿宋_GB2312"/>
                <w:b w:val="0"/>
                <w:bCs w:val="0"/>
                <w:color w:val="auto"/>
                <w:sz w:val="21"/>
                <w:szCs w:val="21"/>
                <w:highlight w:val="none"/>
                <w:lang w:val="en-US"/>
              </w:rPr>
              <w:t>、</w:t>
            </w:r>
            <w:r>
              <w:rPr>
                <w:rFonts w:hint="eastAsia" w:ascii="方正仿宋_GB2312" w:hAnsi="方正仿宋_GB2312" w:eastAsia="方正仿宋_GB2312" w:cs="方正仿宋_GB2312"/>
                <w:b w:val="0"/>
                <w:bCs w:val="0"/>
                <w:color w:val="auto"/>
                <w:sz w:val="21"/>
                <w:szCs w:val="21"/>
                <w:highlight w:val="none"/>
              </w:rPr>
              <w:t>基材：实木框架，材质坚硬钢性强，含水率≤8%，经防腐、防虫、防潮等处理</w:t>
            </w:r>
            <w:r>
              <w:rPr>
                <w:rFonts w:hint="eastAsia" w:ascii="方正仿宋_GB2312" w:hAnsi="方正仿宋_GB2312" w:eastAsia="方正仿宋_GB2312" w:cs="方正仿宋_GB2312"/>
                <w:b w:val="0"/>
                <w:bCs w:val="0"/>
                <w:color w:val="auto"/>
                <w:sz w:val="21"/>
                <w:szCs w:val="21"/>
                <w:highlight w:val="none"/>
                <w:lang w:eastAsia="zh-CN"/>
              </w:rPr>
              <w:t>。</w:t>
            </w:r>
          </w:p>
          <w:p w14:paraId="15C1E37C">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5、整体结构构成：整体方正造型，椅背为缝线菱形花纹造型，窄扶手，扶手宽度不超过150mm。根据人体功效设计，坐感舒适。</w:t>
            </w:r>
          </w:p>
        </w:tc>
      </w:tr>
      <w:tr w14:paraId="7FBE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0" w:type="dxa"/>
            <w:shd w:val="clear" w:color="auto" w:fill="FFFFFF"/>
            <w:noWrap w:val="0"/>
            <w:vAlign w:val="center"/>
          </w:tcPr>
          <w:p w14:paraId="6432A906">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bidi="ar"/>
              </w:rPr>
            </w:pPr>
          </w:p>
          <w:p w14:paraId="280A369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12</w:t>
            </w:r>
          </w:p>
        </w:tc>
        <w:tc>
          <w:tcPr>
            <w:tcW w:w="2800" w:type="dxa"/>
            <w:shd w:val="clear" w:color="auto" w:fill="FFFFFF"/>
            <w:noWrap w:val="0"/>
            <w:vAlign w:val="center"/>
          </w:tcPr>
          <w:p w14:paraId="51415315">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69504" behindDoc="0" locked="0" layoutInCell="1" allowOverlap="1">
                  <wp:simplePos x="0" y="0"/>
                  <wp:positionH relativeFrom="column">
                    <wp:posOffset>497840</wp:posOffset>
                  </wp:positionH>
                  <wp:positionV relativeFrom="paragraph">
                    <wp:posOffset>895350</wp:posOffset>
                  </wp:positionV>
                  <wp:extent cx="723900" cy="962660"/>
                  <wp:effectExtent l="0" t="0" r="7620" b="12700"/>
                  <wp:wrapTopAndBottom/>
                  <wp:docPr id="4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8"/>
                          <pic:cNvPicPr>
                            <a:picLocks noChangeAspect="1"/>
                          </pic:cNvPicPr>
                        </pic:nvPicPr>
                        <pic:blipFill>
                          <a:blip r:embed="rId13"/>
                          <a:stretch>
                            <a:fillRect/>
                          </a:stretch>
                        </pic:blipFill>
                        <pic:spPr>
                          <a:xfrm>
                            <a:off x="0" y="0"/>
                            <a:ext cx="723900" cy="962660"/>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rPr>
              <w:t>扁管椅</w:t>
            </w:r>
          </w:p>
        </w:tc>
        <w:tc>
          <w:tcPr>
            <w:tcW w:w="1160" w:type="dxa"/>
            <w:shd w:val="clear" w:color="auto" w:fill="FFFFFF"/>
            <w:noWrap w:val="0"/>
            <w:vAlign w:val="center"/>
          </w:tcPr>
          <w:p w14:paraId="09625B9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eastAsia="zh-CN"/>
              </w:rPr>
              <w:t>：</w:t>
            </w:r>
            <w:r>
              <w:rPr>
                <w:rFonts w:hint="eastAsia" w:ascii="方正仿宋_GB2312" w:hAnsi="方正仿宋_GB2312" w:eastAsia="方正仿宋_GB2312" w:cs="方正仿宋_GB2312"/>
                <w:color w:val="auto"/>
                <w:sz w:val="21"/>
                <w:szCs w:val="21"/>
                <w:highlight w:val="none"/>
                <w:lang w:val="en-US"/>
              </w:rPr>
              <w:t>570*560*1040</w:t>
            </w:r>
          </w:p>
        </w:tc>
        <w:tc>
          <w:tcPr>
            <w:tcW w:w="5350" w:type="dxa"/>
            <w:shd w:val="clear" w:color="auto" w:fill="FFFFFF"/>
            <w:noWrap w:val="0"/>
            <w:vAlign w:val="top"/>
          </w:tcPr>
          <w:p w14:paraId="18826E6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1、材质说明：椅架采用扁管钢架压弯定型，表面静电喷粉喷涂。</w:t>
            </w:r>
          </w:p>
          <w:p w14:paraId="6AEBDC0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2、西皮①依据QB/T4714-2014，物理力学性能（拉伸负荷、断裂伸长率、撕裂负荷、剥离负荷）均检测合格，表面颜色牢度（干摩擦≥4级，湿摩擦≥3级，汗液摩擦≥3级），表面性能（表面颜色迁移性、耐磨性、耐溶剂性）均检测合格；②依据QB/T4199-2011，防霉性能要求防霉菌等级达到1级，具有防霉性。</w:t>
            </w:r>
          </w:p>
          <w:p w14:paraId="3793D332">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3、海绵①依据GB/T10802-2023，回弹率≥35％，75％压缩永久变形≤6％，65％/25％压陷比≥1.8，拉伸强度≥100kPa，断裂伸长率≥110％，撕裂强度≥1.8N/cm，干热老化后拉伸强度≥90kPa，干热老化拉伸强度变化率≤±30％，湿热老化后拉伸强度≥55kPa，湿热老化拉伸强度变化率≤±30％，灰分≤2.75％。</w:t>
            </w:r>
          </w:p>
          <w:p w14:paraId="14941792">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4、曲木板：12mm外板/6mm内板，满足《室内装饰装修材料木家具中有害物质限量》。</w:t>
            </w:r>
          </w:p>
          <w:p w14:paraId="421DBF89">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5、弓形脚：一体式弓形脚架，壁厚2.0mm钢管折弯而成，表面电镀。椅身水平，坐时无左右倾侧、摇摆现象，椅子前后倾仰无杂音。</w:t>
            </w:r>
          </w:p>
        </w:tc>
      </w:tr>
      <w:tr w14:paraId="6628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0F221984">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13</w:t>
            </w:r>
          </w:p>
        </w:tc>
        <w:tc>
          <w:tcPr>
            <w:tcW w:w="2800" w:type="dxa"/>
            <w:shd w:val="clear" w:color="auto" w:fill="FFFFFF"/>
            <w:noWrap w:val="0"/>
            <w:vAlign w:val="center"/>
          </w:tcPr>
          <w:p w14:paraId="25192072">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68480" behindDoc="0" locked="0" layoutInCell="1" allowOverlap="1">
                  <wp:simplePos x="0" y="0"/>
                  <wp:positionH relativeFrom="column">
                    <wp:posOffset>345440</wp:posOffset>
                  </wp:positionH>
                  <wp:positionV relativeFrom="paragraph">
                    <wp:posOffset>-1282700</wp:posOffset>
                  </wp:positionV>
                  <wp:extent cx="850265" cy="1224280"/>
                  <wp:effectExtent l="0" t="0" r="3175" b="10160"/>
                  <wp:wrapTopAndBottom/>
                  <wp:docPr id="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4"/>
                          <pic:cNvPicPr>
                            <a:picLocks noChangeAspect="1"/>
                          </pic:cNvPicPr>
                        </pic:nvPicPr>
                        <pic:blipFill>
                          <a:blip r:embed="rId14"/>
                          <a:stretch>
                            <a:fillRect/>
                          </a:stretch>
                        </pic:blipFill>
                        <pic:spPr>
                          <a:xfrm>
                            <a:off x="0" y="0"/>
                            <a:ext cx="850265" cy="1224280"/>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rPr>
              <w:t>班前椅</w:t>
            </w:r>
          </w:p>
        </w:tc>
        <w:tc>
          <w:tcPr>
            <w:tcW w:w="1160" w:type="dxa"/>
            <w:shd w:val="clear" w:color="auto" w:fill="FFFFFF"/>
            <w:noWrap w:val="0"/>
            <w:vAlign w:val="center"/>
          </w:tcPr>
          <w:p w14:paraId="6245227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尺寸（长*宽*高）：912*595*615</w:t>
            </w:r>
          </w:p>
        </w:tc>
        <w:tc>
          <w:tcPr>
            <w:tcW w:w="5350" w:type="dxa"/>
            <w:shd w:val="clear" w:color="auto" w:fill="FFFFFF"/>
            <w:noWrap w:val="0"/>
            <w:vAlign w:val="top"/>
          </w:tcPr>
          <w:p w14:paraId="52C0ADD5">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1、椅背：（聚丙烯+玻纤/PP+GF）一次注塑成型椅背，舒适透气。</w:t>
            </w:r>
          </w:p>
          <w:p w14:paraId="3635F64D">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2、腰靠：内置弹簧蝴蝶腰靠（腰面为ABS料），腰面紧密贴合人体腰部，对腰部脊椎变形起到一定的保护作用。</w:t>
            </w:r>
          </w:p>
          <w:p w14:paraId="3AC96C06">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3、扶手：（聚丙烯+玻纤/PP+GF）一体成型连体固定扶手。</w:t>
            </w:r>
          </w:p>
          <w:p w14:paraId="5B5E81BA">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4、座垫：海绵①依据GB/T10802-2023，回弹率≥35％，75％压缩永久变形≤6％，65％/25％压陷比≥1.8，拉伸强度≥100kPa，断裂伸长率≥110％，撕裂强度≥1.8N/cm，干热老化后拉伸强度≥90kPa，干热老化拉伸强度变化率≤±30％，湿热老化后拉伸强度≥55kPa，湿热老化拉伸强度变化率≤±30％，灰分≤2.75％。</w:t>
            </w:r>
          </w:p>
          <w:p w14:paraId="5C781FAB">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5、面料：采用透气网布面料，网布①依据HJ2547-2016，重金属总量铅（Pb）≤10.0mg/kg、镉（Cd）≤10.0mg/kg；②依据GB18401-2010，甲醛含量≤75mg/kg，pH值4.0～8.5；染色牢度（耐水、耐酸汗渍、耐干摩擦）均检测合格；可分解致癌芳香胺染料禁用且未检出。</w:t>
            </w:r>
          </w:p>
          <w:p w14:paraId="34FB783B">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6、弓形架：25圆管，2.0厚套管，钢架经过酸化磷洗，喷涂处理。椅身水平，坐时无左右倾侧、摇摆现象，椅子前后倾仰无杂音。</w:t>
            </w:r>
          </w:p>
        </w:tc>
      </w:tr>
      <w:tr w14:paraId="0DCF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2138ABD2">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bidi="ar"/>
              </w:rPr>
              <w:t>14</w:t>
            </w:r>
          </w:p>
        </w:tc>
        <w:tc>
          <w:tcPr>
            <w:tcW w:w="2800" w:type="dxa"/>
            <w:shd w:val="clear" w:color="auto" w:fill="FFFFFF"/>
            <w:noWrap w:val="0"/>
            <w:vAlign w:val="center"/>
          </w:tcPr>
          <w:p w14:paraId="6EC91F2B">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rPr>
              <w:t>实木办公椅</w:t>
            </w: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70528" behindDoc="0" locked="0" layoutInCell="1" allowOverlap="1">
                  <wp:simplePos x="0" y="0"/>
                  <wp:positionH relativeFrom="column">
                    <wp:posOffset>440690</wp:posOffset>
                  </wp:positionH>
                  <wp:positionV relativeFrom="paragraph">
                    <wp:posOffset>1111250</wp:posOffset>
                  </wp:positionV>
                  <wp:extent cx="719455" cy="1067435"/>
                  <wp:effectExtent l="0" t="0" r="12065" b="14605"/>
                  <wp:wrapTopAndBottom/>
                  <wp:docPr id="46"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8" descr="IMG_256"/>
                          <pic:cNvPicPr>
                            <a:picLocks noChangeAspect="1"/>
                          </pic:cNvPicPr>
                        </pic:nvPicPr>
                        <pic:blipFill>
                          <a:blip r:embed="rId15"/>
                          <a:stretch>
                            <a:fillRect/>
                          </a:stretch>
                        </pic:blipFill>
                        <pic:spPr>
                          <a:xfrm>
                            <a:off x="0" y="0"/>
                            <a:ext cx="719455" cy="1067435"/>
                          </a:xfrm>
                          <a:prstGeom prst="rect">
                            <a:avLst/>
                          </a:prstGeom>
                          <a:noFill/>
                          <a:ln>
                            <a:noFill/>
                          </a:ln>
                        </pic:spPr>
                      </pic:pic>
                    </a:graphicData>
                  </a:graphic>
                </wp:anchor>
              </w:drawing>
            </w:r>
          </w:p>
        </w:tc>
        <w:tc>
          <w:tcPr>
            <w:tcW w:w="1160" w:type="dxa"/>
            <w:shd w:val="clear" w:color="auto" w:fill="FFFFFF"/>
            <w:noWrap w:val="0"/>
            <w:vAlign w:val="center"/>
          </w:tcPr>
          <w:p w14:paraId="6383DCB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bidi="ar"/>
              </w:rPr>
              <w:t>规格尺寸：</w:t>
            </w:r>
            <w:r>
              <w:rPr>
                <w:rFonts w:hint="eastAsia" w:ascii="方正仿宋_GB2312" w:hAnsi="方正仿宋_GB2312" w:eastAsia="方正仿宋_GB2312" w:cs="方正仿宋_GB2312"/>
                <w:color w:val="auto"/>
                <w:sz w:val="21"/>
                <w:szCs w:val="21"/>
                <w:highlight w:val="none"/>
              </w:rPr>
              <w:t>450*450*90</w:t>
            </w:r>
            <w:r>
              <w:rPr>
                <w:rFonts w:hint="eastAsia" w:ascii="方正仿宋_GB2312" w:hAnsi="方正仿宋_GB2312" w:eastAsia="方正仿宋_GB2312" w:cs="方正仿宋_GB2312"/>
                <w:color w:val="auto"/>
                <w:sz w:val="21"/>
                <w:szCs w:val="21"/>
                <w:highlight w:val="none"/>
                <w:lang w:val="en-US" w:eastAsia="zh-CN"/>
              </w:rPr>
              <w:t>0</w:t>
            </w:r>
          </w:p>
        </w:tc>
        <w:tc>
          <w:tcPr>
            <w:tcW w:w="5350" w:type="dxa"/>
            <w:shd w:val="clear" w:color="auto" w:fill="FFFFFF"/>
            <w:noWrap w:val="0"/>
            <w:vAlign w:val="top"/>
          </w:tcPr>
          <w:p w14:paraId="7B994CF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1、面料：采用环保皮饰面，皮面光泽，透气，肤感柔软舒适，经液态浸色及防潮、防污等工艺处理。</w:t>
            </w:r>
          </w:p>
          <w:p w14:paraId="543B61E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2、油漆：水性漆，①依据GB/T23999-2009，不挥发物≥40％，硬度（擦伤）≥B，附着力（划格间距2mm）≤1级，贮存稳定性[（50±2）℃，7d]无异常，耐水性（24h）无异常，耐沸水性（15min）无异常，耐碱性无异常，耐醇性无异常，耐干热性≤2级。</w:t>
            </w:r>
          </w:p>
          <w:p w14:paraId="0201766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3、海绵①依据GB/T10802-2023，回弹率≥35％，75％压缩永久变形≤6％，65％/25％压陷比≥1.8，拉伸强度≥100kPa，断裂伸长率≥110％，撕裂强度≥1.8N/cm，干热老化后拉伸强度≥90kPa，干热老化拉伸强度变化率≤±30％，湿热老化后拉伸强度≥55kPa，湿热老化拉伸强度变化率≤±30％，灰分≤2.75％。</w:t>
            </w:r>
          </w:p>
          <w:p w14:paraId="2A42504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4、框架：全榉木框架，材质坚硬刚性强，经过防潮、防虫、防腐处理，面材木纹自然清晰。</w:t>
            </w:r>
          </w:p>
          <w:p w14:paraId="4AF827F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办公椅依据人体工学原理设计，坐感舒适；缝纫线线条间隙均匀平整，线条流畅，转角顺畅，后背及底座饱满，富有弹性，办公椅木材衔接处，应加防锈金属角码加强固定。</w:t>
            </w:r>
          </w:p>
        </w:tc>
      </w:tr>
      <w:tr w14:paraId="2A84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8" w:hRule="atLeast"/>
        </w:trPr>
        <w:tc>
          <w:tcPr>
            <w:tcW w:w="580" w:type="dxa"/>
            <w:shd w:val="clear" w:color="auto" w:fill="FFFFFF"/>
            <w:noWrap w:val="0"/>
            <w:vAlign w:val="center"/>
          </w:tcPr>
          <w:p w14:paraId="7BE54A9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15</w:t>
            </w:r>
          </w:p>
        </w:tc>
        <w:tc>
          <w:tcPr>
            <w:tcW w:w="2800" w:type="dxa"/>
            <w:shd w:val="clear" w:color="auto" w:fill="FFFFFF"/>
            <w:noWrap w:val="0"/>
            <w:vAlign w:val="center"/>
          </w:tcPr>
          <w:p w14:paraId="7EF2688F">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电脑椅</w:t>
            </w: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71552" behindDoc="0" locked="0" layoutInCell="1" allowOverlap="1">
                  <wp:simplePos x="0" y="0"/>
                  <wp:positionH relativeFrom="column">
                    <wp:posOffset>135890</wp:posOffset>
                  </wp:positionH>
                  <wp:positionV relativeFrom="paragraph">
                    <wp:posOffset>1333500</wp:posOffset>
                  </wp:positionV>
                  <wp:extent cx="1165225" cy="1726565"/>
                  <wp:effectExtent l="0" t="0" r="8255" b="10795"/>
                  <wp:wrapTopAndBottom/>
                  <wp:docPr id="49" name="图片 19" descr="永佳-乐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9" descr="永佳-乐亨"/>
                          <pic:cNvPicPr>
                            <a:picLocks noChangeAspect="1"/>
                          </pic:cNvPicPr>
                        </pic:nvPicPr>
                        <pic:blipFill>
                          <a:blip r:embed="rId16"/>
                          <a:stretch>
                            <a:fillRect/>
                          </a:stretch>
                        </pic:blipFill>
                        <pic:spPr>
                          <a:xfrm>
                            <a:off x="0" y="0"/>
                            <a:ext cx="1165225" cy="1726565"/>
                          </a:xfrm>
                          <a:prstGeom prst="rect">
                            <a:avLst/>
                          </a:prstGeom>
                          <a:noFill/>
                          <a:ln>
                            <a:noFill/>
                          </a:ln>
                        </pic:spPr>
                      </pic:pic>
                    </a:graphicData>
                  </a:graphic>
                </wp:anchor>
              </w:drawing>
            </w:r>
          </w:p>
        </w:tc>
        <w:tc>
          <w:tcPr>
            <w:tcW w:w="1160" w:type="dxa"/>
            <w:shd w:val="clear" w:color="auto" w:fill="FFFFFF"/>
            <w:noWrap w:val="0"/>
            <w:vAlign w:val="center"/>
          </w:tcPr>
          <w:p w14:paraId="19F9152B">
            <w:pPr>
              <w:pStyle w:val="5"/>
              <w:keepNext w:val="0"/>
              <w:keepLines w:val="0"/>
              <w:pageBreakBefore w:val="0"/>
              <w:kinsoku/>
              <w:wordWrap/>
              <w:overflowPunct/>
              <w:topLinePunct w:val="0"/>
              <w:autoSpaceDE/>
              <w:autoSpaceDN/>
              <w:bidi w:val="0"/>
              <w:adjustRightInd/>
              <w:snapToGrid/>
              <w:spacing w:before="0" w:after="0" w:line="0" w:lineRule="atLeast"/>
              <w:jc w:val="left"/>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规格尺寸：1085*575*660</w:t>
            </w:r>
          </w:p>
        </w:tc>
        <w:tc>
          <w:tcPr>
            <w:tcW w:w="5350" w:type="dxa"/>
            <w:shd w:val="clear" w:color="auto" w:fill="FFFFFF"/>
            <w:noWrap w:val="0"/>
            <w:vAlign w:val="top"/>
          </w:tcPr>
          <w:p w14:paraId="3CB290D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1、腰靠：PU一次发泡定型腰靠，紧密贴护腰椎，据人体舒适度可上下调节，调节行程≥48mm。适应人体腰部曲线特点，对腰部疲劳有一定的缓解作用，能保护腰椎。</w:t>
            </w:r>
          </w:p>
          <w:p w14:paraId="794ABF2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2、椅背：外框采用PA+GF（尼龙+玻纤）材质。稳定、耐热、耐老化。</w:t>
            </w:r>
          </w:p>
          <w:p w14:paraId="3F35787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3、网布①依据HJ2547-2016，重金属总量铅（Pb）≤10.0mg/kg、镉（Cd）≤10.0mg/kg；②依据GB18401-2010，甲醛含量≤75mg/kg，pH值4.0～8.5；染色牢度（耐水、耐酸汗渍、耐干摩擦）均检测合格；可分解致癌芳香胺染料禁用且未检出。</w:t>
            </w:r>
          </w:p>
          <w:p w14:paraId="0CBF7CF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4、扶手：采用PA+GF（尼龙+玻纤）材质，一次注塑成型固定扶手。稳定、耐热、耐老化。</w:t>
            </w:r>
          </w:p>
          <w:p w14:paraId="2C38FC2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5、坐垫：海绵①依据GB/T10802-2023，回弹率≥35％，75％压缩永久变形≤6％，65％/25％压陷比≥1.8，拉伸强度≥100kPa，断裂伸长率≥110％，撕裂强度≥1.8N/cm，干热老化后拉伸强度≥90kPa，干热老化拉伸强度变化率≤±30％，湿热老化后拉伸强度≥55kPa，湿热老化拉伸强度变化率≤±30％，灰分≤2.75％。</w:t>
            </w:r>
          </w:p>
          <w:p w14:paraId="42E10AB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6、坐垫底盘：一档倾仰锁定底盘。采用≥3mm防爆钢板，对人身安全起到有效防护作用。</w:t>
            </w:r>
          </w:p>
          <w:p w14:paraId="3E14BB7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7、气压棒：上下升降行程达100mm，</w:t>
            </w:r>
          </w:p>
          <w:p w14:paraId="7017C9B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气压棒①依据GB/T29525-2013，力特性（标称力Fx、标称力允许偏差、动态摩擦力最大值、启动力Fo）检测合格；密封性能，耐高低温性能，循环寿命均检测合格，伸展速度70～150mm/s，强度性能（抗压强度、侧拉强度、抗拉强度）检测合格；</w:t>
            </w:r>
          </w:p>
          <w:p w14:paraId="077C85C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②依据GB/T10125-2021，经过人造气氛腐蚀试验（盐雾试验）后保护评级（Rᴘ）、外观评级（Rᴀ）均达到10级。</w:t>
            </w:r>
          </w:p>
          <w:p w14:paraId="632CCE3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8、脚架：脚架半径≥340mm，PA+GF（尼龙+玻纤）一次注塑成型五星脚，通过静压测试标准。</w:t>
            </w:r>
          </w:p>
          <w:p w14:paraId="03CF8F7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9、脚轮：直径≥60mm，采用PA（尼龙）材质。耐磨、静音，滑动旋转灵敏。</w:t>
            </w:r>
          </w:p>
          <w:p w14:paraId="751F152F">
            <w:pPr>
              <w:keepNext w:val="0"/>
              <w:keepLines w:val="0"/>
              <w:pageBreakBefore w:val="0"/>
              <w:kinsoku/>
              <w:wordWrap/>
              <w:overflowPunct/>
              <w:topLinePunct w:val="0"/>
              <w:autoSpaceDE/>
              <w:autoSpaceDN/>
              <w:bidi w:val="0"/>
              <w:adjustRightInd/>
              <w:snapToGrid/>
              <w:spacing w:line="0" w:lineRule="atLeast"/>
              <w:rPr>
                <w:rFonts w:hint="eastAsia" w:ascii="方正仿宋_GB2312" w:hAnsi="方正仿宋_GB2312" w:eastAsia="方正仿宋_GB2312" w:cs="方正仿宋_GB2312"/>
                <w:b w:val="0"/>
                <w:bCs w:val="0"/>
                <w:color w:val="auto"/>
                <w:kern w:val="2"/>
                <w:sz w:val="21"/>
                <w:szCs w:val="21"/>
                <w:highlight w:val="none"/>
                <w:lang w:val="en-US" w:eastAsia="zh-CN" w:bidi="ar-SA"/>
              </w:rPr>
            </w:pPr>
          </w:p>
        </w:tc>
      </w:tr>
      <w:tr w14:paraId="5965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53E44D2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bidi="ar"/>
              </w:rPr>
              <w:t>1</w:t>
            </w:r>
            <w:r>
              <w:rPr>
                <w:rFonts w:hint="eastAsia" w:ascii="方正仿宋_GB2312" w:hAnsi="方正仿宋_GB2312" w:eastAsia="方正仿宋_GB2312" w:cs="方正仿宋_GB2312"/>
                <w:color w:val="auto"/>
                <w:sz w:val="21"/>
                <w:szCs w:val="21"/>
                <w:highlight w:val="none"/>
                <w:lang w:val="en-US" w:eastAsia="zh-CN" w:bidi="ar"/>
              </w:rPr>
              <w:t>6</w:t>
            </w:r>
          </w:p>
        </w:tc>
        <w:tc>
          <w:tcPr>
            <w:tcW w:w="2800" w:type="dxa"/>
            <w:shd w:val="clear" w:color="auto" w:fill="FFFFFF"/>
            <w:noWrap w:val="0"/>
            <w:vAlign w:val="center"/>
          </w:tcPr>
          <w:p w14:paraId="4763398C">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板材</w:t>
            </w:r>
            <w:r>
              <w:rPr>
                <w:rFonts w:hint="eastAsia" w:ascii="方正仿宋_GB2312" w:hAnsi="方正仿宋_GB2312" w:eastAsia="方正仿宋_GB2312" w:cs="方正仿宋_GB2312"/>
                <w:color w:val="auto"/>
                <w:sz w:val="21"/>
                <w:szCs w:val="21"/>
                <w:highlight w:val="none"/>
                <w:lang w:val="en-US"/>
              </w:rPr>
              <w:t>文件柜</w:t>
            </w:r>
            <w:r>
              <w:rPr>
                <w:rFonts w:hint="eastAsia" w:ascii="方正仿宋_GB2312" w:hAnsi="方正仿宋_GB2312" w:eastAsia="方正仿宋_GB2312" w:cs="方正仿宋_GB2312"/>
                <w:color w:val="auto"/>
                <w:kern w:val="0"/>
                <w:sz w:val="21"/>
                <w:szCs w:val="21"/>
                <w:highlight w:val="none"/>
              </w:rPr>
              <w:drawing>
                <wp:anchor distT="0" distB="0" distL="114300" distR="114300" simplePos="0" relativeHeight="251681792" behindDoc="0" locked="0" layoutInCell="1" allowOverlap="1">
                  <wp:simplePos x="0" y="0"/>
                  <wp:positionH relativeFrom="column">
                    <wp:posOffset>259715</wp:posOffset>
                  </wp:positionH>
                  <wp:positionV relativeFrom="paragraph">
                    <wp:posOffset>1612900</wp:posOffset>
                  </wp:positionV>
                  <wp:extent cx="1085850" cy="2019300"/>
                  <wp:effectExtent l="0" t="0" r="11430" b="7620"/>
                  <wp:wrapTopAndBottom/>
                  <wp:docPr id="52" name="图片 24"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4" descr="IMG_264"/>
                          <pic:cNvPicPr>
                            <a:picLocks noChangeAspect="1"/>
                          </pic:cNvPicPr>
                        </pic:nvPicPr>
                        <pic:blipFill>
                          <a:blip r:embed="rId17"/>
                          <a:stretch>
                            <a:fillRect/>
                          </a:stretch>
                        </pic:blipFill>
                        <pic:spPr>
                          <a:xfrm>
                            <a:off x="0" y="0"/>
                            <a:ext cx="1085850" cy="2019300"/>
                          </a:xfrm>
                          <a:prstGeom prst="rect">
                            <a:avLst/>
                          </a:prstGeom>
                          <a:noFill/>
                          <a:ln>
                            <a:noFill/>
                          </a:ln>
                        </pic:spPr>
                      </pic:pic>
                    </a:graphicData>
                  </a:graphic>
                </wp:anchor>
              </w:drawing>
            </w:r>
          </w:p>
        </w:tc>
        <w:tc>
          <w:tcPr>
            <w:tcW w:w="1160" w:type="dxa"/>
            <w:shd w:val="clear" w:color="auto" w:fill="FFFFFF"/>
            <w:noWrap w:val="0"/>
            <w:vAlign w:val="center"/>
          </w:tcPr>
          <w:p w14:paraId="17FADCA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规格尺寸：</w:t>
            </w:r>
            <w:r>
              <w:rPr>
                <w:rFonts w:hint="eastAsia" w:ascii="方正仿宋_GB2312" w:hAnsi="方正仿宋_GB2312" w:eastAsia="方正仿宋_GB2312" w:cs="方正仿宋_GB2312"/>
                <w:color w:val="auto"/>
                <w:sz w:val="21"/>
                <w:szCs w:val="21"/>
                <w:highlight w:val="none"/>
              </w:rPr>
              <w:t>800*400*2000</w:t>
            </w:r>
          </w:p>
        </w:tc>
        <w:tc>
          <w:tcPr>
            <w:tcW w:w="5350" w:type="dxa"/>
            <w:shd w:val="clear" w:color="auto" w:fill="FFFFFF"/>
            <w:noWrap w:val="0"/>
            <w:vAlign w:val="top"/>
          </w:tcPr>
          <w:p w14:paraId="465B6DAD">
            <w:pPr>
              <w:keepNext w:val="0"/>
              <w:keepLines w:val="0"/>
              <w:pageBreakBefore w:val="0"/>
              <w:widowControl/>
              <w:numPr>
                <w:ilvl w:val="0"/>
                <w:numId w:val="0"/>
              </w:numPr>
              <w:kinsoku/>
              <w:wordWrap/>
              <w:overflowPunct/>
              <w:topLinePunct w:val="0"/>
              <w:autoSpaceDE/>
              <w:autoSpaceDN/>
              <w:bidi w:val="0"/>
              <w:adjustRightInd/>
              <w:snapToGrid/>
              <w:spacing w:line="0" w:lineRule="atLeast"/>
              <w:ind w:right="0" w:rightChars="0"/>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p>
          <w:p w14:paraId="268E0E3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 xml:space="preserve">1、整体结构：上半部分为双开玻璃门带锁，内置2张可移动隔板，中间为2抽屉带锁，下半部分为双开门带锁，内置1张可移动隔板。    </w:t>
            </w:r>
          </w:p>
          <w:p w14:paraId="38277B6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2、</w:t>
            </w:r>
            <w:r>
              <w:rPr>
                <w:rFonts w:hint="eastAsia" w:ascii="方正仿宋_GB2312" w:hAnsi="方正仿宋_GB2312" w:eastAsia="方正仿宋_GB2312" w:cs="方正仿宋_GB2312"/>
                <w:b w:val="0"/>
                <w:bCs w:val="0"/>
                <w:color w:val="auto"/>
                <w:sz w:val="21"/>
                <w:szCs w:val="21"/>
                <w:highlight w:val="none"/>
                <w:lang w:val="en-US" w:eastAsia="zh-CN"/>
              </w:rPr>
              <w:t>基材：板材采用三聚氰胺板，厚度≥16mm。</w:t>
            </w:r>
          </w:p>
          <w:p w14:paraId="7E77B938">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3、三聚氰胺板：</w:t>
            </w:r>
          </w:p>
          <w:p w14:paraId="21CCEC72">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①物理力学性能：</w:t>
            </w:r>
          </w:p>
          <w:p w14:paraId="5C3F2A0D">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15102-2017《浸渍胶膜纸饰面纤维板和刨花板》，静曲强度≥18MPa，弹性模量≥3500MPa，内结合强度≥0.45MPa，表面胶合强度≥0.80MPa，2h吸水厚度膨胀率≤8%。</w:t>
            </w:r>
          </w:p>
          <w:p w14:paraId="5FF7A00F">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②表面理化性能：</w:t>
            </w:r>
          </w:p>
          <w:p w14:paraId="00A2A02C">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15102-2017，表面耐干热、表面耐龟裂、表面耐水蒸气均达到 4 级以上；表面耐污染腐蚀达到 4 级以上；表面耐香烟灼烧达到 4 级以上；表面耐磨磨耗值≤350r/100r（转数越低越耐磨）；耐光色牢度≥4级（灰度卡）。</w:t>
            </w:r>
          </w:p>
          <w:p w14:paraId="505FA940">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③环保健康性能：</w:t>
            </w:r>
          </w:p>
          <w:p w14:paraId="6E0DEF39">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39600-2021《人造板及其制品甲醛释放量分级》，甲醛释放限量达到 ENF级（≤0.025 mg/m³）；依据 GB/T 35601-2024《绿色产品评价 人造板和木质地板》，挥发性有机化合物释放浓度（7d）苯≤2μg/m³、甲苯≤20μg/m³、二甲苯≤20μg/m³、总挥发性有机化合物（TVOC）≤200μg/m³。</w:t>
            </w:r>
          </w:p>
          <w:p w14:paraId="769CD353">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④抗菌防霉性能：</w:t>
            </w:r>
          </w:p>
          <w:p w14:paraId="1226F4C4">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JC/T 2039-2010《抗菌防霉木质装饰板》，对大肠杆菌、金黄色葡萄球菌等常见细菌的抗菌率≥90%；黑曲霉、黄曲霉、桔青霉的防霉菌等级达到 0 级（最高防霉等级）。</w:t>
            </w:r>
          </w:p>
          <w:p w14:paraId="44B058B8">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⑤防火安全性能：</w:t>
            </w:r>
          </w:p>
          <w:p w14:paraId="215BC7EF">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 8624-2012《建筑材料及制品燃烧性能分级》，燃烧性能等级达到 B1级（难燃材料）；依据 GB/T 20285-2006《材料产烟毒性危险分级》，产烟毒性危险分级达到准安全一级（ZA1）。</w:t>
            </w:r>
          </w:p>
          <w:p w14:paraId="0D182A0B">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4、封边条</w:t>
            </w:r>
          </w:p>
          <w:p w14:paraId="2DFDFB74">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①采用优质环保 PVC/ABS 封边条。依据 QB/T 4463-2013《家具用封边条技术要求》及相关国家标准：</w:t>
            </w:r>
          </w:p>
          <w:p w14:paraId="4B8B501E">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②环保性能：甲醛释放量、氯乙烯单体、可迁移元素（铅、镉、铬、汞等）、邻苯二甲酸酯（塑化剂）均需未检出。</w:t>
            </w:r>
          </w:p>
          <w:p w14:paraId="786F475A">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③抗菌防霉：抗菌率≥90%，防霉等级达到0级。</w:t>
            </w:r>
          </w:p>
          <w:p w14:paraId="7603AF23">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④理化性能：耐干热性、耐开裂性、耐老化性测试合格；耐磨性磨30转后无露底；耐光色牢度≥4级。</w:t>
            </w:r>
          </w:p>
          <w:p w14:paraId="32B068A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⑤板件全部四周均需进行封边处理；其中板件厚度≥20mm的，应采用厚度≥2.0mm的PVC封边条；板件厚度＜20mm的，应采用厚度≥1.0mm的PVC封边条。</w:t>
            </w:r>
          </w:p>
          <w:p w14:paraId="6886D19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5、</w:t>
            </w:r>
            <w:r>
              <w:rPr>
                <w:rFonts w:hint="eastAsia" w:ascii="方正仿宋_GB2312" w:hAnsi="方正仿宋_GB2312" w:eastAsia="方正仿宋_GB2312" w:cs="方正仿宋_GB2312"/>
                <w:b w:val="0"/>
                <w:bCs w:val="0"/>
                <w:color w:val="auto"/>
                <w:sz w:val="21"/>
                <w:szCs w:val="21"/>
                <w:highlight w:val="none"/>
                <w:lang w:val="en-US"/>
              </w:rPr>
              <w:t>五金件</w:t>
            </w:r>
          </w:p>
          <w:p w14:paraId="543FE6E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①</w:t>
            </w:r>
            <w:r>
              <w:rPr>
                <w:rFonts w:hint="eastAsia" w:ascii="方正仿宋_GB2312" w:hAnsi="方正仿宋_GB2312" w:eastAsia="方正仿宋_GB2312" w:cs="方正仿宋_GB2312"/>
                <w:color w:val="auto"/>
                <w:szCs w:val="21"/>
                <w:highlight w:val="none"/>
              </w:rPr>
              <w:t>铰链（门铰）</w:t>
            </w:r>
          </w:p>
          <w:p w14:paraId="52BA0601">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执行标准：符合现行国家标准或行业标准（如QB/T2189）中关于杯状暗铰链的技术要求。</w:t>
            </w:r>
          </w:p>
          <w:p w14:paraId="7FDCCF0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auto"/>
                <w:szCs w:val="21"/>
                <w:highlight w:val="none"/>
              </w:rPr>
              <w:t>耐久性测试循环次数≥50,000次，试验后铰链功能正常，无断裂、无卡滞，门板下沉量符合标准要求。</w:t>
            </w:r>
          </w:p>
          <w:p w14:paraId="58C25CB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耐腐蚀性：依据GB/T10125进行中性盐雾试验（NSS）≥48小时，保护评级（Rp）≥9级（表面无红锈）。</w:t>
            </w:r>
          </w:p>
          <w:p w14:paraId="529E967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②</w:t>
            </w:r>
            <w:r>
              <w:rPr>
                <w:rFonts w:hint="eastAsia" w:ascii="方正仿宋_GB2312" w:hAnsi="方正仿宋_GB2312" w:eastAsia="方正仿宋_GB2312" w:cs="方正仿宋_GB2312"/>
                <w:color w:val="auto"/>
                <w:szCs w:val="21"/>
                <w:highlight w:val="none"/>
              </w:rPr>
              <w:t>导轨（抽屉滑轨）</w:t>
            </w:r>
          </w:p>
          <w:p w14:paraId="3447D74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执行标准：符合现行国家标准或行业标准（如QB/T2454）关于抽屉导轨的技术要求。</w:t>
            </w:r>
          </w:p>
          <w:p w14:paraId="754CE0C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性能要求：垂直向下静载荷≥200N（确保抽屉满载不变形），水平侧向稳定性测试合格。</w:t>
            </w:r>
          </w:p>
          <w:p w14:paraId="502CAAC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耐久性：循环测试≥80,000次无损坏，抽拉顺畅。</w:t>
            </w:r>
          </w:p>
          <w:p w14:paraId="41C1635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③</w:t>
            </w:r>
            <w:r>
              <w:rPr>
                <w:rFonts w:hint="eastAsia" w:ascii="方正仿宋_GB2312" w:hAnsi="方正仿宋_GB2312" w:eastAsia="方正仿宋_GB2312" w:cs="方正仿宋_GB2312"/>
                <w:color w:val="auto"/>
                <w:szCs w:val="21"/>
                <w:highlight w:val="none"/>
              </w:rPr>
              <w:t>连接件（三合一/二合一）</w:t>
            </w:r>
          </w:p>
          <w:p w14:paraId="33E056B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执行标准：符合现行国家标准（如GB/T28203）关于家具连接件的技术要求。</w:t>
            </w:r>
          </w:p>
          <w:p w14:paraId="3A4C796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力学性能：偏心体抗拉强度≥250N，预埋件抗拔力≥600N，确保柜体连接牢固，长期使用不松动。</w:t>
            </w:r>
          </w:p>
          <w:p w14:paraId="05532CD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④</w:t>
            </w:r>
            <w:r>
              <w:rPr>
                <w:rFonts w:hint="eastAsia" w:ascii="方正仿宋_GB2312" w:hAnsi="方正仿宋_GB2312" w:eastAsia="方正仿宋_GB2312" w:cs="方正仿宋_GB2312"/>
                <w:color w:val="auto"/>
                <w:szCs w:val="21"/>
                <w:highlight w:val="none"/>
              </w:rPr>
              <w:t>锁具执行标准：符合QB/T1621《家具锁》标准。</w:t>
            </w:r>
          </w:p>
          <w:p w14:paraId="013792AA">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color w:val="auto"/>
                <w:szCs w:val="21"/>
                <w:highlight w:val="none"/>
              </w:rPr>
              <w:t>通用要求：开启灵活，无卡滞，互开率符合标准要求（≤0.5%），具备基本的防撬结构。</w:t>
            </w:r>
          </w:p>
        </w:tc>
      </w:tr>
      <w:tr w14:paraId="6232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789EDF14">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17</w:t>
            </w:r>
          </w:p>
        </w:tc>
        <w:tc>
          <w:tcPr>
            <w:tcW w:w="2800" w:type="dxa"/>
            <w:shd w:val="clear" w:color="auto" w:fill="FFFFFF"/>
            <w:noWrap w:val="0"/>
            <w:vAlign w:val="center"/>
          </w:tcPr>
          <w:p w14:paraId="2FDEE526">
            <w:pPr>
              <w:pStyle w:val="4"/>
              <w:keepNext w:val="0"/>
              <w:keepLines w:val="0"/>
              <w:pageBreakBefore w:val="0"/>
              <w:kinsoku/>
              <w:wordWrap/>
              <w:overflowPunct/>
              <w:topLinePunct w:val="0"/>
              <w:autoSpaceDE/>
              <w:autoSpaceDN/>
              <w:bidi w:val="0"/>
              <w:adjustRightInd/>
              <w:snapToGrid/>
              <w:spacing w:after="0"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73600" behindDoc="0" locked="0" layoutInCell="1" allowOverlap="1">
                  <wp:simplePos x="0" y="0"/>
                  <wp:positionH relativeFrom="column">
                    <wp:posOffset>347345</wp:posOffset>
                  </wp:positionH>
                  <wp:positionV relativeFrom="paragraph">
                    <wp:posOffset>-3025775</wp:posOffset>
                  </wp:positionV>
                  <wp:extent cx="1487170" cy="3051175"/>
                  <wp:effectExtent l="0" t="0" r="6350" b="12065"/>
                  <wp:wrapTopAndBottom/>
                  <wp:docPr id="5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5"/>
                          <pic:cNvPicPr>
                            <a:picLocks noChangeAspect="1"/>
                          </pic:cNvPicPr>
                        </pic:nvPicPr>
                        <pic:blipFill>
                          <a:blip r:embed="rId18"/>
                          <a:stretch>
                            <a:fillRect/>
                          </a:stretch>
                        </pic:blipFill>
                        <pic:spPr>
                          <a:xfrm>
                            <a:off x="0" y="0"/>
                            <a:ext cx="1487170" cy="3051175"/>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eastAsia="zh-CN"/>
              </w:rPr>
              <w:t>冷轧钢</w:t>
            </w:r>
            <w:r>
              <w:rPr>
                <w:rFonts w:hint="eastAsia" w:ascii="方正仿宋_GB2312" w:hAnsi="方正仿宋_GB2312" w:eastAsia="方正仿宋_GB2312" w:cs="方正仿宋_GB2312"/>
                <w:color w:val="auto"/>
                <w:sz w:val="21"/>
                <w:szCs w:val="21"/>
                <w:highlight w:val="none"/>
                <w:lang w:val="en-US"/>
              </w:rPr>
              <w:t>文件柜</w:t>
            </w:r>
          </w:p>
        </w:tc>
        <w:tc>
          <w:tcPr>
            <w:tcW w:w="1160" w:type="dxa"/>
            <w:shd w:val="clear" w:color="auto" w:fill="FFFFFF"/>
            <w:noWrap w:val="0"/>
            <w:vAlign w:val="center"/>
          </w:tcPr>
          <w:p w14:paraId="497C5C3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bidi="ar"/>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rPr>
              <w:t>900*400*2000</w:t>
            </w:r>
          </w:p>
          <w:p w14:paraId="5CD8B365">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上下柜门及抽屉尺寸可根据采购人需求进行定制调整</w:t>
            </w:r>
          </w:p>
        </w:tc>
        <w:tc>
          <w:tcPr>
            <w:tcW w:w="5350" w:type="dxa"/>
            <w:shd w:val="clear" w:color="auto" w:fill="FFFFFF"/>
            <w:noWrap w:val="0"/>
            <w:vAlign w:val="top"/>
          </w:tcPr>
          <w:p w14:paraId="1A10C0EA">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1、整体结构：上半部分为双开玻璃门带锁，内置2张可移动隔板，中间为2抽屉带锁，下半部分为双开门带锁，内置1张可移动隔板。</w:t>
            </w:r>
          </w:p>
          <w:p w14:paraId="70866857">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2、材料厚度：门板（裸板）：≥0.7mm，侧板（裸板）：≥0.6mm，其他（裸板）：≥0.5mm冷轧钢板。</w:t>
            </w:r>
          </w:p>
          <w:p w14:paraId="185F423B">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冷轧钢板：</w:t>
            </w:r>
          </w:p>
          <w:p w14:paraId="6D930021">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①依据GB/T11253-2019，力学性能（规定塑性延伸强度≥195Mpa、抗拉强度315～430Mpa、断后伸长率≥29％），弯曲试验合格，表面质量合格，表面结构（平均粗糙度）≤0.7μm，</w:t>
            </w:r>
          </w:p>
          <w:p w14:paraId="4E528344">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②依据GB/T10125-2021，人造气氛腐蚀试验（盐雾试验），保护评级和外观评级均达到10级。3、表面采用环保塑粉，静电喷塑</w:t>
            </w:r>
          </w:p>
          <w:p w14:paraId="14A27FAF">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4、柜体正面边框厚度≥8mm，柜体顶前边内置U型顶加强梁；柜体两侧及背板共有6根竖着的与柜体几乎等高的加强筋增强柜体强度，其中柜体两侧的加强筋采用数次折弯工艺成型的筋条；以增加柜体强度及承重能力；</w:t>
            </w:r>
          </w:p>
          <w:p w14:paraId="29ED6D24">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5、柜体隔板具备上下调节的功能，调节间距≤20mm，可根据使用情况调整层高；隔板加焊一根加强筋，该隔板调节竖筋采用数次折弯工艺成型的筋条；</w:t>
            </w:r>
          </w:p>
          <w:p w14:paraId="4EE4B82D">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以增加柜体强度及承重能力。</w:t>
            </w:r>
          </w:p>
          <w:p w14:paraId="69BE22CE">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6、金属拉手；</w:t>
            </w:r>
          </w:p>
          <w:p w14:paraId="2AACB118">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7、门板基材冲压双向成型式标签框，成型尺寸33*62±5mm，双向成型深度2mm；</w:t>
            </w:r>
          </w:p>
          <w:p w14:paraId="53E895BA">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8、上门铰采用≥3mm钣金冰箱式铰座，可有效控制门板开启角度，保证门板开启过程中不与柜体侧边框碰撞，保护漆面。</w:t>
            </w:r>
          </w:p>
          <w:p w14:paraId="154EF919">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9、带框玻门安装≥4mm浮法玻璃，采用U型胶条配合柔性塑料固定卡固定玻璃；因U型胶条受力挤压产生形变，使玻璃与玻门框贴合更加平整稳固，同时对玻璃起到减震保护作用。</w:t>
            </w:r>
          </w:p>
          <w:p w14:paraId="73CC28CB">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10、锁机构：由以下三部分组成：</w:t>
            </w:r>
          </w:p>
          <w:p w14:paraId="49F1262A">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A.机械转舌锁*1把、</w:t>
            </w:r>
          </w:p>
          <w:p w14:paraId="29F0351E">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B.传动轮</w:t>
            </w:r>
          </w:p>
          <w:p w14:paraId="5235DC66">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C.U型锁座</w:t>
            </w:r>
          </w:p>
          <w:p w14:paraId="33FC957C">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锁杆带2条应力释放槽的铝材制锁杆，锁杆搭配PE材质锁杆导向套安装，保证开锁轻巧、安静。</w:t>
            </w:r>
          </w:p>
          <w:p w14:paraId="5FD6F861">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11、抽屉使用两节挂式滑轨；</w:t>
            </w:r>
          </w:p>
          <w:p w14:paraId="3B9FE3D7">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12、生产工艺孔配置pp材质Φ14装饰帽，四扣位安装稳固不易掉落；</w:t>
            </w:r>
          </w:p>
        </w:tc>
      </w:tr>
      <w:tr w14:paraId="78D0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580" w:type="dxa"/>
            <w:shd w:val="clear" w:color="auto" w:fill="FFFFFF"/>
            <w:noWrap w:val="0"/>
            <w:vAlign w:val="center"/>
          </w:tcPr>
          <w:p w14:paraId="031AF216">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bidi="ar"/>
              </w:rPr>
              <w:t>1</w:t>
            </w:r>
            <w:r>
              <w:rPr>
                <w:rFonts w:hint="eastAsia" w:ascii="方正仿宋_GB2312" w:hAnsi="方正仿宋_GB2312" w:eastAsia="方正仿宋_GB2312" w:cs="方正仿宋_GB2312"/>
                <w:color w:val="auto"/>
                <w:sz w:val="21"/>
                <w:szCs w:val="21"/>
                <w:highlight w:val="none"/>
                <w:lang w:val="en-US" w:eastAsia="zh-CN" w:bidi="ar"/>
              </w:rPr>
              <w:t>8</w:t>
            </w:r>
          </w:p>
        </w:tc>
        <w:tc>
          <w:tcPr>
            <w:tcW w:w="2800" w:type="dxa"/>
            <w:shd w:val="clear" w:color="auto" w:fill="FFFFFF"/>
            <w:noWrap w:val="0"/>
            <w:vAlign w:val="center"/>
          </w:tcPr>
          <w:p w14:paraId="6D353B5C">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长</w:t>
            </w:r>
            <w:r>
              <w:rPr>
                <w:rFonts w:hint="eastAsia" w:ascii="方正仿宋_GB2312" w:hAnsi="方正仿宋_GB2312" w:eastAsia="方正仿宋_GB2312" w:cs="方正仿宋_GB2312"/>
                <w:color w:val="auto"/>
                <w:sz w:val="21"/>
                <w:szCs w:val="21"/>
                <w:highlight w:val="none"/>
                <w:lang w:val="en-US" w:eastAsia="zh-CN"/>
              </w:rPr>
              <w:t>茶几</w:t>
            </w: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72576" behindDoc="0" locked="0" layoutInCell="1" allowOverlap="1">
                  <wp:simplePos x="0" y="0"/>
                  <wp:positionH relativeFrom="column">
                    <wp:posOffset>269240</wp:posOffset>
                  </wp:positionH>
                  <wp:positionV relativeFrom="paragraph">
                    <wp:posOffset>-241300</wp:posOffset>
                  </wp:positionV>
                  <wp:extent cx="1050290" cy="567690"/>
                  <wp:effectExtent l="0" t="0" r="1270" b="11430"/>
                  <wp:wrapTopAndBottom/>
                  <wp:docPr id="54" name="图片 2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4" descr="IMG_269"/>
                          <pic:cNvPicPr>
                            <a:picLocks noChangeAspect="1"/>
                          </pic:cNvPicPr>
                        </pic:nvPicPr>
                        <pic:blipFill>
                          <a:blip r:embed="rId19"/>
                          <a:stretch>
                            <a:fillRect/>
                          </a:stretch>
                        </pic:blipFill>
                        <pic:spPr>
                          <a:xfrm>
                            <a:off x="0" y="0"/>
                            <a:ext cx="1050290" cy="567690"/>
                          </a:xfrm>
                          <a:prstGeom prst="rect">
                            <a:avLst/>
                          </a:prstGeom>
                          <a:noFill/>
                          <a:ln>
                            <a:noFill/>
                          </a:ln>
                        </pic:spPr>
                      </pic:pic>
                    </a:graphicData>
                  </a:graphic>
                </wp:anchor>
              </w:drawing>
            </w:r>
          </w:p>
        </w:tc>
        <w:tc>
          <w:tcPr>
            <w:tcW w:w="1160" w:type="dxa"/>
            <w:shd w:val="clear" w:color="auto" w:fill="FFFFFF"/>
            <w:noWrap w:val="0"/>
            <w:vAlign w:val="center"/>
          </w:tcPr>
          <w:p w14:paraId="1A4F1B3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lang w:val="en-US" w:eastAsia="zh-CN" w:bidi="ar"/>
              </w:rPr>
              <w:t>（长*宽*高）</w:t>
            </w:r>
            <w:r>
              <w:rPr>
                <w:rFonts w:hint="eastAsia" w:ascii="方正仿宋_GB2312" w:hAnsi="方正仿宋_GB2312" w:eastAsia="方正仿宋_GB2312" w:cs="方正仿宋_GB2312"/>
                <w:color w:val="auto"/>
                <w:sz w:val="21"/>
                <w:szCs w:val="21"/>
                <w:highlight w:val="none"/>
                <w:lang w:val="en-US"/>
              </w:rPr>
              <w:t>1200*600*450</w:t>
            </w:r>
          </w:p>
          <w:p w14:paraId="70FE0C5A">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color w:val="auto"/>
                <w:sz w:val="21"/>
                <w:szCs w:val="21"/>
                <w:highlight w:val="none"/>
                <w:lang w:val="en-US" w:eastAsia="zh-CN"/>
              </w:rPr>
            </w:pPr>
          </w:p>
        </w:tc>
        <w:tc>
          <w:tcPr>
            <w:tcW w:w="5350" w:type="dxa"/>
            <w:vMerge w:val="restart"/>
            <w:shd w:val="clear" w:color="auto" w:fill="FFFFFF"/>
            <w:noWrap w:val="0"/>
            <w:vAlign w:val="top"/>
          </w:tcPr>
          <w:p w14:paraId="0804E253">
            <w:pPr>
              <w:keepNext w:val="0"/>
              <w:keepLines w:val="0"/>
              <w:pageBreakBefore w:val="0"/>
              <w:numPr>
                <w:ilvl w:val="0"/>
                <w:numId w:val="0"/>
              </w:numPr>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lang w:val="en-US" w:eastAsia="zh-CN" w:bidi="ar-SA"/>
              </w:rPr>
              <w:t>1、</w:t>
            </w:r>
            <w:r>
              <w:rPr>
                <w:rFonts w:hint="eastAsia" w:ascii="方正仿宋_GB2312" w:hAnsi="方正仿宋_GB2312" w:eastAsia="方正仿宋_GB2312" w:cs="方正仿宋_GB2312"/>
                <w:b w:val="0"/>
                <w:bCs w:val="0"/>
                <w:color w:val="auto"/>
                <w:kern w:val="2"/>
                <w:sz w:val="21"/>
                <w:szCs w:val="21"/>
                <w:highlight w:val="none"/>
                <w:lang w:val="en-US" w:eastAsia="zh-CN" w:bidi="ar-SA"/>
              </w:rPr>
              <w:t>基材：采用不低于E0级实木颗粒板，三聚氰胺纸饰面；桌面厚度≥24mm；</w:t>
            </w:r>
          </w:p>
          <w:p w14:paraId="64DB91F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2、基材参数要求：</w:t>
            </w:r>
          </w:p>
          <w:p w14:paraId="316DF84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①物理力学性能：</w:t>
            </w:r>
          </w:p>
          <w:p w14:paraId="6286B41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GB/T 15102-2017《浸渍胶膜纸饰面纤维板和刨花板》，静曲强度≥18MPa，弹性模量≥3500MPa，内结合强度≥0.45MPa，表面胶合强度≥0.80MPa，2h吸水厚度膨胀率≤8%。</w:t>
            </w:r>
          </w:p>
          <w:p w14:paraId="7D274AC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②表面理化性能：</w:t>
            </w:r>
          </w:p>
          <w:p w14:paraId="4B6AE1B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GB/T 15102-2017，表面耐干热、表面耐龟裂、表面耐水蒸气均达到 4 级以上；表面耐污染腐蚀达到 4 级以上；表面耐香烟灼烧达到 4 级以上；表面耐磨磨耗值≤350r/100r（转数越低越耐磨）；耐光色牢度≥4级（灰度卡）。</w:t>
            </w:r>
          </w:p>
          <w:p w14:paraId="29F14CF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③环保健康性能：</w:t>
            </w:r>
          </w:p>
          <w:p w14:paraId="45C9A4E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GB/T 39600-2021《人造板及其制品甲醛释放量分级》，甲醛释放限量达到 ENF级（≤0.025 mg/m³）；依据 GB/T 35601-2024《绿色产品评价 人造板和木质地板》，挥发性有机化合物释放浓度（7d）苯≤2μg/m³、甲苯≤20μg/m³、二甲苯≤20μg/m³、总挥发性有机化合物（TVOC）≤200μg/m³。</w:t>
            </w:r>
          </w:p>
          <w:p w14:paraId="6E4F450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④抗菌防霉性能：</w:t>
            </w:r>
          </w:p>
          <w:p w14:paraId="59FA6281">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JC/T 2039-2010《抗菌防霉木质装饰板》，对大肠杆菌、金黄色葡萄球菌等常见细菌的抗菌率≥90%；黑曲霉、黄曲霉、桔青霉的防霉菌等级达到 0 级（最高防霉等级）。</w:t>
            </w:r>
          </w:p>
          <w:p w14:paraId="3C2D178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⑤防火安全性能：</w:t>
            </w:r>
          </w:p>
          <w:p w14:paraId="00B8095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GB 8624-2012《建筑材料及制品燃烧性能分级》，燃烧性能等级达到 B1级（难燃材料）；依据 GB/T 20285-2006《材料产烟毒性危险分级》，产烟毒性危险分级达到准安全一级（ZA1）。</w:t>
            </w:r>
          </w:p>
          <w:p w14:paraId="1D3767B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3、封边条</w:t>
            </w:r>
          </w:p>
          <w:p w14:paraId="60829B9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①采用优质环保 PVC/ABS 封边条。依据 QB/T 4463-2013《家具用封边条技术要求》及相关国家标准：</w:t>
            </w:r>
          </w:p>
          <w:p w14:paraId="2D9F309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②环保性能：甲醛释放量、氯乙烯单体、可迁移元素（铅、镉、铬、汞等）、邻苯二甲酸酯（塑化剂）均需未检出。</w:t>
            </w:r>
          </w:p>
          <w:p w14:paraId="6773CF7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③抗菌防霉：抗菌率≥90%，防霉等级达到0级。</w:t>
            </w:r>
          </w:p>
          <w:p w14:paraId="36922C5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④理化性能：耐干热性、耐开裂性、耐老化性测试合格；耐磨性磨30转后无露底；耐光色牢度≥4级。</w:t>
            </w:r>
          </w:p>
          <w:p w14:paraId="3B66D99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⑤板件全部四周均需进行封边处理；其中板件厚度≥20mm的，应采用厚度≥2.0mm的PVC封边条；板件厚度＜20mm的，应采用厚度≥1.0mm的PVC封边条。</w:t>
            </w:r>
          </w:p>
          <w:p w14:paraId="4997CA0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4、脚架：脚架采用的钢材厚度≥1mm，要求连接安装严密、平整、端正、牢固，结合处无崩茬和松动。带静音防擦脚。</w:t>
            </w:r>
          </w:p>
        </w:tc>
      </w:tr>
      <w:tr w14:paraId="539A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08E839E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19</w:t>
            </w:r>
          </w:p>
        </w:tc>
        <w:tc>
          <w:tcPr>
            <w:tcW w:w="2800" w:type="dxa"/>
            <w:shd w:val="clear" w:color="auto" w:fill="FFFFFF"/>
            <w:noWrap w:val="0"/>
            <w:vAlign w:val="center"/>
          </w:tcPr>
          <w:p w14:paraId="339E3D8B">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方</w:t>
            </w:r>
            <w:r>
              <w:rPr>
                <w:rFonts w:hint="eastAsia" w:ascii="方正仿宋_GB2312" w:hAnsi="方正仿宋_GB2312" w:eastAsia="方正仿宋_GB2312" w:cs="方正仿宋_GB2312"/>
                <w:color w:val="auto"/>
                <w:sz w:val="21"/>
                <w:szCs w:val="21"/>
                <w:highlight w:val="none"/>
                <w:lang w:val="en-US" w:eastAsia="zh-CN"/>
              </w:rPr>
              <w:t>茶几</w:t>
            </w: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74624" behindDoc="0" locked="0" layoutInCell="1" allowOverlap="1">
                  <wp:simplePos x="0" y="0"/>
                  <wp:positionH relativeFrom="column">
                    <wp:posOffset>262890</wp:posOffset>
                  </wp:positionH>
                  <wp:positionV relativeFrom="paragraph">
                    <wp:posOffset>648970</wp:posOffset>
                  </wp:positionV>
                  <wp:extent cx="1006475" cy="851535"/>
                  <wp:effectExtent l="0" t="0" r="14605" b="1905"/>
                  <wp:wrapTopAndBottom/>
                  <wp:docPr id="55" name="图片 2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5" descr="IMG_270"/>
                          <pic:cNvPicPr>
                            <a:picLocks noChangeAspect="1"/>
                          </pic:cNvPicPr>
                        </pic:nvPicPr>
                        <pic:blipFill>
                          <a:blip r:embed="rId20"/>
                          <a:stretch>
                            <a:fillRect/>
                          </a:stretch>
                        </pic:blipFill>
                        <pic:spPr>
                          <a:xfrm>
                            <a:off x="0" y="0"/>
                            <a:ext cx="1006475" cy="851535"/>
                          </a:xfrm>
                          <a:prstGeom prst="rect">
                            <a:avLst/>
                          </a:prstGeom>
                          <a:noFill/>
                          <a:ln>
                            <a:noFill/>
                          </a:ln>
                        </pic:spPr>
                      </pic:pic>
                    </a:graphicData>
                  </a:graphic>
                </wp:anchor>
              </w:drawing>
            </w:r>
          </w:p>
        </w:tc>
        <w:tc>
          <w:tcPr>
            <w:tcW w:w="1160" w:type="dxa"/>
            <w:shd w:val="clear" w:color="auto" w:fill="FFFFFF"/>
            <w:noWrap w:val="0"/>
            <w:vAlign w:val="center"/>
          </w:tcPr>
          <w:p w14:paraId="0B22FF1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rPr>
              <w:t>600*600*450</w:t>
            </w:r>
          </w:p>
        </w:tc>
        <w:tc>
          <w:tcPr>
            <w:tcW w:w="5350" w:type="dxa"/>
            <w:vMerge w:val="continue"/>
            <w:shd w:val="clear" w:color="auto" w:fill="FFFFFF"/>
            <w:noWrap w:val="0"/>
            <w:vAlign w:val="top"/>
          </w:tcPr>
          <w:p w14:paraId="212DB8D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p>
        </w:tc>
      </w:tr>
      <w:tr w14:paraId="319E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80" w:type="dxa"/>
            <w:shd w:val="clear" w:color="auto" w:fill="FFFFFF"/>
            <w:noWrap w:val="0"/>
            <w:vAlign w:val="center"/>
          </w:tcPr>
          <w:p w14:paraId="1BB2D4B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bidi="ar"/>
              </w:rPr>
              <w:t>2</w:t>
            </w:r>
            <w:r>
              <w:rPr>
                <w:rFonts w:hint="eastAsia" w:ascii="方正仿宋_GB2312" w:hAnsi="方正仿宋_GB2312" w:eastAsia="方正仿宋_GB2312" w:cs="方正仿宋_GB2312"/>
                <w:color w:val="auto"/>
                <w:sz w:val="21"/>
                <w:szCs w:val="21"/>
                <w:highlight w:val="none"/>
                <w:lang w:val="en-US" w:eastAsia="zh-CN" w:bidi="ar"/>
              </w:rPr>
              <w:t>0</w:t>
            </w:r>
          </w:p>
        </w:tc>
        <w:tc>
          <w:tcPr>
            <w:tcW w:w="2800" w:type="dxa"/>
            <w:shd w:val="clear" w:color="auto" w:fill="FFFFFF"/>
            <w:noWrap w:val="0"/>
            <w:vAlign w:val="center"/>
          </w:tcPr>
          <w:p w14:paraId="76249411">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钢制工位办公桌</w:t>
            </w: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75648" behindDoc="0" locked="0" layoutInCell="1" allowOverlap="1">
                  <wp:simplePos x="0" y="0"/>
                  <wp:positionH relativeFrom="column">
                    <wp:posOffset>71120</wp:posOffset>
                  </wp:positionH>
                  <wp:positionV relativeFrom="paragraph">
                    <wp:posOffset>939165</wp:posOffset>
                  </wp:positionV>
                  <wp:extent cx="1370330" cy="848360"/>
                  <wp:effectExtent l="0" t="0" r="1270" b="5080"/>
                  <wp:wrapTopAndBottom/>
                  <wp:docPr id="56" name="图片 26"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6" descr="IMG_262"/>
                          <pic:cNvPicPr>
                            <a:picLocks noChangeAspect="1"/>
                          </pic:cNvPicPr>
                        </pic:nvPicPr>
                        <pic:blipFill>
                          <a:blip r:embed="rId21"/>
                          <a:stretch>
                            <a:fillRect/>
                          </a:stretch>
                        </pic:blipFill>
                        <pic:spPr>
                          <a:xfrm>
                            <a:off x="0" y="0"/>
                            <a:ext cx="1370330" cy="848360"/>
                          </a:xfrm>
                          <a:prstGeom prst="rect">
                            <a:avLst/>
                          </a:prstGeom>
                          <a:noFill/>
                          <a:ln>
                            <a:noFill/>
                          </a:ln>
                        </pic:spPr>
                      </pic:pic>
                    </a:graphicData>
                  </a:graphic>
                </wp:anchor>
              </w:drawing>
            </w:r>
          </w:p>
        </w:tc>
        <w:tc>
          <w:tcPr>
            <w:tcW w:w="1160" w:type="dxa"/>
            <w:shd w:val="clear" w:color="auto" w:fill="FFFFFF"/>
            <w:noWrap w:val="0"/>
            <w:vAlign w:val="center"/>
          </w:tcPr>
          <w:p w14:paraId="2D9D451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bidi="ar"/>
              </w:rPr>
            </w:pPr>
            <w:r>
              <w:rPr>
                <w:rFonts w:hint="eastAsia" w:ascii="方正仿宋_GB2312" w:hAnsi="方正仿宋_GB2312" w:eastAsia="方正仿宋_GB2312" w:cs="方正仿宋_GB2312"/>
                <w:color w:val="auto"/>
                <w:sz w:val="21"/>
                <w:szCs w:val="21"/>
                <w:highlight w:val="none"/>
                <w:lang w:val="en-US" w:bidi="ar"/>
              </w:rPr>
              <w:t>尺寸：1200*600*750</w:t>
            </w:r>
          </w:p>
        </w:tc>
        <w:tc>
          <w:tcPr>
            <w:tcW w:w="5350" w:type="dxa"/>
            <w:shd w:val="clear" w:color="auto" w:fill="FFFFFF"/>
            <w:noWrap w:val="0"/>
            <w:vAlign w:val="top"/>
          </w:tcPr>
          <w:p w14:paraId="6AA887DE">
            <w:pPr>
              <w:keepNext w:val="0"/>
              <w:keepLines w:val="0"/>
              <w:pageBreakBefore w:val="0"/>
              <w:numPr>
                <w:ilvl w:val="0"/>
                <w:numId w:val="0"/>
              </w:numPr>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lang w:val="en-US" w:eastAsia="zh-CN" w:bidi="ar-SA"/>
              </w:rPr>
              <w:t>1、</w:t>
            </w:r>
            <w:r>
              <w:rPr>
                <w:rFonts w:hint="eastAsia" w:ascii="方正仿宋_GB2312" w:hAnsi="方正仿宋_GB2312" w:eastAsia="方正仿宋_GB2312" w:cs="方正仿宋_GB2312"/>
                <w:b w:val="0"/>
                <w:bCs w:val="0"/>
                <w:color w:val="auto"/>
                <w:kern w:val="2"/>
                <w:sz w:val="21"/>
                <w:szCs w:val="21"/>
                <w:highlight w:val="none"/>
                <w:lang w:val="en-US" w:eastAsia="zh-CN" w:bidi="ar-SA"/>
              </w:rPr>
              <w:t>基材：采用不低于E0级实木颗粒板，三聚氰胺纸饰面；桌面厚度≥24mm；</w:t>
            </w:r>
          </w:p>
          <w:p w14:paraId="651073B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2、基材参数要求：</w:t>
            </w:r>
          </w:p>
          <w:p w14:paraId="0C8194A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①物理力学性能：</w:t>
            </w:r>
          </w:p>
          <w:p w14:paraId="1496BD4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GB/T 15102-2017《浸渍胶膜纸饰面纤维板和刨花板》，静曲强度≥18MPa，弹性模量≥3500MPa，内结合强度≥0.45MPa，表面胶合强度≥0.80MPa，2h吸水厚度膨胀率≤8%。</w:t>
            </w:r>
          </w:p>
          <w:p w14:paraId="76E0E8F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②表面理化性能：</w:t>
            </w:r>
          </w:p>
          <w:p w14:paraId="0BAB37A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GB/T 15102-2017，表面耐干热、表面耐龟裂、表面耐水蒸气均达到 4 级以上；表面耐污染腐蚀达到 4 级以上；表面耐香烟灼烧达到 4 级以上；表面耐磨磨耗值≤350r/100r（转数越低越耐磨）；耐光色牢度≥4级（灰度卡）。</w:t>
            </w:r>
          </w:p>
          <w:p w14:paraId="198ED91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③环保健康性能：</w:t>
            </w:r>
          </w:p>
          <w:p w14:paraId="5B7EC77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GB/T 39600-2021《人造板及其制品甲醛释放量分级》，甲醛释放限量达到 ENF级（≤0.025 mg/m³）；依据 GB/T 35601-2024《绿色产品评价 人造板和木质地板》，挥发性有机化合物释放浓度（7d）苯≤2μg/m³、甲苯≤20μg/m³、二甲苯≤20μg/m³、总挥发性有机化合物（TVOC）≤200μg/m³。</w:t>
            </w:r>
          </w:p>
          <w:p w14:paraId="4B90F921">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④抗菌防霉性能：</w:t>
            </w:r>
          </w:p>
          <w:p w14:paraId="1CFFA1D2">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JC/T 2039-2010《抗菌防霉木质装饰板》，对大肠杆菌、金黄色葡萄球菌等常见细菌的抗菌率≥90%；黑曲霉、黄曲霉、桔青霉的防霉菌等级达到 0 级（最高防霉等级）。</w:t>
            </w:r>
          </w:p>
          <w:p w14:paraId="2783622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⑤防火安全性能：</w:t>
            </w:r>
          </w:p>
          <w:p w14:paraId="134F7762">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依据 GB 8624-2012《建筑材料及制品燃烧性能分级》，燃烧性能等级达到 B1级（难燃材料）；依据 GB/T 20285-2006《材料产烟毒性危险分级》，产烟毒性危险分级达到准安全一级（ZA1）。</w:t>
            </w:r>
          </w:p>
          <w:p w14:paraId="5CD161B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3、封边条</w:t>
            </w:r>
          </w:p>
          <w:p w14:paraId="4FBAF11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①采用优质环保 PVC/ABS 封边条。依据 QB/T 4463-2013《家具用封边条技术要求》及相关国家标准：</w:t>
            </w:r>
          </w:p>
          <w:p w14:paraId="5AC697E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②环保性能：甲醛释放量、氯乙烯单体、可迁移元素（铅、镉、铬、汞等）、邻苯二甲酸酯（塑化剂）均需未检出。</w:t>
            </w:r>
          </w:p>
          <w:p w14:paraId="6CC32A5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③抗菌防霉：抗菌率≥90%，防霉等级达到0级。</w:t>
            </w:r>
          </w:p>
          <w:p w14:paraId="437123F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④理化性能：耐干热性、耐开裂性、耐老化性测试合格；耐磨性磨30转后无露底；耐光色牢度≥4级。</w:t>
            </w:r>
          </w:p>
          <w:p w14:paraId="247F3D5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⑤板件全部四周均需进行封边处理；其中板件厚度≥20mm的，应采用厚度≥2.0mm的PVC封边条；板件厚度＜20mm的，应采用厚度≥1.0mm的PVC封边条。</w:t>
            </w:r>
          </w:p>
          <w:p w14:paraId="61B005D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4、钢架：采用50圆管壁厚1.2mm.经静电喷塑。</w:t>
            </w:r>
          </w:p>
          <w:p w14:paraId="7108F6C4">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kern w:val="2"/>
                <w:sz w:val="21"/>
                <w:szCs w:val="21"/>
                <w:highlight w:val="none"/>
                <w:lang w:val="en-US" w:eastAsia="zh-CN" w:bidi="ar-SA"/>
              </w:rPr>
              <w:t>5、每个工位配三抽带锁拖柜一个。</w:t>
            </w:r>
          </w:p>
        </w:tc>
      </w:tr>
      <w:tr w14:paraId="702E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7E92CAA4">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bidi="ar"/>
              </w:rPr>
              <w:t>2</w:t>
            </w:r>
            <w:r>
              <w:rPr>
                <w:rFonts w:hint="eastAsia" w:ascii="方正仿宋_GB2312" w:hAnsi="方正仿宋_GB2312" w:eastAsia="方正仿宋_GB2312" w:cs="方正仿宋_GB2312"/>
                <w:color w:val="auto"/>
                <w:sz w:val="21"/>
                <w:szCs w:val="21"/>
                <w:highlight w:val="none"/>
                <w:lang w:val="en-US" w:eastAsia="zh-CN" w:bidi="ar"/>
              </w:rPr>
              <w:t>1</w:t>
            </w:r>
          </w:p>
        </w:tc>
        <w:tc>
          <w:tcPr>
            <w:tcW w:w="2800" w:type="dxa"/>
            <w:shd w:val="clear" w:color="auto" w:fill="FFFFFF"/>
            <w:noWrap w:val="0"/>
            <w:vAlign w:val="center"/>
          </w:tcPr>
          <w:p w14:paraId="00941435">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冷轧钢</w:t>
            </w:r>
            <w:r>
              <w:rPr>
                <w:rFonts w:hint="eastAsia" w:ascii="方正仿宋_GB2312" w:hAnsi="方正仿宋_GB2312" w:eastAsia="方正仿宋_GB2312" w:cs="方正仿宋_GB2312"/>
                <w:color w:val="auto"/>
                <w:sz w:val="21"/>
                <w:szCs w:val="21"/>
                <w:highlight w:val="none"/>
                <w:lang w:val="en-US"/>
              </w:rPr>
              <w:t>4门储藏柜</w:t>
            </w:r>
            <w:r>
              <w:rPr>
                <w:rFonts w:hint="eastAsia" w:ascii="方正仿宋_GB2312" w:hAnsi="方正仿宋_GB2312" w:eastAsia="方正仿宋_GB2312" w:cs="方正仿宋_GB2312"/>
                <w:color w:val="auto"/>
                <w:kern w:val="0"/>
                <w:sz w:val="21"/>
                <w:szCs w:val="21"/>
                <w:highlight w:val="none"/>
              </w:rPr>
              <w:drawing>
                <wp:anchor distT="0" distB="0" distL="114300" distR="114300" simplePos="0" relativeHeight="251676672" behindDoc="0" locked="0" layoutInCell="1" allowOverlap="1">
                  <wp:simplePos x="0" y="0"/>
                  <wp:positionH relativeFrom="column">
                    <wp:posOffset>383540</wp:posOffset>
                  </wp:positionH>
                  <wp:positionV relativeFrom="paragraph">
                    <wp:posOffset>423545</wp:posOffset>
                  </wp:positionV>
                  <wp:extent cx="640080" cy="1124585"/>
                  <wp:effectExtent l="0" t="0" r="0" b="3175"/>
                  <wp:wrapTopAndBottom/>
                  <wp:docPr id="57"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7" descr="IMG_282"/>
                          <pic:cNvPicPr>
                            <a:picLocks noChangeAspect="1"/>
                          </pic:cNvPicPr>
                        </pic:nvPicPr>
                        <pic:blipFill>
                          <a:blip r:embed="rId22"/>
                          <a:stretch>
                            <a:fillRect/>
                          </a:stretch>
                        </pic:blipFill>
                        <pic:spPr>
                          <a:xfrm>
                            <a:off x="0" y="0"/>
                            <a:ext cx="640080" cy="1124585"/>
                          </a:xfrm>
                          <a:prstGeom prst="rect">
                            <a:avLst/>
                          </a:prstGeom>
                          <a:noFill/>
                          <a:ln>
                            <a:noFill/>
                          </a:ln>
                        </pic:spPr>
                      </pic:pic>
                    </a:graphicData>
                  </a:graphic>
                </wp:anchor>
              </w:drawing>
            </w:r>
          </w:p>
        </w:tc>
        <w:tc>
          <w:tcPr>
            <w:tcW w:w="1160" w:type="dxa"/>
            <w:shd w:val="clear" w:color="auto" w:fill="FFFFFF"/>
            <w:noWrap w:val="0"/>
            <w:vAlign w:val="center"/>
          </w:tcPr>
          <w:p w14:paraId="4E0CBA6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rPr>
              <w:t>1000*550*1800</w:t>
            </w:r>
          </w:p>
        </w:tc>
        <w:tc>
          <w:tcPr>
            <w:tcW w:w="5350" w:type="dxa"/>
            <w:vMerge w:val="restart"/>
            <w:shd w:val="clear" w:color="auto" w:fill="FFFFFF"/>
            <w:noWrap w:val="0"/>
            <w:vAlign w:val="top"/>
          </w:tcPr>
          <w:p w14:paraId="479839E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1、整体结构：</w:t>
            </w:r>
            <w:r>
              <w:rPr>
                <w:rFonts w:hint="eastAsia" w:ascii="方正仿宋_GB2312" w:hAnsi="方正仿宋_GB2312" w:eastAsia="方正仿宋_GB2312" w:cs="方正仿宋_GB2312"/>
                <w:color w:val="auto"/>
                <w:sz w:val="21"/>
                <w:szCs w:val="21"/>
                <w:highlight w:val="none"/>
                <w:lang w:val="en-US" w:eastAsia="zh-CN" w:bidi="ar"/>
              </w:rPr>
              <w:t>每</w:t>
            </w:r>
            <w:r>
              <w:rPr>
                <w:rFonts w:hint="eastAsia" w:ascii="方正仿宋_GB2312" w:hAnsi="方正仿宋_GB2312" w:eastAsia="方正仿宋_GB2312" w:cs="方正仿宋_GB2312"/>
                <w:color w:val="auto"/>
                <w:sz w:val="21"/>
                <w:szCs w:val="21"/>
                <w:highlight w:val="none"/>
                <w:lang w:val="en-US" w:eastAsia="zh-CN"/>
              </w:rPr>
              <w:t>门均带锁，带姓名卡槽，内置1张可移动隔板。</w:t>
            </w:r>
          </w:p>
          <w:p w14:paraId="20CA028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2</w:t>
            </w:r>
            <w:r>
              <w:rPr>
                <w:rFonts w:hint="eastAsia" w:ascii="方正仿宋_GB2312" w:hAnsi="方正仿宋_GB2312" w:eastAsia="方正仿宋_GB2312" w:cs="方正仿宋_GB2312"/>
                <w:b w:val="0"/>
                <w:bCs w:val="0"/>
                <w:color w:val="auto"/>
                <w:sz w:val="21"/>
                <w:szCs w:val="21"/>
                <w:highlight w:val="none"/>
                <w:lang w:val="en-US"/>
              </w:rPr>
              <w:t>、</w:t>
            </w:r>
            <w:r>
              <w:rPr>
                <w:rFonts w:hint="eastAsia" w:ascii="方正仿宋_GB2312" w:hAnsi="方正仿宋_GB2312" w:eastAsia="方正仿宋_GB2312" w:cs="方正仿宋_GB2312"/>
                <w:b w:val="0"/>
                <w:bCs w:val="0"/>
                <w:color w:val="auto"/>
                <w:sz w:val="21"/>
                <w:szCs w:val="21"/>
                <w:highlight w:val="none"/>
                <w:lang w:val="en-US" w:eastAsia="zh-CN"/>
              </w:rPr>
              <w:t>基材：裸板厚度</w:t>
            </w:r>
            <w:r>
              <w:rPr>
                <w:rFonts w:hint="eastAsia" w:ascii="方正仿宋_GB2312" w:hAnsi="方正仿宋_GB2312" w:eastAsia="方正仿宋_GB2312" w:cs="方正仿宋_GB2312"/>
                <w:b w:val="0"/>
                <w:bCs w:val="0"/>
                <w:color w:val="auto"/>
                <w:sz w:val="21"/>
                <w:szCs w:val="21"/>
                <w:highlight w:val="none"/>
              </w:rPr>
              <w:t>≥</w:t>
            </w:r>
            <w:r>
              <w:rPr>
                <w:rFonts w:hint="eastAsia" w:ascii="方正仿宋_GB2312" w:hAnsi="方正仿宋_GB2312" w:eastAsia="方正仿宋_GB2312" w:cs="方正仿宋_GB2312"/>
                <w:b w:val="0"/>
                <w:bCs w:val="0"/>
                <w:color w:val="auto"/>
                <w:sz w:val="21"/>
                <w:szCs w:val="21"/>
                <w:highlight w:val="none"/>
                <w:lang w:val="en-US"/>
              </w:rPr>
              <w:t>0.</w:t>
            </w:r>
            <w:r>
              <w:rPr>
                <w:rFonts w:hint="eastAsia" w:ascii="方正仿宋_GB2312" w:hAnsi="方正仿宋_GB2312" w:eastAsia="方正仿宋_GB2312" w:cs="方正仿宋_GB2312"/>
                <w:b w:val="0"/>
                <w:bCs w:val="0"/>
                <w:color w:val="auto"/>
                <w:sz w:val="21"/>
                <w:szCs w:val="21"/>
                <w:highlight w:val="none"/>
                <w:lang w:val="en-US" w:eastAsia="zh-CN"/>
              </w:rPr>
              <w:t>6</w:t>
            </w:r>
            <w:r>
              <w:rPr>
                <w:rFonts w:hint="eastAsia" w:ascii="方正仿宋_GB2312" w:hAnsi="方正仿宋_GB2312" w:eastAsia="方正仿宋_GB2312" w:cs="方正仿宋_GB2312"/>
                <w:b w:val="0"/>
                <w:bCs w:val="0"/>
                <w:color w:val="auto"/>
                <w:sz w:val="21"/>
                <w:szCs w:val="21"/>
                <w:highlight w:val="none"/>
                <w:lang w:val="en-US"/>
              </w:rPr>
              <w:t>mm</w:t>
            </w:r>
            <w:r>
              <w:rPr>
                <w:rFonts w:hint="eastAsia" w:ascii="方正仿宋_GB2312" w:hAnsi="方正仿宋_GB2312" w:eastAsia="方正仿宋_GB2312" w:cs="方正仿宋_GB2312"/>
                <w:b w:val="0"/>
                <w:bCs w:val="0"/>
                <w:color w:val="auto"/>
                <w:sz w:val="21"/>
                <w:szCs w:val="21"/>
                <w:highlight w:val="none"/>
                <w:lang w:val="en-US" w:eastAsia="zh-CN"/>
              </w:rPr>
              <w:t>冷轧</w:t>
            </w:r>
            <w:r>
              <w:rPr>
                <w:rFonts w:hint="eastAsia" w:ascii="方正仿宋_GB2312" w:hAnsi="方正仿宋_GB2312" w:eastAsia="方正仿宋_GB2312" w:cs="方正仿宋_GB2312"/>
                <w:b w:val="0"/>
                <w:bCs w:val="0"/>
                <w:color w:val="auto"/>
                <w:sz w:val="21"/>
                <w:szCs w:val="21"/>
                <w:highlight w:val="none"/>
                <w:lang w:val="en-US"/>
              </w:rPr>
              <w:t>钢板</w:t>
            </w:r>
            <w:r>
              <w:rPr>
                <w:rFonts w:hint="eastAsia" w:ascii="方正仿宋_GB2312" w:hAnsi="方正仿宋_GB2312" w:eastAsia="方正仿宋_GB2312" w:cs="方正仿宋_GB2312"/>
                <w:b w:val="0"/>
                <w:bCs w:val="0"/>
                <w:color w:val="auto"/>
                <w:sz w:val="21"/>
                <w:szCs w:val="21"/>
                <w:highlight w:val="none"/>
                <w:lang w:val="en-US" w:eastAsia="zh-CN"/>
              </w:rPr>
              <w:t>。冷轧钢板①依据GB/T11253-2019，力学性能（规定塑性延伸强度≥195Mpa、抗拉强度315～430Mpa、断后伸长率≥29％），弯曲试验合格，表面质量合格，表面结构（平均粗糙度）≤0.7μm，②依据GB/T10125-2021，人造气氛腐蚀试验（盐雾试验），保护评级和外观评级均达到10级。3</w:t>
            </w:r>
            <w:r>
              <w:rPr>
                <w:rFonts w:hint="eastAsia" w:ascii="方正仿宋_GB2312" w:hAnsi="方正仿宋_GB2312" w:eastAsia="方正仿宋_GB2312" w:cs="方正仿宋_GB2312"/>
                <w:b w:val="0"/>
                <w:bCs w:val="0"/>
                <w:color w:val="auto"/>
                <w:sz w:val="21"/>
                <w:szCs w:val="21"/>
                <w:highlight w:val="none"/>
                <w:lang w:val="en-US"/>
              </w:rPr>
              <w:t>、</w:t>
            </w:r>
            <w:r>
              <w:rPr>
                <w:rFonts w:hint="eastAsia" w:ascii="方正仿宋_GB2312" w:hAnsi="方正仿宋_GB2312" w:eastAsia="方正仿宋_GB2312" w:cs="方正仿宋_GB2312"/>
                <w:b w:val="0"/>
                <w:bCs w:val="0"/>
                <w:color w:val="auto"/>
                <w:kern w:val="2"/>
                <w:sz w:val="21"/>
                <w:szCs w:val="21"/>
                <w:highlight w:val="none"/>
                <w:lang w:val="en-US" w:eastAsia="zh-CN" w:bidi="ar-SA"/>
              </w:rPr>
              <w:t>表面采用环保塑粉，静电喷塑；</w:t>
            </w:r>
          </w:p>
          <w:p w14:paraId="076BD30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3</w:t>
            </w:r>
            <w:r>
              <w:rPr>
                <w:rFonts w:hint="eastAsia" w:ascii="方正仿宋_GB2312" w:hAnsi="方正仿宋_GB2312" w:eastAsia="方正仿宋_GB2312" w:cs="方正仿宋_GB2312"/>
                <w:b w:val="0"/>
                <w:bCs w:val="0"/>
                <w:color w:val="auto"/>
                <w:sz w:val="21"/>
                <w:szCs w:val="21"/>
                <w:highlight w:val="none"/>
                <w:lang w:val="en-US"/>
              </w:rPr>
              <w:t>、五金件：</w:t>
            </w:r>
            <w:r>
              <w:rPr>
                <w:rFonts w:hint="eastAsia" w:ascii="方正仿宋_GB2312" w:hAnsi="方正仿宋_GB2312" w:eastAsia="方正仿宋_GB2312" w:cs="方正仿宋_GB2312"/>
                <w:b w:val="0"/>
                <w:bCs w:val="0"/>
                <w:color w:val="auto"/>
                <w:sz w:val="21"/>
                <w:szCs w:val="21"/>
                <w:highlight w:val="none"/>
                <w:lang w:val="en-US" w:eastAsia="zh-CN"/>
              </w:rPr>
              <w:t>金属拉手、锁具；</w:t>
            </w:r>
          </w:p>
          <w:p w14:paraId="6D145086">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要求</w:t>
            </w:r>
            <w:r>
              <w:rPr>
                <w:rFonts w:hint="eastAsia" w:ascii="方正仿宋_GB2312" w:hAnsi="方正仿宋_GB2312" w:eastAsia="方正仿宋_GB2312" w:cs="方正仿宋_GB2312"/>
                <w:b w:val="0"/>
                <w:bCs w:val="0"/>
                <w:color w:val="auto"/>
                <w:sz w:val="21"/>
                <w:szCs w:val="21"/>
                <w:highlight w:val="none"/>
              </w:rPr>
              <w:t>连接安装严密、平整、端正、牢固，结合处无崩茬和松动。</w:t>
            </w:r>
          </w:p>
          <w:p w14:paraId="3DA1D20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b w:val="0"/>
                <w:bCs w:val="0"/>
                <w:color w:val="auto"/>
                <w:sz w:val="21"/>
                <w:szCs w:val="21"/>
                <w:highlight w:val="none"/>
                <w:lang w:val="en-US" w:eastAsia="zh-CN"/>
              </w:rPr>
              <w:t>4、</w:t>
            </w:r>
            <w:r>
              <w:rPr>
                <w:rFonts w:hint="eastAsia" w:ascii="方正仿宋_GB2312" w:hAnsi="方正仿宋_GB2312" w:eastAsia="方正仿宋_GB2312" w:cs="方正仿宋_GB2312"/>
                <w:color w:val="auto"/>
                <w:szCs w:val="21"/>
                <w:highlight w:val="none"/>
              </w:rPr>
              <w:t>符合QB/T1621《家具锁》标准。</w:t>
            </w:r>
          </w:p>
          <w:p w14:paraId="1D0F0A4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color w:val="auto"/>
                <w:szCs w:val="21"/>
                <w:highlight w:val="none"/>
              </w:rPr>
              <w:t>通用要求：开启灵活，无卡滞，互开率符合标准要求（≤0.5%），具备基本的防撬结构。</w:t>
            </w:r>
          </w:p>
        </w:tc>
      </w:tr>
      <w:tr w14:paraId="5F29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0" w:type="dxa"/>
            <w:shd w:val="clear" w:color="auto" w:fill="FFFFFF"/>
            <w:noWrap w:val="0"/>
            <w:vAlign w:val="center"/>
          </w:tcPr>
          <w:p w14:paraId="345AD62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22</w:t>
            </w:r>
          </w:p>
        </w:tc>
        <w:tc>
          <w:tcPr>
            <w:tcW w:w="2800" w:type="dxa"/>
            <w:shd w:val="clear" w:color="auto" w:fill="FFFFFF"/>
            <w:noWrap w:val="0"/>
            <w:vAlign w:val="center"/>
          </w:tcPr>
          <w:p w14:paraId="617F0F90">
            <w:pPr>
              <w:keepNext w:val="0"/>
              <w:keepLines w:val="0"/>
              <w:pageBreakBefore w:val="0"/>
              <w:kinsoku/>
              <w:wordWrap/>
              <w:overflowPunct/>
              <w:topLinePunct w:val="0"/>
              <w:autoSpaceDE/>
              <w:autoSpaceDN/>
              <w:bidi w:val="0"/>
              <w:adjustRightInd/>
              <w:snapToGrid/>
              <w:spacing w:line="0" w:lineRule="atLeast"/>
              <w:jc w:val="both"/>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冷轧钢6</w:t>
            </w:r>
            <w:r>
              <w:rPr>
                <w:rFonts w:hint="eastAsia" w:ascii="方正仿宋_GB2312" w:hAnsi="方正仿宋_GB2312" w:eastAsia="方正仿宋_GB2312" w:cs="方正仿宋_GB2312"/>
                <w:color w:val="auto"/>
                <w:sz w:val="21"/>
                <w:szCs w:val="21"/>
                <w:highlight w:val="none"/>
                <w:lang w:val="en-US"/>
              </w:rPr>
              <w:t>门储藏柜</w:t>
            </w:r>
          </w:p>
          <w:p w14:paraId="5E1D897D">
            <w:pPr>
              <w:pStyle w:val="4"/>
              <w:keepNext w:val="0"/>
              <w:keepLines w:val="0"/>
              <w:pageBreakBefore w:val="0"/>
              <w:kinsoku/>
              <w:wordWrap/>
              <w:overflowPunct/>
              <w:topLinePunct w:val="0"/>
              <w:autoSpaceDE/>
              <w:autoSpaceDN/>
              <w:bidi w:val="0"/>
              <w:adjustRightInd/>
              <w:snapToGrid/>
              <w:spacing w:after="0"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drawing>
                <wp:inline distT="0" distB="0" distL="114300" distR="114300">
                  <wp:extent cx="962025" cy="1012825"/>
                  <wp:effectExtent l="0" t="0" r="13335" b="8255"/>
                  <wp:docPr id="5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6"/>
                          <pic:cNvPicPr>
                            <a:picLocks noChangeAspect="1"/>
                          </pic:cNvPicPr>
                        </pic:nvPicPr>
                        <pic:blipFill>
                          <a:blip r:embed="rId23"/>
                          <a:stretch>
                            <a:fillRect/>
                          </a:stretch>
                        </pic:blipFill>
                        <pic:spPr>
                          <a:xfrm>
                            <a:off x="0" y="0"/>
                            <a:ext cx="962025" cy="1012825"/>
                          </a:xfrm>
                          <a:prstGeom prst="rect">
                            <a:avLst/>
                          </a:prstGeom>
                          <a:noFill/>
                          <a:ln>
                            <a:noFill/>
                          </a:ln>
                        </pic:spPr>
                      </pic:pic>
                    </a:graphicData>
                  </a:graphic>
                </wp:inline>
              </w:drawing>
            </w:r>
          </w:p>
          <w:p w14:paraId="1FF70436">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kern w:val="0"/>
                <w:sz w:val="21"/>
                <w:szCs w:val="21"/>
                <w:highlight w:val="none"/>
              </w:rPr>
            </w:pPr>
          </w:p>
        </w:tc>
        <w:tc>
          <w:tcPr>
            <w:tcW w:w="1160" w:type="dxa"/>
            <w:shd w:val="clear" w:color="auto" w:fill="FFFFFF"/>
            <w:noWrap w:val="0"/>
            <w:vAlign w:val="center"/>
          </w:tcPr>
          <w:p w14:paraId="4D700F2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rPr>
              <w:t>1500*550*1800</w:t>
            </w:r>
          </w:p>
        </w:tc>
        <w:tc>
          <w:tcPr>
            <w:tcW w:w="5350" w:type="dxa"/>
            <w:vMerge w:val="continue"/>
            <w:shd w:val="clear" w:color="auto" w:fill="FFFFFF"/>
            <w:noWrap w:val="0"/>
            <w:vAlign w:val="top"/>
          </w:tcPr>
          <w:p w14:paraId="1ADF1299">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bidi="ar"/>
              </w:rPr>
            </w:pPr>
          </w:p>
        </w:tc>
      </w:tr>
      <w:tr w14:paraId="571D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80" w:type="dxa"/>
            <w:shd w:val="clear" w:color="auto" w:fill="FFFFFF"/>
            <w:noWrap w:val="0"/>
            <w:vAlign w:val="center"/>
          </w:tcPr>
          <w:p w14:paraId="451F7C1C">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23</w:t>
            </w:r>
          </w:p>
        </w:tc>
        <w:tc>
          <w:tcPr>
            <w:tcW w:w="2800" w:type="dxa"/>
            <w:shd w:val="clear" w:color="auto" w:fill="FFFFFF"/>
            <w:noWrap w:val="0"/>
            <w:vAlign w:val="center"/>
          </w:tcPr>
          <w:p w14:paraId="138502B3">
            <w:pPr>
              <w:keepNext w:val="0"/>
              <w:keepLines w:val="0"/>
              <w:pageBreakBefore w:val="0"/>
              <w:kinsoku/>
              <w:wordWrap/>
              <w:overflowPunct/>
              <w:topLinePunct w:val="0"/>
              <w:autoSpaceDE/>
              <w:autoSpaceDN/>
              <w:bidi w:val="0"/>
              <w:adjustRightInd/>
              <w:snapToGrid/>
              <w:spacing w:line="0" w:lineRule="atLeast"/>
              <w:jc w:val="both"/>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冷轧钢6格</w:t>
            </w:r>
            <w:r>
              <w:rPr>
                <w:rFonts w:hint="eastAsia" w:ascii="方正仿宋_GB2312" w:hAnsi="方正仿宋_GB2312" w:eastAsia="方正仿宋_GB2312" w:cs="方正仿宋_GB2312"/>
                <w:color w:val="auto"/>
                <w:sz w:val="21"/>
                <w:szCs w:val="21"/>
                <w:highlight w:val="none"/>
                <w:lang w:val="en-US"/>
              </w:rPr>
              <w:t>储物柜</w:t>
            </w:r>
          </w:p>
          <w:p w14:paraId="440D9A60">
            <w:pPr>
              <w:pStyle w:val="4"/>
              <w:keepNext w:val="0"/>
              <w:keepLines w:val="0"/>
              <w:pageBreakBefore w:val="0"/>
              <w:kinsoku/>
              <w:wordWrap/>
              <w:overflowPunct/>
              <w:topLinePunct w:val="0"/>
              <w:autoSpaceDE/>
              <w:autoSpaceDN/>
              <w:bidi w:val="0"/>
              <w:adjustRightInd/>
              <w:snapToGrid/>
              <w:spacing w:after="0" w:line="0" w:lineRule="atLeast"/>
              <w:jc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rPr>
              <w:drawing>
                <wp:inline distT="0" distB="0" distL="114300" distR="114300">
                  <wp:extent cx="1273175" cy="1264920"/>
                  <wp:effectExtent l="0" t="0" r="6985" b="0"/>
                  <wp:docPr id="59" name="图片 37" descr="src=http___www.greatsun.net_images_2011_tezhi_gi_9311602.jpg&amp;refer=http___www.greatsu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7" descr="src=http___www.greatsun.net_images_2011_tezhi_gi_9311602.jpg&amp;refer=http___www.greatsun[1]"/>
                          <pic:cNvPicPr>
                            <a:picLocks noChangeAspect="1"/>
                          </pic:cNvPicPr>
                        </pic:nvPicPr>
                        <pic:blipFill>
                          <a:blip r:embed="rId24"/>
                          <a:stretch>
                            <a:fillRect/>
                          </a:stretch>
                        </pic:blipFill>
                        <pic:spPr>
                          <a:xfrm>
                            <a:off x="0" y="0"/>
                            <a:ext cx="1273175" cy="1264920"/>
                          </a:xfrm>
                          <a:prstGeom prst="rect">
                            <a:avLst/>
                          </a:prstGeom>
                          <a:noFill/>
                          <a:ln>
                            <a:noFill/>
                          </a:ln>
                        </pic:spPr>
                      </pic:pic>
                    </a:graphicData>
                  </a:graphic>
                </wp:inline>
              </w:drawing>
            </w:r>
          </w:p>
        </w:tc>
        <w:tc>
          <w:tcPr>
            <w:tcW w:w="1160" w:type="dxa"/>
            <w:shd w:val="clear" w:color="auto" w:fill="FFFFFF"/>
            <w:noWrap w:val="0"/>
            <w:vAlign w:val="center"/>
          </w:tcPr>
          <w:p w14:paraId="485B8C9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尺寸：900*550*1900</w:t>
            </w:r>
          </w:p>
        </w:tc>
        <w:tc>
          <w:tcPr>
            <w:tcW w:w="5350" w:type="dxa"/>
            <w:vMerge w:val="continue"/>
            <w:shd w:val="clear" w:color="auto" w:fill="FFFFFF"/>
            <w:noWrap w:val="0"/>
            <w:vAlign w:val="top"/>
          </w:tcPr>
          <w:p w14:paraId="449D884C">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bidi="ar"/>
              </w:rPr>
            </w:pPr>
          </w:p>
        </w:tc>
      </w:tr>
      <w:tr w14:paraId="2AD1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4" w:hRule="atLeast"/>
        </w:trPr>
        <w:tc>
          <w:tcPr>
            <w:tcW w:w="580" w:type="dxa"/>
            <w:shd w:val="clear" w:color="auto" w:fill="FFFFFF"/>
            <w:noWrap w:val="0"/>
            <w:vAlign w:val="center"/>
          </w:tcPr>
          <w:p w14:paraId="71777962">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bidi="ar"/>
              </w:rPr>
              <w:t>2</w:t>
            </w:r>
            <w:r>
              <w:rPr>
                <w:rFonts w:hint="eastAsia" w:ascii="方正仿宋_GB2312" w:hAnsi="方正仿宋_GB2312" w:eastAsia="方正仿宋_GB2312" w:cs="方正仿宋_GB2312"/>
                <w:color w:val="auto"/>
                <w:sz w:val="21"/>
                <w:szCs w:val="21"/>
                <w:highlight w:val="none"/>
                <w:lang w:val="en-US" w:eastAsia="zh-CN" w:bidi="ar"/>
              </w:rPr>
              <w:t>4</w:t>
            </w:r>
          </w:p>
          <w:p w14:paraId="2290F33C">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bidi="ar"/>
              </w:rPr>
            </w:pPr>
          </w:p>
        </w:tc>
        <w:tc>
          <w:tcPr>
            <w:tcW w:w="2800" w:type="dxa"/>
            <w:shd w:val="clear" w:color="auto" w:fill="FFFFFF"/>
            <w:noWrap w:val="0"/>
            <w:vAlign w:val="center"/>
          </w:tcPr>
          <w:p w14:paraId="2ED61840">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冷轧钢</w:t>
            </w:r>
            <w:r>
              <w:rPr>
                <w:rFonts w:hint="eastAsia" w:ascii="方正仿宋_GB2312" w:hAnsi="方正仿宋_GB2312" w:eastAsia="方正仿宋_GB2312" w:cs="方正仿宋_GB2312"/>
                <w:color w:val="auto"/>
                <w:sz w:val="21"/>
                <w:szCs w:val="21"/>
                <w:highlight w:val="none"/>
                <w:lang w:val="en-US"/>
              </w:rPr>
              <w:t>6门衣帽柜</w:t>
            </w: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77696" behindDoc="0" locked="0" layoutInCell="1" allowOverlap="1">
                  <wp:simplePos x="0" y="0"/>
                  <wp:positionH relativeFrom="column">
                    <wp:posOffset>450215</wp:posOffset>
                  </wp:positionH>
                  <wp:positionV relativeFrom="paragraph">
                    <wp:posOffset>536575</wp:posOffset>
                  </wp:positionV>
                  <wp:extent cx="719455" cy="1123315"/>
                  <wp:effectExtent l="0" t="0" r="12065" b="4445"/>
                  <wp:wrapTopAndBottom/>
                  <wp:docPr id="6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5"/>
                          <pic:cNvPicPr>
                            <a:picLocks noChangeAspect="1"/>
                          </pic:cNvPicPr>
                        </pic:nvPicPr>
                        <pic:blipFill>
                          <a:blip r:embed="rId25"/>
                          <a:stretch>
                            <a:fillRect/>
                          </a:stretch>
                        </pic:blipFill>
                        <pic:spPr>
                          <a:xfrm>
                            <a:off x="0" y="0"/>
                            <a:ext cx="719455" cy="1123315"/>
                          </a:xfrm>
                          <a:prstGeom prst="rect">
                            <a:avLst/>
                          </a:prstGeom>
                          <a:noFill/>
                          <a:ln>
                            <a:noFill/>
                          </a:ln>
                        </pic:spPr>
                      </pic:pic>
                    </a:graphicData>
                  </a:graphic>
                </wp:anchor>
              </w:drawing>
            </w:r>
          </w:p>
        </w:tc>
        <w:tc>
          <w:tcPr>
            <w:tcW w:w="1160" w:type="dxa"/>
            <w:shd w:val="clear" w:color="auto" w:fill="FFFFFF"/>
            <w:noWrap w:val="0"/>
            <w:vAlign w:val="center"/>
          </w:tcPr>
          <w:p w14:paraId="38DEBDD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sz w:val="21"/>
                <w:szCs w:val="21"/>
                <w:highlight w:val="none"/>
                <w:lang w:val="en-US" w:eastAsia="zh-CN"/>
              </w:rPr>
              <w:t>12</w:t>
            </w:r>
            <w:r>
              <w:rPr>
                <w:rFonts w:hint="eastAsia" w:ascii="方正仿宋_GB2312" w:hAnsi="方正仿宋_GB2312" w:eastAsia="方正仿宋_GB2312" w:cs="方正仿宋_GB2312"/>
                <w:color w:val="auto"/>
                <w:sz w:val="21"/>
                <w:szCs w:val="21"/>
                <w:highlight w:val="none"/>
                <w:lang w:val="en-US"/>
              </w:rPr>
              <w:t>00*550*</w:t>
            </w:r>
            <w:r>
              <w:rPr>
                <w:rFonts w:hint="eastAsia" w:ascii="方正仿宋_GB2312" w:hAnsi="方正仿宋_GB2312" w:eastAsia="方正仿宋_GB2312" w:cs="方正仿宋_GB2312"/>
                <w:color w:val="auto"/>
                <w:sz w:val="21"/>
                <w:szCs w:val="21"/>
                <w:highlight w:val="none"/>
                <w:lang w:val="en-US" w:eastAsia="zh-CN"/>
              </w:rPr>
              <w:t>2000</w:t>
            </w:r>
          </w:p>
        </w:tc>
        <w:tc>
          <w:tcPr>
            <w:tcW w:w="5350" w:type="dxa"/>
            <w:shd w:val="clear" w:color="auto" w:fill="FFFFFF"/>
            <w:noWrap w:val="0"/>
            <w:vAlign w:val="top"/>
          </w:tcPr>
          <w:p w14:paraId="6BDEABC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1、整体结构：</w:t>
            </w:r>
          </w:p>
          <w:p w14:paraId="55C541F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bidi="ar"/>
              </w:rPr>
              <w:t>每</w:t>
            </w:r>
            <w:r>
              <w:rPr>
                <w:rFonts w:hint="eastAsia" w:ascii="方正仿宋_GB2312" w:hAnsi="方正仿宋_GB2312" w:eastAsia="方正仿宋_GB2312" w:cs="方正仿宋_GB2312"/>
                <w:color w:val="auto"/>
                <w:sz w:val="21"/>
                <w:szCs w:val="21"/>
                <w:highlight w:val="none"/>
                <w:lang w:val="en-US" w:eastAsia="zh-CN"/>
              </w:rPr>
              <w:t>门均带锁，带姓名卡槽，内置1张可移动隔板。1根可拆卸式晾衣竿。</w:t>
            </w:r>
          </w:p>
          <w:p w14:paraId="314ECB8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2</w:t>
            </w:r>
            <w:r>
              <w:rPr>
                <w:rFonts w:hint="eastAsia" w:ascii="方正仿宋_GB2312" w:hAnsi="方正仿宋_GB2312" w:eastAsia="方正仿宋_GB2312" w:cs="方正仿宋_GB2312"/>
                <w:b w:val="0"/>
                <w:bCs w:val="0"/>
                <w:color w:val="auto"/>
                <w:sz w:val="21"/>
                <w:szCs w:val="21"/>
                <w:highlight w:val="none"/>
                <w:lang w:val="en-US"/>
              </w:rPr>
              <w:t>、基材：</w:t>
            </w:r>
            <w:r>
              <w:rPr>
                <w:rFonts w:hint="eastAsia" w:ascii="方正仿宋_GB2312" w:hAnsi="方正仿宋_GB2312" w:eastAsia="方正仿宋_GB2312" w:cs="方正仿宋_GB2312"/>
                <w:b w:val="0"/>
                <w:bCs w:val="0"/>
                <w:color w:val="auto"/>
                <w:sz w:val="21"/>
                <w:szCs w:val="21"/>
                <w:highlight w:val="none"/>
                <w:lang w:val="en-US" w:eastAsia="zh-CN"/>
              </w:rPr>
              <w:t>裸板厚度</w:t>
            </w:r>
            <w:r>
              <w:rPr>
                <w:rFonts w:hint="eastAsia" w:ascii="方正仿宋_GB2312" w:hAnsi="方正仿宋_GB2312" w:eastAsia="方正仿宋_GB2312" w:cs="方正仿宋_GB2312"/>
                <w:b w:val="0"/>
                <w:bCs w:val="0"/>
                <w:color w:val="auto"/>
                <w:sz w:val="21"/>
                <w:szCs w:val="21"/>
                <w:highlight w:val="none"/>
              </w:rPr>
              <w:t>≥</w:t>
            </w:r>
            <w:r>
              <w:rPr>
                <w:rFonts w:hint="eastAsia" w:ascii="方正仿宋_GB2312" w:hAnsi="方正仿宋_GB2312" w:eastAsia="方正仿宋_GB2312" w:cs="方正仿宋_GB2312"/>
                <w:b w:val="0"/>
                <w:bCs w:val="0"/>
                <w:color w:val="auto"/>
                <w:sz w:val="21"/>
                <w:szCs w:val="21"/>
                <w:highlight w:val="none"/>
                <w:lang w:val="en-US"/>
              </w:rPr>
              <w:t>0.</w:t>
            </w:r>
            <w:r>
              <w:rPr>
                <w:rFonts w:hint="eastAsia" w:ascii="方正仿宋_GB2312" w:hAnsi="方正仿宋_GB2312" w:eastAsia="方正仿宋_GB2312" w:cs="方正仿宋_GB2312"/>
                <w:b w:val="0"/>
                <w:bCs w:val="0"/>
                <w:color w:val="auto"/>
                <w:sz w:val="21"/>
                <w:szCs w:val="21"/>
                <w:highlight w:val="none"/>
                <w:lang w:val="en-US" w:eastAsia="zh-CN"/>
              </w:rPr>
              <w:t>6</w:t>
            </w:r>
            <w:r>
              <w:rPr>
                <w:rFonts w:hint="eastAsia" w:ascii="方正仿宋_GB2312" w:hAnsi="方正仿宋_GB2312" w:eastAsia="方正仿宋_GB2312" w:cs="方正仿宋_GB2312"/>
                <w:b w:val="0"/>
                <w:bCs w:val="0"/>
                <w:color w:val="auto"/>
                <w:sz w:val="21"/>
                <w:szCs w:val="21"/>
                <w:highlight w:val="none"/>
                <w:lang w:val="en-US"/>
              </w:rPr>
              <w:t>mm</w:t>
            </w:r>
            <w:r>
              <w:rPr>
                <w:rFonts w:hint="eastAsia" w:ascii="方正仿宋_GB2312" w:hAnsi="方正仿宋_GB2312" w:eastAsia="方正仿宋_GB2312" w:cs="方正仿宋_GB2312"/>
                <w:b w:val="0"/>
                <w:bCs w:val="0"/>
                <w:color w:val="auto"/>
                <w:sz w:val="21"/>
                <w:szCs w:val="21"/>
                <w:highlight w:val="none"/>
                <w:lang w:val="en-US" w:eastAsia="zh-CN"/>
              </w:rPr>
              <w:t>冷轧</w:t>
            </w:r>
            <w:r>
              <w:rPr>
                <w:rFonts w:hint="eastAsia" w:ascii="方正仿宋_GB2312" w:hAnsi="方正仿宋_GB2312" w:eastAsia="方正仿宋_GB2312" w:cs="方正仿宋_GB2312"/>
                <w:b w:val="0"/>
                <w:bCs w:val="0"/>
                <w:color w:val="auto"/>
                <w:sz w:val="21"/>
                <w:szCs w:val="21"/>
                <w:highlight w:val="none"/>
                <w:lang w:val="en-US"/>
              </w:rPr>
              <w:t>钢板。</w:t>
            </w:r>
            <w:r>
              <w:rPr>
                <w:rFonts w:hint="eastAsia" w:ascii="方正仿宋_GB2312" w:hAnsi="方正仿宋_GB2312" w:eastAsia="方正仿宋_GB2312" w:cs="方正仿宋_GB2312"/>
                <w:b w:val="0"/>
                <w:bCs w:val="0"/>
                <w:color w:val="auto"/>
                <w:sz w:val="21"/>
                <w:szCs w:val="21"/>
                <w:highlight w:val="none"/>
                <w:lang w:eastAsia="zh-CN"/>
              </w:rPr>
              <w:t>冷轧钢板：①依据GB/T11253-2019，力学性能（规定塑性延伸强度≥195Mpa、抗拉强度315～430Mpa、断后伸长率≥29％），弯曲试验合格，表面质量合格，表面结构（平均粗糙度）≤0.7μm，②依据GB/T10125-2021，人造气氛腐蚀试验（盐雾试验），保护评级和外观评级均达到10级。</w:t>
            </w:r>
            <w:r>
              <w:rPr>
                <w:rFonts w:hint="eastAsia" w:ascii="方正仿宋_GB2312" w:hAnsi="方正仿宋_GB2312" w:eastAsia="方正仿宋_GB2312" w:cs="方正仿宋_GB2312"/>
                <w:b w:val="0"/>
                <w:bCs w:val="0"/>
                <w:color w:val="auto"/>
                <w:sz w:val="21"/>
                <w:szCs w:val="21"/>
                <w:highlight w:val="none"/>
                <w:lang w:val="en-US" w:eastAsia="zh-CN"/>
              </w:rPr>
              <w:t>3</w:t>
            </w:r>
            <w:r>
              <w:rPr>
                <w:rFonts w:hint="eastAsia" w:ascii="方正仿宋_GB2312" w:hAnsi="方正仿宋_GB2312" w:eastAsia="方正仿宋_GB2312" w:cs="方正仿宋_GB2312"/>
                <w:b w:val="0"/>
                <w:bCs w:val="0"/>
                <w:color w:val="auto"/>
                <w:sz w:val="21"/>
                <w:szCs w:val="21"/>
                <w:highlight w:val="none"/>
                <w:lang w:val="en-US"/>
              </w:rPr>
              <w:t>、</w:t>
            </w:r>
            <w:r>
              <w:rPr>
                <w:rFonts w:hint="eastAsia" w:ascii="方正仿宋_GB2312" w:hAnsi="方正仿宋_GB2312" w:eastAsia="方正仿宋_GB2312" w:cs="方正仿宋_GB2312"/>
                <w:b w:val="0"/>
                <w:bCs w:val="0"/>
                <w:color w:val="auto"/>
                <w:kern w:val="2"/>
                <w:sz w:val="21"/>
                <w:szCs w:val="21"/>
                <w:highlight w:val="none"/>
                <w:lang w:val="en-US" w:eastAsia="zh-CN" w:bidi="ar-SA"/>
              </w:rPr>
              <w:t>表面采用环保塑粉，静电喷塑；</w:t>
            </w:r>
          </w:p>
          <w:p w14:paraId="2A4CB9F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4、</w:t>
            </w:r>
            <w:r>
              <w:rPr>
                <w:rFonts w:hint="eastAsia" w:ascii="方正仿宋_GB2312" w:hAnsi="方正仿宋_GB2312" w:eastAsia="方正仿宋_GB2312" w:cs="方正仿宋_GB2312"/>
                <w:b w:val="0"/>
                <w:bCs w:val="0"/>
                <w:color w:val="auto"/>
                <w:sz w:val="21"/>
                <w:szCs w:val="21"/>
                <w:highlight w:val="none"/>
                <w:lang w:val="en-US"/>
              </w:rPr>
              <w:t>五金件：</w:t>
            </w:r>
            <w:r>
              <w:rPr>
                <w:rFonts w:hint="eastAsia" w:ascii="方正仿宋_GB2312" w:hAnsi="方正仿宋_GB2312" w:eastAsia="方正仿宋_GB2312" w:cs="方正仿宋_GB2312"/>
                <w:b w:val="0"/>
                <w:bCs w:val="0"/>
                <w:color w:val="auto"/>
                <w:sz w:val="21"/>
                <w:szCs w:val="21"/>
                <w:highlight w:val="none"/>
                <w:lang w:val="en-US" w:eastAsia="zh-CN"/>
              </w:rPr>
              <w:t>金属拉手、锁具；</w:t>
            </w:r>
          </w:p>
          <w:p w14:paraId="1FF280FB">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要求</w:t>
            </w:r>
            <w:r>
              <w:rPr>
                <w:rFonts w:hint="eastAsia" w:ascii="方正仿宋_GB2312" w:hAnsi="方正仿宋_GB2312" w:eastAsia="方正仿宋_GB2312" w:cs="方正仿宋_GB2312"/>
                <w:b w:val="0"/>
                <w:bCs w:val="0"/>
                <w:color w:val="auto"/>
                <w:sz w:val="21"/>
                <w:szCs w:val="21"/>
                <w:highlight w:val="none"/>
              </w:rPr>
              <w:t>连接安装严密、平整、端正、牢固，结合处无崩茬和松动。</w:t>
            </w:r>
          </w:p>
          <w:p w14:paraId="60C3E50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b w:val="0"/>
                <w:bCs w:val="0"/>
                <w:color w:val="auto"/>
                <w:sz w:val="21"/>
                <w:szCs w:val="21"/>
                <w:highlight w:val="none"/>
                <w:lang w:val="en-US" w:eastAsia="zh-CN"/>
              </w:rPr>
              <w:t>5、</w:t>
            </w:r>
            <w:r>
              <w:rPr>
                <w:rFonts w:hint="eastAsia" w:ascii="方正仿宋_GB2312" w:hAnsi="方正仿宋_GB2312" w:eastAsia="方正仿宋_GB2312" w:cs="方正仿宋_GB2312"/>
                <w:color w:val="auto"/>
                <w:szCs w:val="21"/>
                <w:highlight w:val="none"/>
              </w:rPr>
              <w:t>符合QB/T1621《家具锁》标准。通用要求：开启灵活，无卡滞，互开率符合标准要求（≤0.5%），具备基本的防撬结构。</w:t>
            </w:r>
          </w:p>
          <w:p w14:paraId="7B756C3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rPr>
            </w:pPr>
          </w:p>
        </w:tc>
      </w:tr>
      <w:tr w14:paraId="169E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4887F0CB">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25</w:t>
            </w:r>
          </w:p>
        </w:tc>
        <w:tc>
          <w:tcPr>
            <w:tcW w:w="2800" w:type="dxa"/>
            <w:shd w:val="clear" w:color="auto" w:fill="FFFFFF"/>
            <w:noWrap w:val="0"/>
            <w:vAlign w:val="center"/>
          </w:tcPr>
          <w:p w14:paraId="70174C4A">
            <w:pPr>
              <w:pStyle w:val="4"/>
              <w:keepNext w:val="0"/>
              <w:keepLines w:val="0"/>
              <w:pageBreakBefore w:val="0"/>
              <w:kinsoku/>
              <w:wordWrap/>
              <w:overflowPunct/>
              <w:topLinePunct w:val="0"/>
              <w:autoSpaceDE/>
              <w:autoSpaceDN/>
              <w:bidi w:val="0"/>
              <w:adjustRightInd/>
              <w:snapToGrid/>
              <w:spacing w:after="0" w:line="0" w:lineRule="atLeast"/>
              <w:jc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kern w:val="0"/>
                <w:sz w:val="21"/>
                <w:szCs w:val="21"/>
                <w:highlight w:val="none"/>
              </w:rPr>
              <w:drawing>
                <wp:anchor distT="0" distB="0" distL="114300" distR="114300" simplePos="0" relativeHeight="251679744" behindDoc="0" locked="0" layoutInCell="1" allowOverlap="1">
                  <wp:simplePos x="0" y="0"/>
                  <wp:positionH relativeFrom="column">
                    <wp:posOffset>274955</wp:posOffset>
                  </wp:positionH>
                  <wp:positionV relativeFrom="paragraph">
                    <wp:posOffset>163195</wp:posOffset>
                  </wp:positionV>
                  <wp:extent cx="1303020" cy="1669415"/>
                  <wp:effectExtent l="0" t="0" r="7620" b="6985"/>
                  <wp:wrapTopAndBottom/>
                  <wp:docPr id="61"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2" descr="IMG_277"/>
                          <pic:cNvPicPr>
                            <a:picLocks noChangeAspect="1"/>
                          </pic:cNvPicPr>
                        </pic:nvPicPr>
                        <pic:blipFill>
                          <a:blip r:embed="rId26"/>
                          <a:stretch>
                            <a:fillRect/>
                          </a:stretch>
                        </pic:blipFill>
                        <pic:spPr>
                          <a:xfrm>
                            <a:off x="0" y="0"/>
                            <a:ext cx="1303020" cy="1669415"/>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eastAsia="zh-CN"/>
              </w:rPr>
              <w:t>板材4门更衣柜</w:t>
            </w:r>
          </w:p>
          <w:p w14:paraId="7FF3CD3D">
            <w:pPr>
              <w:keepNext w:val="0"/>
              <w:keepLines w:val="0"/>
              <w:pageBreakBefore w:val="0"/>
              <w:kinsoku/>
              <w:wordWrap/>
              <w:overflowPunct/>
              <w:topLinePunct w:val="0"/>
              <w:autoSpaceDE/>
              <w:autoSpaceDN/>
              <w:bidi w:val="0"/>
              <w:adjustRightInd/>
              <w:snapToGrid/>
              <w:spacing w:line="0" w:lineRule="atLeast"/>
              <w:ind w:left="0" w:leftChars="0" w:right="0" w:rightChars="0"/>
              <w:jc w:val="both"/>
              <w:rPr>
                <w:rFonts w:hint="eastAsia" w:ascii="方正仿宋_GB2312" w:hAnsi="方正仿宋_GB2312" w:eastAsia="方正仿宋_GB2312" w:cs="方正仿宋_GB2312"/>
                <w:color w:val="auto"/>
                <w:sz w:val="21"/>
                <w:szCs w:val="21"/>
                <w:highlight w:val="none"/>
                <w:lang w:val="en-US" w:eastAsia="zh-CN" w:bidi="zh-CN"/>
              </w:rPr>
            </w:pP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78720" behindDoc="0" locked="0" layoutInCell="1" allowOverlap="1">
                  <wp:simplePos x="0" y="0"/>
                  <wp:positionH relativeFrom="column">
                    <wp:posOffset>487045</wp:posOffset>
                  </wp:positionH>
                  <wp:positionV relativeFrom="paragraph">
                    <wp:posOffset>355600</wp:posOffset>
                  </wp:positionV>
                  <wp:extent cx="793115" cy="1703070"/>
                  <wp:effectExtent l="0" t="0" r="14605" b="3810"/>
                  <wp:wrapTopAndBottom/>
                  <wp:docPr id="62" name="图片 34"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4" descr="IMG_276"/>
                          <pic:cNvPicPr>
                            <a:picLocks noChangeAspect="1"/>
                          </pic:cNvPicPr>
                        </pic:nvPicPr>
                        <pic:blipFill>
                          <a:blip r:embed="rId27"/>
                          <a:stretch>
                            <a:fillRect/>
                          </a:stretch>
                        </pic:blipFill>
                        <pic:spPr>
                          <a:xfrm>
                            <a:off x="0" y="0"/>
                            <a:ext cx="793115" cy="1703070"/>
                          </a:xfrm>
                          <a:prstGeom prst="rect">
                            <a:avLst/>
                          </a:prstGeom>
                          <a:noFill/>
                          <a:ln>
                            <a:noFill/>
                          </a:ln>
                        </pic:spPr>
                      </pic:pic>
                    </a:graphicData>
                  </a:graphic>
                </wp:anchor>
              </w:drawing>
            </w:r>
          </w:p>
        </w:tc>
        <w:tc>
          <w:tcPr>
            <w:tcW w:w="1160" w:type="dxa"/>
            <w:shd w:val="clear" w:color="auto" w:fill="FFFFFF"/>
            <w:noWrap w:val="0"/>
            <w:vAlign w:val="center"/>
          </w:tcPr>
          <w:p w14:paraId="4A6BF417">
            <w:pPr>
              <w:pStyle w:val="4"/>
              <w:keepNext w:val="0"/>
              <w:keepLines w:val="0"/>
              <w:pageBreakBefore w:val="0"/>
              <w:kinsoku/>
              <w:wordWrap/>
              <w:overflowPunct/>
              <w:topLinePunct w:val="0"/>
              <w:autoSpaceDE/>
              <w:autoSpaceDN/>
              <w:bidi w:val="0"/>
              <w:adjustRightInd/>
              <w:snapToGrid/>
              <w:spacing w:after="0" w:line="0" w:lineRule="atLeast"/>
              <w:rPr>
                <w:rFonts w:hint="eastAsia" w:ascii="方正仿宋_GB2312" w:hAnsi="方正仿宋_GB2312" w:eastAsia="方正仿宋_GB2312" w:cs="方正仿宋_GB2312"/>
                <w:b w:val="0"/>
                <w:bCs w:val="0"/>
                <w:color w:val="auto"/>
                <w:kern w:val="28"/>
                <w:sz w:val="21"/>
                <w:szCs w:val="21"/>
                <w:highlight w:val="none"/>
                <w:lang w:val="en-US" w:eastAsia="zh-CN" w:bidi="ar-SA"/>
              </w:rPr>
            </w:pPr>
            <w:r>
              <w:rPr>
                <w:rFonts w:hint="eastAsia" w:ascii="方正仿宋_GB2312" w:hAnsi="方正仿宋_GB2312" w:eastAsia="方正仿宋_GB2312" w:cs="方正仿宋_GB2312"/>
                <w:color w:val="auto"/>
                <w:sz w:val="21"/>
                <w:szCs w:val="21"/>
                <w:highlight w:val="none"/>
                <w:lang w:val="en-US"/>
              </w:rPr>
              <w:t>尺寸：</w:t>
            </w:r>
            <w:r>
              <w:rPr>
                <w:rFonts w:hint="eastAsia" w:ascii="方正仿宋_GB2312" w:hAnsi="方正仿宋_GB2312" w:eastAsia="方正仿宋_GB2312" w:cs="方正仿宋_GB2312"/>
                <w:color w:val="auto"/>
                <w:kern w:val="0"/>
                <w:sz w:val="21"/>
                <w:szCs w:val="21"/>
                <w:highlight w:val="none"/>
              </w:rPr>
              <w:t>800*5</w:t>
            </w:r>
            <w:r>
              <w:rPr>
                <w:rFonts w:hint="eastAsia" w:ascii="方正仿宋_GB2312" w:hAnsi="方正仿宋_GB2312" w:eastAsia="方正仿宋_GB2312" w:cs="方正仿宋_GB2312"/>
                <w:color w:val="auto"/>
                <w:kern w:val="0"/>
                <w:sz w:val="21"/>
                <w:szCs w:val="21"/>
                <w:highlight w:val="none"/>
                <w:lang w:val="en-US" w:eastAsia="zh-CN"/>
              </w:rPr>
              <w:t>0</w:t>
            </w:r>
            <w:r>
              <w:rPr>
                <w:rFonts w:hint="eastAsia" w:ascii="方正仿宋_GB2312" w:hAnsi="方正仿宋_GB2312" w:eastAsia="方正仿宋_GB2312" w:cs="方正仿宋_GB2312"/>
                <w:color w:val="auto"/>
                <w:kern w:val="0"/>
                <w:sz w:val="21"/>
                <w:szCs w:val="21"/>
                <w:highlight w:val="none"/>
              </w:rPr>
              <w:t>0*2000</w:t>
            </w:r>
          </w:p>
        </w:tc>
        <w:tc>
          <w:tcPr>
            <w:tcW w:w="5350" w:type="dxa"/>
            <w:shd w:val="clear" w:color="auto" w:fill="FFFFFF"/>
            <w:noWrap w:val="0"/>
            <w:vAlign w:val="top"/>
          </w:tcPr>
          <w:p w14:paraId="2C22CB8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eastAsia="zh-CN"/>
              </w:rPr>
              <w:t>1、整体结构：</w:t>
            </w:r>
            <w:r>
              <w:rPr>
                <w:rFonts w:hint="eastAsia" w:ascii="方正仿宋_GB2312" w:hAnsi="方正仿宋_GB2312" w:eastAsia="方正仿宋_GB2312" w:cs="方正仿宋_GB2312"/>
                <w:b w:val="0"/>
                <w:bCs w:val="0"/>
                <w:color w:val="auto"/>
                <w:sz w:val="21"/>
                <w:szCs w:val="21"/>
                <w:highlight w:val="none"/>
                <w:lang w:val="en-US" w:eastAsia="zh-CN"/>
              </w:rPr>
              <w:t>每门均带锁，内置1个抽屉。1根可拆卸式晾衣竿</w:t>
            </w:r>
            <w:r>
              <w:rPr>
                <w:rFonts w:hint="eastAsia" w:ascii="方正仿宋_GB2312" w:hAnsi="方正仿宋_GB2312" w:eastAsia="方正仿宋_GB2312" w:cs="方正仿宋_GB2312"/>
                <w:color w:val="auto"/>
                <w:sz w:val="21"/>
                <w:szCs w:val="21"/>
                <w:highlight w:val="none"/>
              </w:rPr>
              <w:t>。</w:t>
            </w:r>
          </w:p>
          <w:p w14:paraId="1E2B9B1B">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kern w:val="2"/>
                <w:sz w:val="21"/>
                <w:szCs w:val="21"/>
                <w:highlight w:val="none"/>
                <w:lang w:val="en-US" w:eastAsia="zh-CN" w:bidi="ar-SA"/>
              </w:rPr>
            </w:pPr>
            <w:r>
              <w:rPr>
                <w:rFonts w:hint="eastAsia" w:ascii="方正仿宋_GB2312" w:hAnsi="方正仿宋_GB2312" w:eastAsia="方正仿宋_GB2312" w:cs="方正仿宋_GB2312"/>
                <w:b w:val="0"/>
                <w:bCs w:val="0"/>
                <w:color w:val="auto"/>
                <w:sz w:val="21"/>
                <w:szCs w:val="21"/>
                <w:highlight w:val="none"/>
                <w:lang w:val="en-US" w:eastAsia="zh-CN"/>
              </w:rPr>
              <w:t>2</w:t>
            </w:r>
            <w:r>
              <w:rPr>
                <w:rFonts w:hint="eastAsia" w:ascii="方正仿宋_GB2312" w:hAnsi="方正仿宋_GB2312" w:eastAsia="方正仿宋_GB2312" w:cs="方正仿宋_GB2312"/>
                <w:b w:val="0"/>
                <w:bCs w:val="0"/>
                <w:color w:val="auto"/>
                <w:sz w:val="21"/>
                <w:szCs w:val="21"/>
                <w:highlight w:val="none"/>
              </w:rPr>
              <w:t>、</w:t>
            </w:r>
            <w:r>
              <w:rPr>
                <w:rFonts w:hint="eastAsia" w:ascii="方正仿宋_GB2312" w:hAnsi="方正仿宋_GB2312" w:eastAsia="方正仿宋_GB2312" w:cs="方正仿宋_GB2312"/>
                <w:b w:val="0"/>
                <w:bCs w:val="0"/>
                <w:color w:val="auto"/>
                <w:kern w:val="2"/>
                <w:sz w:val="21"/>
                <w:szCs w:val="21"/>
                <w:highlight w:val="none"/>
                <w:lang w:val="en-US" w:eastAsia="zh-CN" w:bidi="ar-SA"/>
              </w:rPr>
              <w:t>基材：</w:t>
            </w:r>
            <w:r>
              <w:rPr>
                <w:rFonts w:hint="eastAsia" w:ascii="方正仿宋_GB2312" w:hAnsi="方正仿宋_GB2312" w:eastAsia="方正仿宋_GB2312" w:cs="方正仿宋_GB2312"/>
                <w:b w:val="0"/>
                <w:bCs w:val="0"/>
                <w:color w:val="auto"/>
                <w:sz w:val="21"/>
                <w:szCs w:val="21"/>
                <w:highlight w:val="none"/>
                <w:lang w:val="en-US" w:eastAsia="zh-CN"/>
              </w:rPr>
              <w:t>板材采用三聚氰胺板，厚度≥16mm。</w:t>
            </w:r>
          </w:p>
          <w:p w14:paraId="020D5B62">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3、三聚氰胺板：</w:t>
            </w:r>
          </w:p>
          <w:p w14:paraId="1634B6AB">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①物理力学性能：</w:t>
            </w:r>
          </w:p>
          <w:p w14:paraId="62253310">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15102-2017《浸渍胶膜纸饰面纤维板和刨花板》，静曲强度≥18MPa，弹性模量≥3500MPa，内结合强度≥0.45MPa，表面胶合强度≥0.80MPa，2h吸水厚度膨胀率≤8%。</w:t>
            </w:r>
          </w:p>
          <w:p w14:paraId="231449B4">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②表面理化性能：</w:t>
            </w:r>
          </w:p>
          <w:p w14:paraId="5C9EAA16">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15102-2017，表面耐干热、表面耐龟裂、表面耐水蒸气均达到 4 级以上；表面耐污染腐蚀达到 4 级以上；表面耐香烟灼烧达到 4 级以上；表面耐磨磨耗值≤350r/100r（转数越低越耐磨）；耐光色牢度≥4级（灰度卡）。</w:t>
            </w:r>
          </w:p>
          <w:p w14:paraId="68B7D490">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③环保健康性能：</w:t>
            </w:r>
          </w:p>
          <w:p w14:paraId="0CBDE6F1">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GB/T 39600-2021《人造板及其制品甲醛释放量分级》，甲醛释放限量达到 ENF级（≤0.025 mg/m³）；依据 GB/T 35601-2024《绿色产品评价 人造板和木质地板》，挥发性有机化合物释放浓度（7d）苯≤2μg/m³、甲苯≤20μg/m³、二甲苯≤20μg/m³、总挥发性有机化合物（TVOC）≤200μg/m³。</w:t>
            </w:r>
          </w:p>
          <w:p w14:paraId="4FD03EED">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④抗菌防霉性能：</w:t>
            </w:r>
          </w:p>
          <w:p w14:paraId="14DA5C69">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JC/T 2039-2010《抗菌防霉木质装饰板》，对大肠杆菌、金黄色葡萄球菌等常见细菌的抗菌率≥90%；黑曲霉、黄曲霉、桔青霉的防霉菌等级达到 0 级（最高防霉等级）。</w:t>
            </w:r>
          </w:p>
          <w:p w14:paraId="5EFE2027">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⑤防火安全性能：</w:t>
            </w:r>
          </w:p>
          <w:p w14:paraId="2F7EDB29">
            <w:pPr>
              <w:pStyle w:val="4"/>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依据 GB 8624-2012《建筑材料及制品燃烧性能分级》，燃烧性能等级达到 B1级（难燃材料）；依据 GB/T 20285-2006《材料产烟毒性危险分级》，产烟毒性危险分级达到准安全一级（ZA1）。</w:t>
            </w:r>
          </w:p>
          <w:p w14:paraId="07624586">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4、封边条</w:t>
            </w:r>
          </w:p>
          <w:p w14:paraId="75D80300">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①采用优质环保 PVC/ABS 封边条。依据 QB/T 4463-2013《家具用封边条技术要求》及相关国家标准：</w:t>
            </w:r>
          </w:p>
          <w:p w14:paraId="560218A1">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②环保性能：甲醛释放量、氯乙烯单体、可迁移元素（铅、镉、铬、汞等）、邻苯二甲酸酯（塑化剂）均需未检出。</w:t>
            </w:r>
          </w:p>
          <w:p w14:paraId="1532FA85">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③抗菌防霉：抗菌率≥90%，防霉等级达到0级。</w:t>
            </w:r>
          </w:p>
          <w:p w14:paraId="1E4EADC4">
            <w:pPr>
              <w:pStyle w:val="4"/>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④理化性能：耐干热性、耐开裂性、耐老化性测试合格；耐磨性磨30转后无露底；耐光色牢度≥4级。</w:t>
            </w:r>
          </w:p>
          <w:p w14:paraId="4CDE43C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⑤板件全部四周均需进行封边处理；其中板件厚度≥20mm的，应采用厚度≥2.0mm的PVC封边条；板件厚度＜20mm的，应采用厚度≥1.0mm的PVC封边条。</w:t>
            </w:r>
          </w:p>
          <w:p w14:paraId="65A8B2D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5、</w:t>
            </w:r>
            <w:r>
              <w:rPr>
                <w:rFonts w:hint="eastAsia" w:ascii="方正仿宋_GB2312" w:hAnsi="方正仿宋_GB2312" w:eastAsia="方正仿宋_GB2312" w:cs="方正仿宋_GB2312"/>
                <w:b w:val="0"/>
                <w:bCs w:val="0"/>
                <w:color w:val="auto"/>
                <w:sz w:val="21"/>
                <w:szCs w:val="21"/>
                <w:highlight w:val="none"/>
                <w:lang w:val="en-US"/>
              </w:rPr>
              <w:t>五金件</w:t>
            </w:r>
          </w:p>
          <w:p w14:paraId="78554609">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①</w:t>
            </w:r>
            <w:r>
              <w:rPr>
                <w:rFonts w:hint="eastAsia" w:ascii="方正仿宋_GB2312" w:hAnsi="方正仿宋_GB2312" w:eastAsia="方正仿宋_GB2312" w:cs="方正仿宋_GB2312"/>
                <w:color w:val="auto"/>
                <w:szCs w:val="21"/>
                <w:highlight w:val="none"/>
              </w:rPr>
              <w:t>铰链（门铰）</w:t>
            </w:r>
          </w:p>
          <w:p w14:paraId="05B2DDF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执行标准：符合现行国家标准或行业标准（如QB/T2189）中关于杯状暗铰链的技术要求。</w:t>
            </w:r>
          </w:p>
          <w:p w14:paraId="1EA83ED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auto"/>
                <w:szCs w:val="21"/>
                <w:highlight w:val="none"/>
              </w:rPr>
              <w:t>耐久性测试循环次数≥50,000次，试验后铰链功能正常，无断裂、无卡滞，门板下沉量符合标准要求。</w:t>
            </w:r>
          </w:p>
          <w:p w14:paraId="2FED2727">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耐腐蚀性：依据GB/T10125进行中性盐雾试验（NSS）≥48小时，保护评级（Rp）≥9级（表面无红锈）。</w:t>
            </w:r>
          </w:p>
          <w:p w14:paraId="5B23DEE1">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②</w:t>
            </w:r>
            <w:r>
              <w:rPr>
                <w:rFonts w:hint="eastAsia" w:ascii="方正仿宋_GB2312" w:hAnsi="方正仿宋_GB2312" w:eastAsia="方正仿宋_GB2312" w:cs="方正仿宋_GB2312"/>
                <w:color w:val="auto"/>
                <w:szCs w:val="21"/>
                <w:highlight w:val="none"/>
              </w:rPr>
              <w:t>导轨（抽屉滑轨）</w:t>
            </w:r>
          </w:p>
          <w:p w14:paraId="4EECFB7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执行标准：符合现行国家标准或行业标准（如QB/T2454）关于抽屉导轨的技术要求。</w:t>
            </w:r>
          </w:p>
          <w:p w14:paraId="76D66DE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性能要求：垂直向下静载荷≥200N（确保抽屉满载不变形），水平侧向稳定性测试合格。</w:t>
            </w:r>
          </w:p>
          <w:p w14:paraId="0A20CDA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耐久性：循环测试≥80,000次无损坏，抽拉顺畅。</w:t>
            </w:r>
          </w:p>
          <w:p w14:paraId="5DB4367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③</w:t>
            </w:r>
            <w:r>
              <w:rPr>
                <w:rFonts w:hint="eastAsia" w:ascii="方正仿宋_GB2312" w:hAnsi="方正仿宋_GB2312" w:eastAsia="方正仿宋_GB2312" w:cs="方正仿宋_GB2312"/>
                <w:color w:val="auto"/>
                <w:szCs w:val="21"/>
                <w:highlight w:val="none"/>
              </w:rPr>
              <w:t>连接件（三合一/二合一）</w:t>
            </w:r>
          </w:p>
          <w:p w14:paraId="173E95C5">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执行标准：符合现行国家标准（如GB/T28203）关于家具连接件的技术要求。</w:t>
            </w:r>
          </w:p>
          <w:p w14:paraId="79BABD8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力学性能：偏心体抗拉强度≥250N，预埋件抗拔力≥600N，确保柜体连接牢固，长期使用不松动。</w:t>
            </w:r>
          </w:p>
          <w:p w14:paraId="02B4BA8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④</w:t>
            </w:r>
            <w:r>
              <w:rPr>
                <w:rFonts w:hint="eastAsia" w:ascii="方正仿宋_GB2312" w:hAnsi="方正仿宋_GB2312" w:eastAsia="方正仿宋_GB2312" w:cs="方正仿宋_GB2312"/>
                <w:color w:val="auto"/>
                <w:szCs w:val="21"/>
                <w:highlight w:val="none"/>
              </w:rPr>
              <w:t>锁具执行标准：符合QB/T1621《家具锁》标准。</w:t>
            </w:r>
          </w:p>
          <w:p w14:paraId="37EBD87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bidi="ar"/>
              </w:rPr>
            </w:pPr>
            <w:r>
              <w:rPr>
                <w:rFonts w:hint="eastAsia" w:ascii="方正仿宋_GB2312" w:hAnsi="方正仿宋_GB2312" w:eastAsia="方正仿宋_GB2312" w:cs="方正仿宋_GB2312"/>
                <w:color w:val="auto"/>
                <w:szCs w:val="21"/>
                <w:highlight w:val="none"/>
              </w:rPr>
              <w:t>通用要求：开启灵活，无卡滞，互开率符合标准要求（≤0.5%），具备基本的防撬结构。</w:t>
            </w:r>
            <w:r>
              <w:rPr>
                <w:rFonts w:hint="eastAsia" w:ascii="方正仿宋_GB2312" w:hAnsi="方正仿宋_GB2312" w:eastAsia="方正仿宋_GB2312" w:cs="方正仿宋_GB2312"/>
                <w:b w:val="0"/>
                <w:bCs w:val="0"/>
                <w:color w:val="auto"/>
                <w:sz w:val="21"/>
                <w:szCs w:val="21"/>
                <w:highlight w:val="none"/>
                <w:lang w:val="en-US" w:eastAsia="zh-CN" w:bidi="ar"/>
              </w:rPr>
              <w:t>、外观评级（Rᴀ）均达到10级。</w:t>
            </w:r>
          </w:p>
        </w:tc>
      </w:tr>
      <w:tr w14:paraId="6820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4E56FB67">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bidi="ar"/>
              </w:rPr>
              <w:t>2</w:t>
            </w:r>
            <w:r>
              <w:rPr>
                <w:rFonts w:hint="eastAsia" w:ascii="方正仿宋_GB2312" w:hAnsi="方正仿宋_GB2312" w:eastAsia="方正仿宋_GB2312" w:cs="方正仿宋_GB2312"/>
                <w:color w:val="auto"/>
                <w:sz w:val="21"/>
                <w:szCs w:val="21"/>
                <w:highlight w:val="none"/>
                <w:lang w:val="en-US" w:eastAsia="zh-CN" w:bidi="ar"/>
              </w:rPr>
              <w:t>6</w:t>
            </w:r>
          </w:p>
        </w:tc>
        <w:tc>
          <w:tcPr>
            <w:tcW w:w="2800" w:type="dxa"/>
            <w:shd w:val="clear" w:color="auto" w:fill="auto"/>
            <w:noWrap w:val="0"/>
            <w:vAlign w:val="center"/>
          </w:tcPr>
          <w:p w14:paraId="5AEC71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2"/>
                <w:sz w:val="24"/>
                <w:szCs w:val="24"/>
                <w:u w:val="none"/>
                <w:lang w:val="en-US" w:eastAsia="zh-CN" w:bidi="ar-SA"/>
              </w:rPr>
            </w:pPr>
            <w:r>
              <w:rPr>
                <w:rFonts w:hint="eastAsia" w:ascii="方正仿宋_GB2312" w:hAnsi="方正仿宋_GB2312" w:eastAsia="方正仿宋_GB2312" w:cs="方正仿宋_GB2312"/>
                <w:i w:val="0"/>
                <w:iCs w:val="0"/>
                <w:color w:val="000000"/>
                <w:kern w:val="0"/>
                <w:sz w:val="24"/>
                <w:szCs w:val="24"/>
                <w:u w:val="none"/>
                <w:lang w:val="en-US" w:eastAsia="zh-CN" w:bidi="ar"/>
              </w:rPr>
              <w:drawing>
                <wp:inline distT="0" distB="0" distL="114300" distR="114300">
                  <wp:extent cx="1619885" cy="1485265"/>
                  <wp:effectExtent l="0" t="0" r="10795" b="8255"/>
                  <wp:docPr id="6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descr="IMG_256"/>
                          <pic:cNvPicPr>
                            <a:picLocks noChangeAspect="1"/>
                          </pic:cNvPicPr>
                        </pic:nvPicPr>
                        <pic:blipFill>
                          <a:blip r:embed="rId28"/>
                          <a:stretch>
                            <a:fillRect/>
                          </a:stretch>
                        </pic:blipFill>
                        <pic:spPr>
                          <a:xfrm>
                            <a:off x="0" y="0"/>
                            <a:ext cx="1619885" cy="1485265"/>
                          </a:xfrm>
                          <a:prstGeom prst="rect">
                            <a:avLst/>
                          </a:prstGeom>
                          <a:noFill/>
                          <a:ln w="9525">
                            <a:noFill/>
                          </a:ln>
                        </pic:spPr>
                      </pic:pic>
                    </a:graphicData>
                  </a:graphic>
                </wp:inline>
              </w:drawing>
            </w:r>
          </w:p>
        </w:tc>
        <w:tc>
          <w:tcPr>
            <w:tcW w:w="1160" w:type="dxa"/>
            <w:shd w:val="clear" w:color="auto" w:fill="FFFFFF"/>
            <w:noWrap w:val="0"/>
            <w:vAlign w:val="center"/>
          </w:tcPr>
          <w:p w14:paraId="626EDDEC">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bidi="ar"/>
              </w:rPr>
              <w:t>规格尺寸1980*900*1700</w:t>
            </w:r>
          </w:p>
        </w:tc>
        <w:tc>
          <w:tcPr>
            <w:tcW w:w="5350" w:type="dxa"/>
            <w:shd w:val="clear" w:color="auto" w:fill="FFFFFF"/>
            <w:noWrap w:val="0"/>
            <w:vAlign w:val="top"/>
          </w:tcPr>
          <w:p w14:paraId="07DA66D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bidi="ar"/>
              </w:rPr>
            </w:pPr>
            <w:r>
              <w:rPr>
                <w:rFonts w:hint="eastAsia" w:ascii="方正仿宋_GB2312" w:hAnsi="方正仿宋_GB2312" w:eastAsia="方正仿宋_GB2312" w:cs="方正仿宋_GB2312"/>
                <w:b w:val="0"/>
                <w:bCs w:val="0"/>
                <w:color w:val="auto"/>
                <w:sz w:val="21"/>
                <w:szCs w:val="21"/>
                <w:highlight w:val="none"/>
                <w:lang w:val="en-US" w:bidi="ar"/>
              </w:rPr>
              <w:t>1、产品制造标准：执行GB/T3325-20</w:t>
            </w:r>
            <w:r>
              <w:rPr>
                <w:rFonts w:hint="eastAsia" w:ascii="方正仿宋_GB2312" w:hAnsi="方正仿宋_GB2312" w:eastAsia="方正仿宋_GB2312" w:cs="方正仿宋_GB2312"/>
                <w:b w:val="0"/>
                <w:bCs w:val="0"/>
                <w:color w:val="auto"/>
                <w:sz w:val="21"/>
                <w:szCs w:val="21"/>
                <w:highlight w:val="none"/>
                <w:lang w:val="en-US" w:eastAsia="zh-CN" w:bidi="ar"/>
              </w:rPr>
              <w:t>24</w:t>
            </w:r>
            <w:r>
              <w:rPr>
                <w:rFonts w:hint="eastAsia" w:ascii="方正仿宋_GB2312" w:hAnsi="方正仿宋_GB2312" w:eastAsia="方正仿宋_GB2312" w:cs="方正仿宋_GB2312"/>
                <w:b w:val="0"/>
                <w:bCs w:val="0"/>
                <w:color w:val="auto"/>
                <w:sz w:val="21"/>
                <w:szCs w:val="21"/>
                <w:highlight w:val="none"/>
                <w:lang w:val="en-US" w:bidi="ar"/>
              </w:rPr>
              <w:t>《金属家具通用技术条件》。</w:t>
            </w:r>
          </w:p>
          <w:p w14:paraId="54578B5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bidi="ar"/>
              </w:rPr>
            </w:pPr>
            <w:r>
              <w:rPr>
                <w:rFonts w:hint="eastAsia" w:ascii="方正仿宋_GB2312" w:hAnsi="方正仿宋_GB2312" w:eastAsia="方正仿宋_GB2312" w:cs="方正仿宋_GB2312"/>
                <w:b w:val="0"/>
                <w:bCs w:val="0"/>
                <w:color w:val="auto"/>
                <w:sz w:val="21"/>
                <w:szCs w:val="21"/>
                <w:highlight w:val="none"/>
                <w:lang w:val="en-US" w:bidi="ar"/>
              </w:rPr>
              <w:t>2、加工工艺：采用激光切割机、数控折弯机、数控弯管机、注塑机、自动点焊接机等加工设备，配合模具加工，保证产品尺寸精确度，焊接无灰渣、气孔、焊瘤，无脱焊、虚焊、焊穿；精细打磨，光洁平整。</w:t>
            </w:r>
          </w:p>
          <w:p w14:paraId="07383626">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bidi="ar"/>
              </w:rPr>
            </w:pPr>
            <w:r>
              <w:rPr>
                <w:rFonts w:hint="eastAsia" w:ascii="方正仿宋_GB2312" w:hAnsi="方正仿宋_GB2312" w:eastAsia="方正仿宋_GB2312" w:cs="方正仿宋_GB2312"/>
                <w:b w:val="0"/>
                <w:bCs w:val="0"/>
                <w:color w:val="auto"/>
                <w:sz w:val="21"/>
                <w:szCs w:val="21"/>
                <w:highlight w:val="none"/>
                <w:lang w:val="en-US" w:bidi="ar"/>
              </w:rPr>
              <w:t>3、涂装工艺：各金属部件采用酸洗、水洗、磷化、钝化、固化等工艺处理后，进入全自动喷涂线喷涂环氧聚酯热固粉末，经恒温烘烤热固，喷涂厚度</w:t>
            </w:r>
            <w:r>
              <w:rPr>
                <w:rFonts w:hint="eastAsia" w:ascii="方正仿宋_GB2312" w:hAnsi="方正仿宋_GB2312" w:eastAsia="方正仿宋_GB2312" w:cs="方正仿宋_GB2312"/>
                <w:b w:val="0"/>
                <w:bCs w:val="0"/>
                <w:color w:val="auto"/>
                <w:sz w:val="21"/>
                <w:szCs w:val="21"/>
                <w:highlight w:val="none"/>
                <w:lang w:val="en-US" w:eastAsia="zh-CN" w:bidi="ar"/>
              </w:rPr>
              <w:t>60-130μm</w:t>
            </w:r>
            <w:r>
              <w:rPr>
                <w:rFonts w:hint="eastAsia" w:ascii="方正仿宋_GB2312" w:hAnsi="方正仿宋_GB2312" w:eastAsia="方正仿宋_GB2312" w:cs="方正仿宋_GB2312"/>
                <w:b w:val="0"/>
                <w:bCs w:val="0"/>
                <w:color w:val="auto"/>
                <w:sz w:val="21"/>
                <w:szCs w:val="21"/>
                <w:highlight w:val="none"/>
                <w:lang w:val="en-US" w:bidi="ar"/>
              </w:rPr>
              <w:t>，硬度不低于2B。</w:t>
            </w:r>
          </w:p>
          <w:p w14:paraId="130EC3E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bidi="ar"/>
              </w:rPr>
            </w:pPr>
            <w:r>
              <w:rPr>
                <w:rFonts w:hint="eastAsia" w:ascii="方正仿宋_GB2312" w:hAnsi="方正仿宋_GB2312" w:eastAsia="方正仿宋_GB2312" w:cs="方正仿宋_GB2312"/>
                <w:b w:val="0"/>
                <w:bCs w:val="0"/>
                <w:color w:val="auto"/>
                <w:sz w:val="21"/>
                <w:szCs w:val="21"/>
                <w:highlight w:val="none"/>
                <w:lang w:val="en-US" w:bidi="ar"/>
              </w:rPr>
              <w:t>4、</w:t>
            </w:r>
            <w:r>
              <w:rPr>
                <w:rFonts w:hint="eastAsia" w:ascii="方正仿宋_GB2312" w:hAnsi="方正仿宋_GB2312" w:eastAsia="方正仿宋_GB2312" w:cs="方正仿宋_GB2312"/>
                <w:b w:val="0"/>
                <w:bCs w:val="0"/>
                <w:color w:val="auto"/>
                <w:sz w:val="21"/>
                <w:szCs w:val="21"/>
                <w:highlight w:val="none"/>
                <w:lang w:val="en-US" w:eastAsia="zh-CN" w:bidi="ar"/>
              </w:rPr>
              <w:t>立柱和主横梁采用壁厚1.2mm，40mm方管制作</w:t>
            </w:r>
            <w:r>
              <w:rPr>
                <w:rFonts w:hint="eastAsia" w:ascii="方正仿宋_GB2312" w:hAnsi="方正仿宋_GB2312" w:eastAsia="方正仿宋_GB2312" w:cs="方正仿宋_GB2312"/>
                <w:b w:val="0"/>
                <w:bCs w:val="0"/>
                <w:color w:val="auto"/>
                <w:sz w:val="21"/>
                <w:szCs w:val="21"/>
                <w:highlight w:val="none"/>
                <w:lang w:bidi="ar"/>
              </w:rPr>
              <w:t>。</w:t>
            </w:r>
          </w:p>
          <w:p w14:paraId="175C417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bidi="ar"/>
              </w:rPr>
              <w:t>5、床铺板材质：实木条组合而成，经过防腐、防虫、耐酸碱处理。每套床含2张50mm厚棕垫，经过防虫处理。</w:t>
            </w:r>
          </w:p>
        </w:tc>
      </w:tr>
      <w:tr w14:paraId="16EE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580" w:type="dxa"/>
            <w:shd w:val="clear" w:color="auto" w:fill="FFFFFF"/>
            <w:noWrap w:val="0"/>
            <w:vAlign w:val="center"/>
          </w:tcPr>
          <w:p w14:paraId="085B74CC">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27</w:t>
            </w:r>
          </w:p>
        </w:tc>
        <w:tc>
          <w:tcPr>
            <w:tcW w:w="2800" w:type="dxa"/>
            <w:shd w:val="clear" w:color="auto" w:fill="FFFFFF"/>
            <w:noWrap w:val="0"/>
            <w:vAlign w:val="center"/>
          </w:tcPr>
          <w:p w14:paraId="2A91F137">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82816" behindDoc="0" locked="0" layoutInCell="1" allowOverlap="1">
                  <wp:simplePos x="0" y="0"/>
                  <wp:positionH relativeFrom="column">
                    <wp:posOffset>350520</wp:posOffset>
                  </wp:positionH>
                  <wp:positionV relativeFrom="paragraph">
                    <wp:posOffset>347980</wp:posOffset>
                  </wp:positionV>
                  <wp:extent cx="692150" cy="838200"/>
                  <wp:effectExtent l="0" t="0" r="8890" b="0"/>
                  <wp:wrapTopAndBottom/>
                  <wp:docPr id="6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1"/>
                          <pic:cNvPicPr>
                            <a:picLocks noChangeAspect="1"/>
                          </pic:cNvPicPr>
                        </pic:nvPicPr>
                        <pic:blipFill>
                          <a:blip r:embed="rId29"/>
                          <a:stretch>
                            <a:fillRect/>
                          </a:stretch>
                        </pic:blipFill>
                        <pic:spPr>
                          <a:xfrm>
                            <a:off x="0" y="0"/>
                            <a:ext cx="692150" cy="838200"/>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eastAsia="zh-CN"/>
              </w:rPr>
              <w:t>实木</w:t>
            </w:r>
            <w:r>
              <w:rPr>
                <w:rFonts w:hint="eastAsia" w:ascii="方正仿宋_GB2312" w:hAnsi="方正仿宋_GB2312" w:eastAsia="方正仿宋_GB2312" w:cs="方正仿宋_GB2312"/>
                <w:color w:val="auto"/>
                <w:sz w:val="21"/>
                <w:szCs w:val="21"/>
                <w:highlight w:val="none"/>
                <w:lang w:val="en-US"/>
              </w:rPr>
              <w:t>凳子</w:t>
            </w:r>
          </w:p>
        </w:tc>
        <w:tc>
          <w:tcPr>
            <w:tcW w:w="1160" w:type="dxa"/>
            <w:shd w:val="clear" w:color="auto" w:fill="FFFFFF"/>
            <w:noWrap w:val="0"/>
            <w:vAlign w:val="center"/>
          </w:tcPr>
          <w:p w14:paraId="192B31C3">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规格尺寸：</w:t>
            </w:r>
            <w:r>
              <w:rPr>
                <w:rFonts w:hint="eastAsia" w:ascii="方正仿宋_GB2312" w:hAnsi="方正仿宋_GB2312" w:eastAsia="方正仿宋_GB2312" w:cs="方正仿宋_GB2312"/>
                <w:color w:val="auto"/>
                <w:sz w:val="21"/>
                <w:szCs w:val="21"/>
                <w:highlight w:val="none"/>
              </w:rPr>
              <w:t>450*350*450</w:t>
            </w:r>
          </w:p>
        </w:tc>
        <w:tc>
          <w:tcPr>
            <w:tcW w:w="5350" w:type="dxa"/>
            <w:shd w:val="clear" w:color="auto" w:fill="FFFFFF"/>
            <w:noWrap w:val="0"/>
            <w:vAlign w:val="top"/>
          </w:tcPr>
          <w:p w14:paraId="631BC940">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eastAsia="zh-CN"/>
              </w:rPr>
            </w:pPr>
            <w:r>
              <w:rPr>
                <w:rFonts w:hint="eastAsia" w:ascii="方正仿宋_GB2312" w:hAnsi="方正仿宋_GB2312" w:eastAsia="方正仿宋_GB2312" w:cs="方正仿宋_GB2312"/>
                <w:b w:val="0"/>
                <w:bCs w:val="0"/>
                <w:color w:val="auto"/>
                <w:sz w:val="21"/>
                <w:szCs w:val="21"/>
                <w:highlight w:val="none"/>
              </w:rPr>
              <w:t>基材：全椿木实木材质，具有闪亮</w:t>
            </w:r>
            <w:r>
              <w:rPr>
                <w:rFonts w:hint="eastAsia" w:ascii="方正仿宋_GB2312" w:hAnsi="方正仿宋_GB2312" w:eastAsia="方正仿宋_GB2312" w:cs="方正仿宋_GB2312"/>
                <w:b w:val="0"/>
                <w:bCs w:val="0"/>
                <w:color w:val="auto"/>
                <w:sz w:val="21"/>
                <w:szCs w:val="21"/>
                <w:highlight w:val="none"/>
                <w:lang w:val="en-US" w:eastAsia="zh-CN"/>
              </w:rPr>
              <w:t>光滑</w:t>
            </w:r>
            <w:r>
              <w:rPr>
                <w:rFonts w:hint="eastAsia" w:ascii="方正仿宋_GB2312" w:hAnsi="方正仿宋_GB2312" w:eastAsia="方正仿宋_GB2312" w:cs="方正仿宋_GB2312"/>
                <w:b w:val="0"/>
                <w:bCs w:val="0"/>
                <w:color w:val="auto"/>
                <w:sz w:val="21"/>
                <w:szCs w:val="21"/>
                <w:highlight w:val="none"/>
              </w:rPr>
              <w:t>的表面，年轮明显，所有木材均经过防潮、防虫、防腐处理，面材木纹自然清晰；油漆：采用环保</w:t>
            </w:r>
            <w:r>
              <w:rPr>
                <w:rFonts w:hint="eastAsia" w:ascii="方正仿宋_GB2312" w:hAnsi="方正仿宋_GB2312" w:eastAsia="方正仿宋_GB2312" w:cs="方正仿宋_GB2312"/>
                <w:b w:val="0"/>
                <w:bCs w:val="0"/>
                <w:color w:val="auto"/>
                <w:sz w:val="21"/>
                <w:szCs w:val="21"/>
                <w:highlight w:val="none"/>
                <w:lang w:val="en-US" w:eastAsia="zh-CN"/>
              </w:rPr>
              <w:t>清漆</w:t>
            </w:r>
            <w:r>
              <w:rPr>
                <w:rFonts w:hint="eastAsia" w:ascii="方正仿宋_GB2312" w:hAnsi="方正仿宋_GB2312" w:eastAsia="方正仿宋_GB2312" w:cs="方正仿宋_GB2312"/>
                <w:b w:val="0"/>
                <w:bCs w:val="0"/>
                <w:color w:val="auto"/>
                <w:sz w:val="21"/>
                <w:szCs w:val="21"/>
                <w:highlight w:val="none"/>
              </w:rPr>
              <w:t>，油漆无颗粒，漆膜硬度高，表面光滑明净。</w:t>
            </w:r>
          </w:p>
        </w:tc>
      </w:tr>
      <w:tr w14:paraId="4203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580" w:type="dxa"/>
            <w:shd w:val="clear" w:color="auto" w:fill="FFFFFF"/>
            <w:noWrap w:val="0"/>
            <w:vAlign w:val="center"/>
          </w:tcPr>
          <w:p w14:paraId="2EF999D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28</w:t>
            </w:r>
          </w:p>
        </w:tc>
        <w:tc>
          <w:tcPr>
            <w:tcW w:w="2800" w:type="dxa"/>
            <w:shd w:val="clear" w:color="auto" w:fill="FFFFFF"/>
            <w:noWrap w:val="0"/>
            <w:vAlign w:val="center"/>
          </w:tcPr>
          <w:p w14:paraId="36652CFB">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穿衣镜</w:t>
            </w:r>
            <w:r>
              <w:rPr>
                <w:rFonts w:hint="eastAsia" w:ascii="方正仿宋_GB2312" w:hAnsi="方正仿宋_GB2312" w:eastAsia="方正仿宋_GB2312" w:cs="方正仿宋_GB2312"/>
                <w:color w:val="auto"/>
                <w:sz w:val="21"/>
                <w:szCs w:val="21"/>
                <w:highlight w:val="none"/>
                <w:lang w:val="en-US" w:eastAsia="zh-CN"/>
              </w:rPr>
              <w:t>片</w:t>
            </w: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83840" behindDoc="0" locked="0" layoutInCell="1" allowOverlap="1">
                  <wp:simplePos x="0" y="0"/>
                  <wp:positionH relativeFrom="column">
                    <wp:posOffset>572770</wp:posOffset>
                  </wp:positionH>
                  <wp:positionV relativeFrom="paragraph">
                    <wp:posOffset>207645</wp:posOffset>
                  </wp:positionV>
                  <wp:extent cx="469900" cy="821690"/>
                  <wp:effectExtent l="0" t="0" r="2540" b="1270"/>
                  <wp:wrapTopAndBottom/>
                  <wp:docPr id="6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2"/>
                          <pic:cNvPicPr>
                            <a:picLocks noChangeAspect="1"/>
                          </pic:cNvPicPr>
                        </pic:nvPicPr>
                        <pic:blipFill>
                          <a:blip r:embed="rId30"/>
                          <a:stretch>
                            <a:fillRect/>
                          </a:stretch>
                        </pic:blipFill>
                        <pic:spPr>
                          <a:xfrm>
                            <a:off x="0" y="0"/>
                            <a:ext cx="469900" cy="821690"/>
                          </a:xfrm>
                          <a:prstGeom prst="rect">
                            <a:avLst/>
                          </a:prstGeom>
                          <a:noFill/>
                          <a:ln>
                            <a:noFill/>
                          </a:ln>
                        </pic:spPr>
                      </pic:pic>
                    </a:graphicData>
                  </a:graphic>
                </wp:anchor>
              </w:drawing>
            </w:r>
          </w:p>
        </w:tc>
        <w:tc>
          <w:tcPr>
            <w:tcW w:w="1160" w:type="dxa"/>
            <w:shd w:val="clear" w:color="auto" w:fill="FFFFFF"/>
            <w:noWrap w:val="0"/>
            <w:vAlign w:val="center"/>
          </w:tcPr>
          <w:p w14:paraId="2A6516C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规格尺寸：600</w:t>
            </w:r>
            <w:r>
              <w:rPr>
                <w:rFonts w:hint="eastAsia" w:ascii="方正仿宋_GB2312" w:hAnsi="方正仿宋_GB2312" w:eastAsia="方正仿宋_GB2312" w:cs="方正仿宋_GB2312"/>
                <w:color w:val="auto"/>
                <w:sz w:val="21"/>
                <w:szCs w:val="21"/>
                <w:highlight w:val="none"/>
                <w:lang w:val="en-US" w:eastAsia="zh-CN"/>
              </w:rPr>
              <w:t>*</w:t>
            </w:r>
            <w:r>
              <w:rPr>
                <w:rFonts w:hint="eastAsia" w:ascii="方正仿宋_GB2312" w:hAnsi="方正仿宋_GB2312" w:eastAsia="方正仿宋_GB2312" w:cs="方正仿宋_GB2312"/>
                <w:color w:val="auto"/>
                <w:sz w:val="21"/>
                <w:szCs w:val="21"/>
                <w:highlight w:val="none"/>
                <w:lang w:val="en-US"/>
              </w:rPr>
              <w:t>1600</w:t>
            </w:r>
            <w:r>
              <w:rPr>
                <w:rFonts w:hint="eastAsia" w:ascii="方正仿宋_GB2312" w:hAnsi="方正仿宋_GB2312" w:eastAsia="方正仿宋_GB2312" w:cs="方正仿宋_GB2312"/>
                <w:color w:val="auto"/>
                <w:sz w:val="21"/>
                <w:szCs w:val="21"/>
                <w:highlight w:val="none"/>
                <w:lang w:val="en-US" w:eastAsia="zh-CN"/>
              </w:rPr>
              <w:t>*</w:t>
            </w:r>
            <w:r>
              <w:rPr>
                <w:rFonts w:hint="eastAsia" w:ascii="方正仿宋_GB2312" w:hAnsi="方正仿宋_GB2312" w:eastAsia="方正仿宋_GB2312" w:cs="方正仿宋_GB2312"/>
                <w:color w:val="auto"/>
                <w:sz w:val="21"/>
                <w:szCs w:val="21"/>
                <w:highlight w:val="none"/>
                <w:lang w:val="en-US"/>
              </w:rPr>
              <w:t>5</w:t>
            </w:r>
          </w:p>
        </w:tc>
        <w:tc>
          <w:tcPr>
            <w:tcW w:w="5350" w:type="dxa"/>
            <w:shd w:val="clear" w:color="auto" w:fill="FFFFFF"/>
            <w:noWrap w:val="0"/>
            <w:vAlign w:val="top"/>
          </w:tcPr>
          <w:p w14:paraId="5FE44000">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底材料：超白玻璃含底层防爆膜</w:t>
            </w:r>
          </w:p>
          <w:p w14:paraId="36816CBA">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工艺：激光切割圆角平滑处理</w:t>
            </w:r>
          </w:p>
          <w:p w14:paraId="2896E9DA">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rPr>
              <w:t>四角打孔配垫片和装配五金件，五金件为不锈钢材质</w:t>
            </w:r>
            <w:r>
              <w:rPr>
                <w:rFonts w:hint="eastAsia" w:ascii="方正仿宋_GB2312" w:hAnsi="方正仿宋_GB2312" w:eastAsia="方正仿宋_GB2312" w:cs="方正仿宋_GB2312"/>
                <w:b w:val="0"/>
                <w:bCs w:val="0"/>
                <w:color w:val="auto"/>
                <w:sz w:val="21"/>
                <w:szCs w:val="21"/>
                <w:highlight w:val="none"/>
                <w:lang w:val="en-US" w:eastAsia="zh-CN"/>
              </w:rPr>
              <w:t>。</w:t>
            </w:r>
          </w:p>
        </w:tc>
      </w:tr>
      <w:tr w14:paraId="3EB7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580" w:type="dxa"/>
            <w:shd w:val="clear" w:color="auto" w:fill="FFFFFF"/>
            <w:noWrap w:val="0"/>
            <w:vAlign w:val="center"/>
          </w:tcPr>
          <w:p w14:paraId="51A0B95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29</w:t>
            </w:r>
          </w:p>
        </w:tc>
        <w:tc>
          <w:tcPr>
            <w:tcW w:w="2800" w:type="dxa"/>
            <w:shd w:val="clear" w:color="auto" w:fill="FFFFFF"/>
            <w:noWrap w:val="0"/>
            <w:vAlign w:val="center"/>
          </w:tcPr>
          <w:p w14:paraId="445336E4">
            <w:pPr>
              <w:keepNext w:val="0"/>
              <w:keepLines w:val="0"/>
              <w:pageBreakBefore w:val="0"/>
              <w:kinsoku/>
              <w:wordWrap/>
              <w:overflowPunct/>
              <w:topLinePunct w:val="0"/>
              <w:autoSpaceDE/>
              <w:autoSpaceDN/>
              <w:bidi w:val="0"/>
              <w:adjustRightInd/>
              <w:snapToGrid/>
              <w:spacing w:line="0" w:lineRule="atLeast"/>
              <w:jc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drawing>
                <wp:anchor distT="0" distB="0" distL="114300" distR="114300" simplePos="0" relativeHeight="251684864" behindDoc="0" locked="0" layoutInCell="1" allowOverlap="1">
                  <wp:simplePos x="0" y="0"/>
                  <wp:positionH relativeFrom="column">
                    <wp:posOffset>537210</wp:posOffset>
                  </wp:positionH>
                  <wp:positionV relativeFrom="paragraph">
                    <wp:posOffset>-193675</wp:posOffset>
                  </wp:positionV>
                  <wp:extent cx="777875" cy="702945"/>
                  <wp:effectExtent l="0" t="0" r="14605" b="13335"/>
                  <wp:wrapTopAndBottom/>
                  <wp:docPr id="6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3"/>
                          <pic:cNvPicPr>
                            <a:picLocks noChangeAspect="1"/>
                          </pic:cNvPicPr>
                        </pic:nvPicPr>
                        <pic:blipFill>
                          <a:blip r:embed="rId30"/>
                          <a:stretch>
                            <a:fillRect/>
                          </a:stretch>
                        </pic:blipFill>
                        <pic:spPr>
                          <a:xfrm>
                            <a:off x="0" y="0"/>
                            <a:ext cx="777875" cy="702945"/>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eastAsia="zh-CN"/>
              </w:rPr>
              <w:t>镜片</w:t>
            </w:r>
          </w:p>
        </w:tc>
        <w:tc>
          <w:tcPr>
            <w:tcW w:w="1160" w:type="dxa"/>
            <w:shd w:val="clear" w:color="auto" w:fill="FFFFFF"/>
            <w:noWrap w:val="0"/>
            <w:vAlign w:val="center"/>
          </w:tcPr>
          <w:p w14:paraId="47CE9328">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规格尺寸：500</w:t>
            </w:r>
            <w:r>
              <w:rPr>
                <w:rFonts w:hint="eastAsia" w:ascii="方正仿宋_GB2312" w:hAnsi="方正仿宋_GB2312" w:eastAsia="方正仿宋_GB2312" w:cs="方正仿宋_GB2312"/>
                <w:color w:val="auto"/>
                <w:sz w:val="21"/>
                <w:szCs w:val="21"/>
                <w:highlight w:val="none"/>
                <w:lang w:val="en-US" w:eastAsia="zh-CN"/>
              </w:rPr>
              <w:t>*</w:t>
            </w:r>
            <w:r>
              <w:rPr>
                <w:rFonts w:hint="eastAsia" w:ascii="方正仿宋_GB2312" w:hAnsi="方正仿宋_GB2312" w:eastAsia="方正仿宋_GB2312" w:cs="方正仿宋_GB2312"/>
                <w:color w:val="auto"/>
                <w:sz w:val="21"/>
                <w:szCs w:val="21"/>
                <w:highlight w:val="none"/>
                <w:lang w:val="en-US"/>
              </w:rPr>
              <w:t>600</w:t>
            </w:r>
            <w:r>
              <w:rPr>
                <w:rFonts w:hint="eastAsia" w:ascii="方正仿宋_GB2312" w:hAnsi="方正仿宋_GB2312" w:eastAsia="方正仿宋_GB2312" w:cs="方正仿宋_GB2312"/>
                <w:color w:val="auto"/>
                <w:sz w:val="21"/>
                <w:szCs w:val="21"/>
                <w:highlight w:val="none"/>
                <w:lang w:val="en-US" w:eastAsia="zh-CN"/>
              </w:rPr>
              <w:t>*</w:t>
            </w:r>
            <w:r>
              <w:rPr>
                <w:rFonts w:hint="eastAsia" w:ascii="方正仿宋_GB2312" w:hAnsi="方正仿宋_GB2312" w:eastAsia="方正仿宋_GB2312" w:cs="方正仿宋_GB2312"/>
                <w:color w:val="auto"/>
                <w:sz w:val="21"/>
                <w:szCs w:val="21"/>
                <w:highlight w:val="none"/>
                <w:lang w:val="en-US"/>
              </w:rPr>
              <w:t>5</w:t>
            </w:r>
          </w:p>
        </w:tc>
        <w:tc>
          <w:tcPr>
            <w:tcW w:w="5350" w:type="dxa"/>
            <w:shd w:val="clear" w:color="auto" w:fill="FFFFFF"/>
            <w:noWrap w:val="0"/>
            <w:vAlign w:val="top"/>
          </w:tcPr>
          <w:p w14:paraId="7DDCD764">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底材料：超白玻璃含底层防爆膜</w:t>
            </w:r>
          </w:p>
          <w:p w14:paraId="5C0BECE7">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rPr>
              <w:t>工艺：激光切割圆角平滑处理</w:t>
            </w:r>
          </w:p>
          <w:p w14:paraId="137E1F45">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rPr>
              <w:t>四角打孔配垫片和装配五金件，五金件为不锈钢材质</w:t>
            </w:r>
            <w:r>
              <w:rPr>
                <w:rFonts w:hint="eastAsia" w:ascii="方正仿宋_GB2312" w:hAnsi="方正仿宋_GB2312" w:eastAsia="方正仿宋_GB2312" w:cs="方正仿宋_GB2312"/>
                <w:b w:val="0"/>
                <w:bCs w:val="0"/>
                <w:color w:val="auto"/>
                <w:sz w:val="21"/>
                <w:szCs w:val="21"/>
                <w:highlight w:val="none"/>
                <w:lang w:val="en-US" w:eastAsia="zh-CN"/>
              </w:rPr>
              <w:t>。</w:t>
            </w:r>
          </w:p>
        </w:tc>
      </w:tr>
      <w:tr w14:paraId="2B12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80" w:type="dxa"/>
            <w:shd w:val="clear" w:color="auto" w:fill="FFFFFF"/>
            <w:noWrap w:val="0"/>
            <w:vAlign w:val="center"/>
          </w:tcPr>
          <w:p w14:paraId="4D6E0198">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30</w:t>
            </w:r>
          </w:p>
        </w:tc>
        <w:tc>
          <w:tcPr>
            <w:tcW w:w="2800" w:type="dxa"/>
            <w:shd w:val="clear" w:color="auto" w:fill="FFFFFF"/>
            <w:noWrap w:val="0"/>
            <w:vAlign w:val="center"/>
          </w:tcPr>
          <w:p w14:paraId="6652804A">
            <w:pPr>
              <w:keepNext w:val="0"/>
              <w:keepLines w:val="0"/>
              <w:pageBreakBefore w:val="0"/>
              <w:kinsoku/>
              <w:wordWrap/>
              <w:overflowPunct/>
              <w:topLinePunct w:val="0"/>
              <w:autoSpaceDE/>
              <w:autoSpaceDN/>
              <w:bidi w:val="0"/>
              <w:adjustRightInd/>
              <w:snapToGrid/>
              <w:spacing w:line="0" w:lineRule="atLeast"/>
              <w:ind w:firstLine="210" w:firstLineChars="100"/>
              <w:jc w:val="both"/>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rPr>
              <w:drawing>
                <wp:inline distT="0" distB="0" distL="114300" distR="114300">
                  <wp:extent cx="906780" cy="1362710"/>
                  <wp:effectExtent l="0" t="0" r="7620" b="8890"/>
                  <wp:docPr id="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
                          <pic:cNvPicPr>
                            <a:picLocks noChangeAspect="1"/>
                          </pic:cNvPicPr>
                        </pic:nvPicPr>
                        <pic:blipFill>
                          <a:blip r:embed="rId31"/>
                          <a:stretch>
                            <a:fillRect/>
                          </a:stretch>
                        </pic:blipFill>
                        <pic:spPr>
                          <a:xfrm>
                            <a:off x="0" y="0"/>
                            <a:ext cx="906780" cy="1362710"/>
                          </a:xfrm>
                          <a:prstGeom prst="rect">
                            <a:avLst/>
                          </a:prstGeom>
                          <a:noFill/>
                          <a:ln>
                            <a:noFill/>
                          </a:ln>
                        </pic:spPr>
                      </pic:pic>
                    </a:graphicData>
                  </a:graphic>
                </wp:inline>
              </w:drawing>
            </w:r>
          </w:p>
          <w:p w14:paraId="6FC627D2">
            <w:pPr>
              <w:keepNext w:val="0"/>
              <w:keepLines w:val="0"/>
              <w:pageBreakBefore w:val="0"/>
              <w:kinsoku/>
              <w:wordWrap/>
              <w:overflowPunct/>
              <w:topLinePunct w:val="0"/>
              <w:autoSpaceDE/>
              <w:autoSpaceDN/>
              <w:bidi w:val="0"/>
              <w:adjustRightInd/>
              <w:snapToGrid/>
              <w:spacing w:line="0" w:lineRule="atLeast"/>
              <w:ind w:firstLine="210" w:firstLineChars="100"/>
              <w:jc w:val="both"/>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四层</w:t>
            </w:r>
            <w:r>
              <w:rPr>
                <w:rFonts w:hint="eastAsia" w:ascii="方正仿宋_GB2312" w:hAnsi="方正仿宋_GB2312" w:eastAsia="方正仿宋_GB2312" w:cs="方正仿宋_GB2312"/>
                <w:color w:val="auto"/>
                <w:sz w:val="21"/>
                <w:szCs w:val="21"/>
                <w:highlight w:val="none"/>
                <w:lang w:val="en-US"/>
              </w:rPr>
              <w:t>冷轧钢</w:t>
            </w:r>
            <w:r>
              <w:rPr>
                <w:rFonts w:hint="eastAsia" w:ascii="方正仿宋_GB2312" w:hAnsi="方正仿宋_GB2312" w:eastAsia="方正仿宋_GB2312" w:cs="方正仿宋_GB2312"/>
                <w:color w:val="auto"/>
                <w:sz w:val="21"/>
                <w:szCs w:val="21"/>
                <w:highlight w:val="none"/>
                <w:lang w:val="en-US" w:eastAsia="zh-CN"/>
              </w:rPr>
              <w:t>货架</w:t>
            </w:r>
          </w:p>
        </w:tc>
        <w:tc>
          <w:tcPr>
            <w:tcW w:w="1160" w:type="dxa"/>
            <w:shd w:val="clear" w:color="auto" w:fill="FFFFFF"/>
            <w:noWrap w:val="0"/>
            <w:vAlign w:val="center"/>
          </w:tcPr>
          <w:p w14:paraId="1822F20A">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rPr>
              <w:t>规格尺寸：高2000*长1800*进深600</w:t>
            </w:r>
          </w:p>
          <w:p w14:paraId="0014CB24">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color w:val="auto"/>
                <w:sz w:val="21"/>
                <w:szCs w:val="21"/>
                <w:highlight w:val="none"/>
                <w:lang w:val="en-US"/>
              </w:rPr>
            </w:pPr>
          </w:p>
        </w:tc>
        <w:tc>
          <w:tcPr>
            <w:tcW w:w="5350" w:type="dxa"/>
            <w:shd w:val="clear" w:color="auto" w:fill="FFFFFF"/>
            <w:noWrap w:val="0"/>
            <w:vAlign w:val="top"/>
          </w:tcPr>
          <w:p w14:paraId="7059CC56">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eastAsia="zh-CN"/>
              </w:rPr>
              <w:t>1、整体结构：</w:t>
            </w:r>
            <w:r>
              <w:rPr>
                <w:rFonts w:hint="eastAsia" w:ascii="方正仿宋_GB2312" w:hAnsi="方正仿宋_GB2312" w:eastAsia="方正仿宋_GB2312" w:cs="方正仿宋_GB2312"/>
                <w:color w:val="auto"/>
                <w:sz w:val="21"/>
                <w:szCs w:val="21"/>
                <w:highlight w:val="none"/>
                <w:lang w:val="en-US"/>
              </w:rPr>
              <w:t>每组货架四层置物板</w:t>
            </w:r>
            <w:r>
              <w:rPr>
                <w:rFonts w:hint="eastAsia" w:ascii="方正仿宋_GB2312" w:hAnsi="方正仿宋_GB2312" w:eastAsia="方正仿宋_GB2312" w:cs="方正仿宋_GB2312"/>
                <w:color w:val="auto"/>
                <w:sz w:val="21"/>
                <w:szCs w:val="21"/>
                <w:highlight w:val="none"/>
                <w:lang w:val="en-US" w:eastAsia="zh-CN"/>
              </w:rPr>
              <w:t>，</w:t>
            </w:r>
            <w:r>
              <w:rPr>
                <w:rFonts w:hint="eastAsia" w:ascii="方正仿宋_GB2312" w:hAnsi="方正仿宋_GB2312" w:eastAsia="方正仿宋_GB2312" w:cs="方正仿宋_GB2312"/>
                <w:color w:val="auto"/>
                <w:sz w:val="21"/>
                <w:szCs w:val="21"/>
                <w:highlight w:val="none"/>
                <w:lang w:val="en-US"/>
              </w:rPr>
              <w:t>每层置物板可活动调节</w:t>
            </w:r>
            <w:r>
              <w:rPr>
                <w:rFonts w:hint="eastAsia" w:ascii="方正仿宋_GB2312" w:hAnsi="方正仿宋_GB2312" w:eastAsia="方正仿宋_GB2312" w:cs="方正仿宋_GB2312"/>
                <w:color w:val="auto"/>
                <w:sz w:val="21"/>
                <w:szCs w:val="21"/>
                <w:highlight w:val="none"/>
                <w:lang w:val="en-US" w:eastAsia="zh-CN"/>
              </w:rPr>
              <w:t>，货架承重柱和置物板具有加强筋。货架</w:t>
            </w:r>
            <w:r>
              <w:rPr>
                <w:rFonts w:hint="eastAsia" w:ascii="方正仿宋_GB2312" w:hAnsi="方正仿宋_GB2312" w:eastAsia="方正仿宋_GB2312" w:cs="方正仿宋_GB2312"/>
                <w:color w:val="auto"/>
                <w:sz w:val="21"/>
                <w:szCs w:val="21"/>
                <w:highlight w:val="none"/>
                <w:lang w:val="en-US"/>
              </w:rPr>
              <w:t>颜色亚光色。</w:t>
            </w:r>
          </w:p>
          <w:p w14:paraId="4B8D06B8">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rPr>
            </w:pPr>
            <w:r>
              <w:rPr>
                <w:rFonts w:hint="eastAsia" w:ascii="方正仿宋_GB2312" w:hAnsi="方正仿宋_GB2312" w:eastAsia="方正仿宋_GB2312" w:cs="方正仿宋_GB2312"/>
                <w:b w:val="0"/>
                <w:bCs w:val="0"/>
                <w:color w:val="auto"/>
                <w:sz w:val="21"/>
                <w:szCs w:val="21"/>
                <w:highlight w:val="none"/>
                <w:lang w:val="en-US" w:eastAsia="zh-CN"/>
              </w:rPr>
              <w:t>2</w:t>
            </w:r>
            <w:r>
              <w:rPr>
                <w:rFonts w:hint="eastAsia" w:ascii="方正仿宋_GB2312" w:hAnsi="方正仿宋_GB2312" w:eastAsia="方正仿宋_GB2312" w:cs="方正仿宋_GB2312"/>
                <w:b w:val="0"/>
                <w:bCs w:val="0"/>
                <w:color w:val="auto"/>
                <w:sz w:val="21"/>
                <w:szCs w:val="21"/>
                <w:highlight w:val="none"/>
                <w:lang w:val="en-US"/>
              </w:rPr>
              <w:t>、产品采用冷轧钢板。置物板的厚度为1.0mm，下有加强筋，加强筋和横管厚度1.5mm，货架立柱厚2.0MM。</w:t>
            </w:r>
          </w:p>
          <w:p w14:paraId="6228B2F3">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3</w:t>
            </w:r>
            <w:r>
              <w:rPr>
                <w:rFonts w:hint="eastAsia" w:ascii="方正仿宋_GB2312" w:hAnsi="方正仿宋_GB2312" w:eastAsia="方正仿宋_GB2312" w:cs="方正仿宋_GB2312"/>
                <w:b w:val="0"/>
                <w:bCs w:val="0"/>
                <w:color w:val="auto"/>
                <w:sz w:val="21"/>
                <w:szCs w:val="21"/>
                <w:highlight w:val="none"/>
                <w:lang w:val="en-US"/>
              </w:rPr>
              <w:t>、表面处理</w:t>
            </w:r>
            <w:r>
              <w:rPr>
                <w:rFonts w:hint="eastAsia" w:ascii="方正仿宋_GB2312" w:hAnsi="方正仿宋_GB2312" w:eastAsia="方正仿宋_GB2312" w:cs="方正仿宋_GB2312"/>
                <w:b w:val="0"/>
                <w:bCs w:val="0"/>
                <w:color w:val="auto"/>
                <w:sz w:val="21"/>
                <w:szCs w:val="21"/>
                <w:highlight w:val="none"/>
                <w:lang w:val="en-US" w:eastAsia="zh-CN"/>
              </w:rPr>
              <w:t>，环保塑粉静电喷塑。</w:t>
            </w:r>
          </w:p>
        </w:tc>
      </w:tr>
      <w:tr w14:paraId="72DE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9" w:hRule="atLeast"/>
        </w:trPr>
        <w:tc>
          <w:tcPr>
            <w:tcW w:w="580" w:type="dxa"/>
            <w:shd w:val="clear" w:color="auto" w:fill="FFFFFF"/>
            <w:noWrap w:val="0"/>
            <w:vAlign w:val="center"/>
          </w:tcPr>
          <w:p w14:paraId="765E67F5">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31</w:t>
            </w:r>
          </w:p>
        </w:tc>
        <w:tc>
          <w:tcPr>
            <w:tcW w:w="2800" w:type="dxa"/>
            <w:shd w:val="clear" w:color="auto" w:fill="FFFFFF"/>
            <w:noWrap w:val="0"/>
            <w:vAlign w:val="center"/>
          </w:tcPr>
          <w:p w14:paraId="7A491C26">
            <w:pPr>
              <w:pStyle w:val="4"/>
              <w:keepNext w:val="0"/>
              <w:keepLines w:val="0"/>
              <w:pageBreakBefore w:val="0"/>
              <w:kinsoku/>
              <w:wordWrap/>
              <w:overflowPunct/>
              <w:topLinePunct w:val="0"/>
              <w:autoSpaceDE/>
              <w:autoSpaceDN/>
              <w:bidi w:val="0"/>
              <w:adjustRightInd/>
              <w:snapToGrid/>
              <w:spacing w:after="0" w:line="0" w:lineRule="atLeast"/>
              <w:jc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rPr>
              <w:drawing>
                <wp:anchor distT="0" distB="0" distL="114300" distR="114300" simplePos="0" relativeHeight="251659264" behindDoc="0" locked="0" layoutInCell="1" allowOverlap="1">
                  <wp:simplePos x="0" y="0"/>
                  <wp:positionH relativeFrom="column">
                    <wp:posOffset>359410</wp:posOffset>
                  </wp:positionH>
                  <wp:positionV relativeFrom="paragraph">
                    <wp:posOffset>354330</wp:posOffset>
                  </wp:positionV>
                  <wp:extent cx="946785" cy="1685290"/>
                  <wp:effectExtent l="0" t="0" r="13335" b="6350"/>
                  <wp:wrapNone/>
                  <wp:docPr id="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
                          <pic:cNvPicPr>
                            <a:picLocks noChangeAspect="1"/>
                          </pic:cNvPicPr>
                        </pic:nvPicPr>
                        <pic:blipFill>
                          <a:blip r:embed="rId32"/>
                          <a:stretch>
                            <a:fillRect/>
                          </a:stretch>
                        </pic:blipFill>
                        <pic:spPr>
                          <a:xfrm>
                            <a:off x="0" y="0"/>
                            <a:ext cx="946785" cy="1685290"/>
                          </a:xfrm>
                          <a:prstGeom prst="rect">
                            <a:avLst/>
                          </a:prstGeom>
                          <a:noFill/>
                          <a:ln>
                            <a:noFill/>
                          </a:ln>
                        </pic:spPr>
                      </pic:pic>
                    </a:graphicData>
                  </a:graphic>
                </wp:anchor>
              </w:drawing>
            </w:r>
            <w:r>
              <w:rPr>
                <w:rFonts w:hint="eastAsia" w:ascii="方正仿宋_GB2312" w:hAnsi="方正仿宋_GB2312" w:eastAsia="方正仿宋_GB2312" w:cs="方正仿宋_GB2312"/>
                <w:color w:val="auto"/>
                <w:sz w:val="21"/>
                <w:szCs w:val="21"/>
                <w:highlight w:val="none"/>
                <w:lang w:val="en-US" w:eastAsia="zh-CN"/>
              </w:rPr>
              <w:t>女12门鞋柜</w:t>
            </w:r>
          </w:p>
        </w:tc>
        <w:tc>
          <w:tcPr>
            <w:tcW w:w="1160" w:type="dxa"/>
            <w:shd w:val="clear" w:color="auto" w:fill="FFFFFF"/>
            <w:noWrap w:val="0"/>
            <w:vAlign w:val="center"/>
          </w:tcPr>
          <w:p w14:paraId="3C529902">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规格尺寸：</w:t>
            </w:r>
            <w:r>
              <w:rPr>
                <w:rFonts w:hint="eastAsia" w:ascii="方正仿宋_GB2312" w:hAnsi="方正仿宋_GB2312" w:eastAsia="方正仿宋_GB2312" w:cs="方正仿宋_GB2312"/>
                <w:color w:val="auto"/>
                <w:sz w:val="21"/>
                <w:szCs w:val="21"/>
                <w:highlight w:val="none"/>
              </w:rPr>
              <w:t>高2000*宽900*进深400mm。</w:t>
            </w:r>
          </w:p>
        </w:tc>
        <w:tc>
          <w:tcPr>
            <w:tcW w:w="5350" w:type="dxa"/>
            <w:vMerge w:val="restart"/>
            <w:shd w:val="clear" w:color="auto" w:fill="FFFFFF"/>
            <w:noWrap w:val="0"/>
            <w:vAlign w:val="top"/>
          </w:tcPr>
          <w:p w14:paraId="3E847F7E">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rPr>
            </w:pPr>
            <w:r>
              <w:rPr>
                <w:rFonts w:hint="eastAsia" w:ascii="方正仿宋_GB2312" w:hAnsi="方正仿宋_GB2312" w:eastAsia="方正仿宋_GB2312" w:cs="方正仿宋_GB2312"/>
                <w:color w:val="auto"/>
                <w:sz w:val="21"/>
                <w:szCs w:val="21"/>
                <w:highlight w:val="none"/>
                <w:lang w:val="en-US" w:eastAsia="zh-CN"/>
              </w:rPr>
              <w:t>1、整体结构：</w:t>
            </w:r>
            <w:r>
              <w:rPr>
                <w:rFonts w:hint="eastAsia" w:ascii="方正仿宋_GB2312" w:hAnsi="方正仿宋_GB2312" w:eastAsia="方正仿宋_GB2312" w:cs="方正仿宋_GB2312"/>
                <w:color w:val="auto"/>
                <w:sz w:val="21"/>
                <w:szCs w:val="21"/>
                <w:highlight w:val="none"/>
                <w:lang w:val="en-US" w:eastAsia="zh-CN" w:bidi="ar"/>
              </w:rPr>
              <w:t>每</w:t>
            </w:r>
            <w:r>
              <w:rPr>
                <w:rFonts w:hint="eastAsia" w:ascii="方正仿宋_GB2312" w:hAnsi="方正仿宋_GB2312" w:eastAsia="方正仿宋_GB2312" w:cs="方正仿宋_GB2312"/>
                <w:color w:val="auto"/>
                <w:sz w:val="21"/>
                <w:szCs w:val="21"/>
                <w:highlight w:val="none"/>
                <w:lang w:val="en-US" w:eastAsia="zh-CN"/>
              </w:rPr>
              <w:t>门均带锁，带姓名卡槽，内置1张可移动隔板。</w:t>
            </w:r>
          </w:p>
          <w:p w14:paraId="4FC18ED2">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2</w:t>
            </w:r>
            <w:r>
              <w:rPr>
                <w:rFonts w:hint="eastAsia" w:ascii="方正仿宋_GB2312" w:hAnsi="方正仿宋_GB2312" w:eastAsia="方正仿宋_GB2312" w:cs="方正仿宋_GB2312"/>
                <w:b w:val="0"/>
                <w:bCs w:val="0"/>
                <w:color w:val="auto"/>
                <w:sz w:val="21"/>
                <w:szCs w:val="21"/>
                <w:highlight w:val="none"/>
              </w:rPr>
              <w:t>、</w:t>
            </w:r>
            <w:r>
              <w:rPr>
                <w:rFonts w:hint="eastAsia" w:ascii="方正仿宋_GB2312" w:hAnsi="方正仿宋_GB2312" w:eastAsia="方正仿宋_GB2312" w:cs="方正仿宋_GB2312"/>
                <w:b w:val="0"/>
                <w:bCs w:val="0"/>
                <w:color w:val="auto"/>
                <w:sz w:val="21"/>
                <w:szCs w:val="21"/>
                <w:highlight w:val="none"/>
                <w:lang w:val="en-US" w:eastAsia="zh-CN"/>
              </w:rPr>
              <w:t>厚度裸板0.6</w:t>
            </w:r>
            <w:r>
              <w:rPr>
                <w:rFonts w:hint="eastAsia" w:ascii="方正仿宋_GB2312" w:hAnsi="方正仿宋_GB2312" w:eastAsia="方正仿宋_GB2312" w:cs="方正仿宋_GB2312"/>
                <w:b w:val="0"/>
                <w:bCs w:val="0"/>
                <w:color w:val="auto"/>
                <w:sz w:val="21"/>
                <w:szCs w:val="21"/>
                <w:highlight w:val="none"/>
              </w:rPr>
              <w:t>mm冷轧钢板</w:t>
            </w:r>
            <w:r>
              <w:rPr>
                <w:rFonts w:hint="eastAsia" w:ascii="方正仿宋_GB2312" w:hAnsi="方正仿宋_GB2312" w:eastAsia="方正仿宋_GB2312" w:cs="方正仿宋_GB2312"/>
                <w:b w:val="0"/>
                <w:bCs w:val="0"/>
                <w:color w:val="auto"/>
                <w:sz w:val="21"/>
                <w:szCs w:val="21"/>
                <w:highlight w:val="none"/>
                <w:lang w:eastAsia="zh-CN"/>
              </w:rPr>
              <w:t>，冷轧钢板：①依据GB/T11253-2019，力学性能（规定塑性延伸强度≥195Mpa、抗拉强度315～430Mpa、断后伸长率≥29％），弯曲试验合格，表面质量合格，表面结构（平均粗糙度）≤0.7μm，②依据GB/T10125-2021，人造气氛腐蚀试验（盐雾试验），保护评级和外观评级均达到10级。</w:t>
            </w:r>
          </w:p>
          <w:p w14:paraId="1C2E8C74">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3</w:t>
            </w:r>
            <w:r>
              <w:rPr>
                <w:rFonts w:hint="eastAsia" w:ascii="方正仿宋_GB2312" w:hAnsi="方正仿宋_GB2312" w:eastAsia="方正仿宋_GB2312" w:cs="方正仿宋_GB2312"/>
                <w:b w:val="0"/>
                <w:bCs w:val="0"/>
                <w:color w:val="auto"/>
                <w:sz w:val="21"/>
                <w:szCs w:val="21"/>
                <w:highlight w:val="none"/>
                <w:lang w:val="en-US"/>
              </w:rPr>
              <w:t>、</w:t>
            </w:r>
            <w:r>
              <w:rPr>
                <w:rFonts w:hint="eastAsia" w:ascii="方正仿宋_GB2312" w:hAnsi="方正仿宋_GB2312" w:eastAsia="方正仿宋_GB2312" w:cs="方正仿宋_GB2312"/>
                <w:b w:val="0"/>
                <w:bCs w:val="0"/>
                <w:color w:val="auto"/>
                <w:sz w:val="21"/>
                <w:szCs w:val="21"/>
                <w:highlight w:val="none"/>
                <w:lang w:val="en-US" w:eastAsia="zh-CN"/>
              </w:rPr>
              <w:t>表面环保塑粉，静电喷塑；</w:t>
            </w:r>
          </w:p>
          <w:p w14:paraId="355EDC2F">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4、</w:t>
            </w:r>
            <w:r>
              <w:rPr>
                <w:rFonts w:hint="eastAsia" w:ascii="方正仿宋_GB2312" w:hAnsi="方正仿宋_GB2312" w:eastAsia="方正仿宋_GB2312" w:cs="方正仿宋_GB2312"/>
                <w:b w:val="0"/>
                <w:bCs w:val="0"/>
                <w:color w:val="auto"/>
                <w:sz w:val="21"/>
                <w:szCs w:val="21"/>
                <w:highlight w:val="none"/>
                <w:lang w:val="en-US"/>
              </w:rPr>
              <w:t>五金件：</w:t>
            </w:r>
            <w:r>
              <w:rPr>
                <w:rFonts w:hint="eastAsia" w:ascii="方正仿宋_GB2312" w:hAnsi="方正仿宋_GB2312" w:eastAsia="方正仿宋_GB2312" w:cs="方正仿宋_GB2312"/>
                <w:b w:val="0"/>
                <w:bCs w:val="0"/>
                <w:color w:val="auto"/>
                <w:sz w:val="21"/>
                <w:szCs w:val="21"/>
                <w:highlight w:val="none"/>
                <w:lang w:val="en-US" w:eastAsia="zh-CN"/>
              </w:rPr>
              <w:t>金属拉手、锁具；</w:t>
            </w:r>
          </w:p>
          <w:p w14:paraId="07E38B2B">
            <w:pPr>
              <w:pStyle w:val="4"/>
              <w:keepNext w:val="0"/>
              <w:keepLines w:val="0"/>
              <w:pageBreakBefore w:val="0"/>
              <w:kinsoku/>
              <w:wordWrap/>
              <w:overflowPunct/>
              <w:topLinePunct w:val="0"/>
              <w:autoSpaceDE/>
              <w:autoSpaceDN/>
              <w:bidi w:val="0"/>
              <w:adjustRightInd/>
              <w:snapToGrid/>
              <w:spacing w:after="0"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r>
              <w:rPr>
                <w:rFonts w:hint="eastAsia" w:ascii="方正仿宋_GB2312" w:hAnsi="方正仿宋_GB2312" w:eastAsia="方正仿宋_GB2312" w:cs="方正仿宋_GB2312"/>
                <w:b w:val="0"/>
                <w:bCs w:val="0"/>
                <w:color w:val="auto"/>
                <w:sz w:val="21"/>
                <w:szCs w:val="21"/>
                <w:highlight w:val="none"/>
                <w:lang w:val="en-US" w:eastAsia="zh-CN"/>
              </w:rPr>
              <w:t>要求</w:t>
            </w:r>
            <w:r>
              <w:rPr>
                <w:rFonts w:hint="eastAsia" w:ascii="方正仿宋_GB2312" w:hAnsi="方正仿宋_GB2312" w:eastAsia="方正仿宋_GB2312" w:cs="方正仿宋_GB2312"/>
                <w:b w:val="0"/>
                <w:bCs w:val="0"/>
                <w:color w:val="auto"/>
                <w:sz w:val="21"/>
                <w:szCs w:val="21"/>
                <w:highlight w:val="none"/>
              </w:rPr>
              <w:t>连接安装严密、平整、端正、牢固，结合处无崩茬和松动。</w:t>
            </w:r>
          </w:p>
          <w:p w14:paraId="047ECE5D">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b w:val="0"/>
                <w:bCs w:val="0"/>
                <w:color w:val="auto"/>
                <w:sz w:val="21"/>
                <w:szCs w:val="21"/>
                <w:highlight w:val="none"/>
                <w:lang w:val="en-US" w:eastAsia="zh-CN"/>
              </w:rPr>
              <w:t>5、</w:t>
            </w:r>
            <w:r>
              <w:rPr>
                <w:rFonts w:hint="eastAsia" w:ascii="方正仿宋_GB2312" w:hAnsi="方正仿宋_GB2312" w:eastAsia="方正仿宋_GB2312" w:cs="方正仿宋_GB2312"/>
                <w:color w:val="auto"/>
                <w:szCs w:val="21"/>
                <w:highlight w:val="none"/>
              </w:rPr>
              <w:t>符合QB/T1621《家具锁》标准。</w:t>
            </w:r>
          </w:p>
          <w:p w14:paraId="5347DE64">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通用要求：开启灵活，无卡滞，互开率符合标准要求（≤0.5%），具备基本的防撬结构。</w:t>
            </w:r>
          </w:p>
          <w:p w14:paraId="4D261B24">
            <w:pPr>
              <w:keepNext w:val="0"/>
              <w:keepLines w:val="0"/>
              <w:pageBreakBefore w:val="0"/>
              <w:kinsoku/>
              <w:wordWrap/>
              <w:overflowPunct/>
              <w:topLinePunct w:val="0"/>
              <w:autoSpaceDE/>
              <w:autoSpaceDN/>
              <w:bidi w:val="0"/>
              <w:adjustRightInd/>
              <w:snapToGrid/>
              <w:spacing w:line="0" w:lineRule="atLeast"/>
              <w:jc w:val="left"/>
              <w:rPr>
                <w:rFonts w:hint="eastAsia" w:ascii="方正仿宋_GB2312" w:hAnsi="方正仿宋_GB2312" w:eastAsia="方正仿宋_GB2312" w:cs="方正仿宋_GB2312"/>
                <w:b w:val="0"/>
                <w:bCs w:val="0"/>
                <w:color w:val="auto"/>
                <w:sz w:val="21"/>
                <w:szCs w:val="21"/>
                <w:highlight w:val="none"/>
                <w:lang w:val="en-US" w:eastAsia="zh-CN"/>
              </w:rPr>
            </w:pPr>
          </w:p>
        </w:tc>
      </w:tr>
      <w:tr w14:paraId="62FC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1" w:hRule="atLeast"/>
        </w:trPr>
        <w:tc>
          <w:tcPr>
            <w:tcW w:w="580" w:type="dxa"/>
            <w:shd w:val="clear" w:color="auto" w:fill="FFFFFF"/>
            <w:noWrap w:val="0"/>
            <w:vAlign w:val="center"/>
          </w:tcPr>
          <w:p w14:paraId="46DE4D01">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方正仿宋_GB2312" w:hAnsi="方正仿宋_GB2312" w:eastAsia="方正仿宋_GB2312" w:cs="方正仿宋_GB2312"/>
                <w:color w:val="auto"/>
                <w:sz w:val="21"/>
                <w:szCs w:val="21"/>
                <w:highlight w:val="none"/>
                <w:lang w:val="en-US" w:eastAsia="zh-CN" w:bidi="ar"/>
              </w:rPr>
            </w:pPr>
            <w:r>
              <w:rPr>
                <w:rFonts w:hint="eastAsia" w:ascii="方正仿宋_GB2312" w:hAnsi="方正仿宋_GB2312" w:eastAsia="方正仿宋_GB2312" w:cs="方正仿宋_GB2312"/>
                <w:color w:val="auto"/>
                <w:sz w:val="21"/>
                <w:szCs w:val="21"/>
                <w:highlight w:val="none"/>
                <w:lang w:val="en-US" w:eastAsia="zh-CN" w:bidi="ar"/>
              </w:rPr>
              <w:t>32</w:t>
            </w:r>
          </w:p>
        </w:tc>
        <w:tc>
          <w:tcPr>
            <w:tcW w:w="2800" w:type="dxa"/>
            <w:shd w:val="clear" w:color="auto" w:fill="FFFFFF"/>
            <w:noWrap w:val="0"/>
            <w:vAlign w:val="center"/>
          </w:tcPr>
          <w:p w14:paraId="756A6B01">
            <w:pPr>
              <w:pStyle w:val="4"/>
              <w:keepNext w:val="0"/>
              <w:keepLines w:val="0"/>
              <w:pageBreakBefore w:val="0"/>
              <w:kinsoku/>
              <w:wordWrap/>
              <w:overflowPunct/>
              <w:topLinePunct w:val="0"/>
              <w:autoSpaceDE/>
              <w:autoSpaceDN/>
              <w:bidi w:val="0"/>
              <w:adjustRightInd/>
              <w:snapToGrid/>
              <w:spacing w:after="0" w:line="0" w:lineRule="atLeast"/>
              <w:jc w:val="center"/>
              <w:rPr>
                <w:rFonts w:hint="eastAsia" w:ascii="方正仿宋_GB2312" w:hAnsi="方正仿宋_GB2312" w:eastAsia="方正仿宋_GB2312" w:cs="方正仿宋_GB2312"/>
                <w:color w:val="auto"/>
                <w:sz w:val="21"/>
                <w:szCs w:val="21"/>
                <w:highlight w:val="none"/>
              </w:rPr>
            </w:pPr>
            <w:r>
              <w:rPr>
                <w:rFonts w:hint="eastAsia" w:ascii="方正仿宋_GB2312" w:hAnsi="方正仿宋_GB2312" w:eastAsia="方正仿宋_GB2312" w:cs="方正仿宋_GB2312"/>
                <w:color w:val="auto"/>
                <w:sz w:val="21"/>
                <w:szCs w:val="21"/>
                <w:highlight w:val="none"/>
              </w:rPr>
              <w:drawing>
                <wp:inline distT="0" distB="0" distL="114300" distR="114300">
                  <wp:extent cx="1228725" cy="1544320"/>
                  <wp:effectExtent l="0" t="0" r="5715" b="10160"/>
                  <wp:docPr id="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
                          <pic:cNvPicPr>
                            <a:picLocks noChangeAspect="1"/>
                          </pic:cNvPicPr>
                        </pic:nvPicPr>
                        <pic:blipFill>
                          <a:blip r:embed="rId33"/>
                          <a:stretch>
                            <a:fillRect/>
                          </a:stretch>
                        </pic:blipFill>
                        <pic:spPr>
                          <a:xfrm>
                            <a:off x="0" y="0"/>
                            <a:ext cx="1228725" cy="1544320"/>
                          </a:xfrm>
                          <a:prstGeom prst="rect">
                            <a:avLst/>
                          </a:prstGeom>
                          <a:noFill/>
                          <a:ln>
                            <a:noFill/>
                          </a:ln>
                        </pic:spPr>
                      </pic:pic>
                    </a:graphicData>
                  </a:graphic>
                </wp:inline>
              </w:drawing>
            </w:r>
          </w:p>
          <w:p w14:paraId="60EB6A9F">
            <w:pPr>
              <w:pStyle w:val="4"/>
              <w:keepNext w:val="0"/>
              <w:keepLines w:val="0"/>
              <w:pageBreakBefore w:val="0"/>
              <w:kinsoku/>
              <w:wordWrap/>
              <w:overflowPunct/>
              <w:topLinePunct w:val="0"/>
              <w:autoSpaceDE/>
              <w:autoSpaceDN/>
              <w:bidi w:val="0"/>
              <w:adjustRightInd/>
              <w:snapToGrid/>
              <w:spacing w:after="0" w:line="0" w:lineRule="atLeast"/>
              <w:jc w:val="center"/>
              <w:rPr>
                <w:rFonts w:hint="eastAsia" w:ascii="方正仿宋_GB2312" w:hAnsi="方正仿宋_GB2312" w:eastAsia="方正仿宋_GB2312" w:cs="方正仿宋_GB2312"/>
                <w:color w:val="auto"/>
                <w:sz w:val="21"/>
                <w:szCs w:val="21"/>
                <w:highlight w:val="none"/>
                <w:lang w:val="en-US" w:eastAsia="zh-CN"/>
              </w:rPr>
            </w:pPr>
            <w:r>
              <w:rPr>
                <w:rFonts w:hint="eastAsia" w:ascii="方正仿宋_GB2312" w:hAnsi="方正仿宋_GB2312" w:eastAsia="方正仿宋_GB2312" w:cs="方正仿宋_GB2312"/>
                <w:color w:val="auto"/>
                <w:sz w:val="21"/>
                <w:szCs w:val="21"/>
                <w:highlight w:val="none"/>
                <w:lang w:val="en-US" w:eastAsia="zh-CN"/>
              </w:rPr>
              <w:t>男15门鞋柜</w:t>
            </w:r>
          </w:p>
        </w:tc>
        <w:tc>
          <w:tcPr>
            <w:tcW w:w="1160" w:type="dxa"/>
            <w:shd w:val="clear" w:color="auto" w:fill="FFFFFF"/>
            <w:noWrap w:val="0"/>
            <w:vAlign w:val="center"/>
          </w:tcPr>
          <w:p w14:paraId="744C7DB2">
            <w:pPr>
              <w:keepNext w:val="0"/>
              <w:keepLines w:val="0"/>
              <w:pageBreakBefore w:val="0"/>
              <w:widowControl/>
              <w:kinsoku/>
              <w:wordWrap/>
              <w:overflowPunct/>
              <w:topLinePunct w:val="0"/>
              <w:autoSpaceDE/>
              <w:autoSpaceDN/>
              <w:bidi w:val="0"/>
              <w:adjustRightInd/>
              <w:snapToGrid/>
              <w:spacing w:line="0" w:lineRule="atLeast"/>
              <w:jc w:val="both"/>
              <w:textAlignment w:val="center"/>
              <w:rPr>
                <w:rFonts w:hint="eastAsia" w:ascii="方正仿宋_GB2312" w:hAnsi="方正仿宋_GB2312" w:eastAsia="方正仿宋_GB2312" w:cs="方正仿宋_GB2312"/>
                <w:color w:val="auto"/>
                <w:sz w:val="21"/>
                <w:szCs w:val="21"/>
                <w:highlight w:val="none"/>
                <w:lang w:val="en-US"/>
              </w:rPr>
            </w:pPr>
            <w:r>
              <w:rPr>
                <w:rFonts w:hint="eastAsia" w:ascii="方正仿宋_GB2312" w:hAnsi="方正仿宋_GB2312" w:eastAsia="方正仿宋_GB2312" w:cs="方正仿宋_GB2312"/>
                <w:color w:val="auto"/>
                <w:sz w:val="21"/>
                <w:szCs w:val="21"/>
                <w:highlight w:val="none"/>
                <w:lang w:val="en-US"/>
              </w:rPr>
              <w:t>规格尺寸：</w:t>
            </w:r>
            <w:r>
              <w:rPr>
                <w:rFonts w:hint="eastAsia" w:ascii="方正仿宋_GB2312" w:hAnsi="方正仿宋_GB2312" w:eastAsia="方正仿宋_GB2312" w:cs="方正仿宋_GB2312"/>
                <w:color w:val="auto"/>
                <w:sz w:val="21"/>
                <w:szCs w:val="21"/>
                <w:highlight w:val="none"/>
              </w:rPr>
              <w:t>高2000*宽900*进深400mm。</w:t>
            </w:r>
          </w:p>
        </w:tc>
        <w:tc>
          <w:tcPr>
            <w:tcW w:w="5350" w:type="dxa"/>
            <w:vMerge w:val="continue"/>
            <w:shd w:val="clear" w:color="auto" w:fill="FFFFFF"/>
            <w:noWrap w:val="0"/>
            <w:vAlign w:val="center"/>
          </w:tcPr>
          <w:p w14:paraId="07B21089">
            <w:pPr>
              <w:keepNext w:val="0"/>
              <w:keepLines w:val="0"/>
              <w:pageBreakBefore w:val="0"/>
              <w:kinsoku/>
              <w:wordWrap/>
              <w:overflowPunct/>
              <w:topLinePunct w:val="0"/>
              <w:autoSpaceDE/>
              <w:autoSpaceDN/>
              <w:bidi w:val="0"/>
              <w:adjustRightInd/>
              <w:snapToGrid/>
              <w:spacing w:line="0" w:lineRule="atLeast"/>
              <w:rPr>
                <w:rFonts w:hint="eastAsia" w:ascii="方正仿宋_GB2312" w:hAnsi="方正仿宋_GB2312" w:eastAsia="方正仿宋_GB2312" w:cs="方正仿宋_GB2312"/>
                <w:color w:val="auto"/>
                <w:sz w:val="21"/>
                <w:szCs w:val="21"/>
                <w:highlight w:val="none"/>
                <w:lang w:val="en-US"/>
              </w:rPr>
            </w:pPr>
          </w:p>
        </w:tc>
      </w:tr>
    </w:tbl>
    <w:p w14:paraId="7519F80D">
      <w:pPr>
        <w:rPr>
          <w:color w:val="auto"/>
        </w:rPr>
      </w:pPr>
    </w:p>
    <w:p w14:paraId="43DB4B3C">
      <w:pPr>
        <w:ind w:firstLine="420" w:firstLineChars="200"/>
        <w:rPr>
          <w:rFonts w:hint="default" w:eastAsia="宋体"/>
          <w:color w:val="auto"/>
          <w:lang w:val="en-US" w:eastAsia="zh-CN"/>
        </w:rPr>
      </w:pPr>
      <w:r>
        <w:rPr>
          <w:rFonts w:hint="eastAsia"/>
          <w:color w:val="auto"/>
          <w:lang w:eastAsia="zh-CN"/>
        </w:rPr>
        <w:t>备注：签合同前</w:t>
      </w:r>
      <w:r>
        <w:rPr>
          <w:rFonts w:hint="eastAsia"/>
          <w:color w:val="auto"/>
          <w:lang w:val="en-US" w:eastAsia="zh-CN"/>
        </w:rPr>
        <w:t>成交供应商应提供投入本项目的家具：中纤密度板、</w:t>
      </w:r>
      <w:r>
        <w:rPr>
          <w:rFonts w:hint="eastAsia" w:ascii="宋体" w:hAnsi="宋体" w:eastAsia="宋体" w:cs="宋体"/>
          <w:b w:val="0"/>
          <w:bCs w:val="0"/>
          <w:color w:val="auto"/>
          <w:sz w:val="21"/>
          <w:szCs w:val="21"/>
          <w:highlight w:val="none"/>
          <w:lang w:val="en-US" w:eastAsia="zh-CN"/>
        </w:rPr>
        <w:t>三聚氰胺板</w:t>
      </w:r>
      <w:r>
        <w:rPr>
          <w:rFonts w:hint="eastAsia"/>
          <w:color w:val="auto"/>
          <w:lang w:val="en-US" w:eastAsia="zh-CN"/>
        </w:rPr>
        <w:t>、刨花板、冷轧钢板裸板、冷轧钢板喷塑板、家具油漆、五金件、西皮皮面、沙发海绵、网布网面等具有符合本采购文件需求的CMA资质认定的第三方检测机构出具的产品检验检测报告复印件在采购人处备案</w:t>
      </w:r>
      <w:r>
        <w:rPr>
          <w:rFonts w:hint="eastAsia"/>
          <w:color w:val="auto"/>
          <w:lang w:eastAsia="zh-CN"/>
        </w:rPr>
        <w:t>。</w:t>
      </w:r>
      <w:r>
        <w:rPr>
          <w:rFonts w:hint="eastAsia"/>
          <w:color w:val="auto"/>
          <w:lang w:val="en-US" w:eastAsia="zh-CN"/>
        </w:rPr>
        <w:t>在每批次供货中采购人有权进行对所提供货物的检测报告进行抽查。</w:t>
      </w:r>
    </w:p>
    <w:p w14:paraId="1F07BBAF">
      <w:pPr>
        <w:rPr>
          <w:rFonts w:hint="eastAsia"/>
          <w:lang w:val="en-US" w:eastAsia="zh-CN"/>
        </w:rPr>
      </w:pPr>
    </w:p>
    <w:p w14:paraId="4D135B4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8F17B8F-E621-459E-BF0A-CFF8C830DCD5}"/>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AD9A2442-4A80-4A35-BC2F-D86BB4CEDB5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151702"/>
    <w:multiLevelType w:val="multilevel"/>
    <w:tmpl w:val="7B151702"/>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4"/>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BA2"/>
    <w:rsid w:val="000E1703"/>
    <w:rsid w:val="00521821"/>
    <w:rsid w:val="009F4EE6"/>
    <w:rsid w:val="00E11BA2"/>
    <w:rsid w:val="00E858DB"/>
    <w:rsid w:val="058B3242"/>
    <w:rsid w:val="14B24416"/>
    <w:rsid w:val="253043DD"/>
    <w:rsid w:val="2D632557"/>
    <w:rsid w:val="35CD050C"/>
    <w:rsid w:val="40F83204"/>
    <w:rsid w:val="447B1C87"/>
    <w:rsid w:val="6A5D77DA"/>
    <w:rsid w:val="6DF93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9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6"/>
    <w:basedOn w:val="1"/>
    <w:next w:val="1"/>
    <w:link w:val="19"/>
    <w:qFormat/>
    <w:uiPriority w:val="99"/>
    <w:pPr>
      <w:spacing w:before="100" w:beforeAutospacing="1" w:after="100" w:afterAutospacing="1"/>
      <w:jc w:val="left"/>
      <w:outlineLvl w:val="5"/>
    </w:pPr>
    <w:rPr>
      <w:rFonts w:ascii="宋体" w:hAnsi="宋体" w:cs="宋体"/>
      <w:b/>
      <w:bCs/>
      <w:kern w:val="0"/>
      <w:sz w:val="15"/>
      <w:szCs w:val="15"/>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line="360" w:lineRule="auto"/>
      <w:ind w:right="25" w:rightChars="12" w:firstLine="487" w:firstLineChars="202"/>
    </w:pPr>
    <w:rPr>
      <w:rFonts w:ascii="宋体" w:hAnsi="宋体"/>
      <w:b/>
      <w:kern w:val="0"/>
      <w:sz w:val="24"/>
      <w:szCs w:val="24"/>
    </w:rPr>
  </w:style>
  <w:style w:type="paragraph" w:styleId="4">
    <w:name w:val="Body Text"/>
    <w:basedOn w:val="1"/>
    <w:next w:val="5"/>
    <w:link w:val="20"/>
    <w:unhideWhenUsed/>
    <w:qFormat/>
    <w:uiPriority w:val="99"/>
    <w:pPr>
      <w:spacing w:before="100" w:beforeAutospacing="1" w:after="120"/>
    </w:pPr>
  </w:style>
  <w:style w:type="paragraph" w:styleId="5">
    <w:name w:val="Subtitle"/>
    <w:basedOn w:val="6"/>
    <w:next w:val="6"/>
    <w:qFormat/>
    <w:uiPriority w:val="0"/>
    <w:pPr>
      <w:spacing w:before="240" w:after="60" w:line="312" w:lineRule="auto"/>
      <w:jc w:val="center"/>
      <w:outlineLvl w:val="1"/>
    </w:pPr>
    <w:rPr>
      <w:rFonts w:ascii="Cambria" w:hAnsi="Cambria"/>
      <w:b/>
      <w:bCs/>
      <w:color w:val="000000"/>
      <w:kern w:val="28"/>
      <w:sz w:val="32"/>
      <w:szCs w:val="32"/>
    </w:rPr>
  </w:style>
  <w:style w:type="paragraph" w:customStyle="1" w:styleId="6">
    <w:name w:val="正文_1"/>
    <w:basedOn w:val="1"/>
    <w:next w:val="7"/>
    <w:qFormat/>
    <w:uiPriority w:val="0"/>
    <w:pPr>
      <w:spacing w:line="480" w:lineRule="exact"/>
    </w:pPr>
  </w:style>
  <w:style w:type="paragraph" w:customStyle="1" w:styleId="7">
    <w:name w:val="正文文本_0"/>
    <w:basedOn w:val="8"/>
    <w:next w:val="9"/>
    <w:unhideWhenUsed/>
    <w:qFormat/>
    <w:uiPriority w:val="0"/>
    <w:pPr>
      <w:spacing w:beforeLines="0" w:after="120" w:afterLines="0"/>
    </w:pPr>
    <w:rPr>
      <w:rFonts w:hint="default"/>
      <w:sz w:val="21"/>
      <w:szCs w:val="24"/>
    </w:rPr>
  </w:style>
  <w:style w:type="paragraph" w:customStyle="1" w:styleId="8">
    <w:name w:val="正文_1_0"/>
    <w:next w:val="7"/>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9">
    <w:name w:val="引用1"/>
    <w:next w:val="6"/>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styleId="10">
    <w:name w:val="Body Text Indent"/>
    <w:basedOn w:val="1"/>
    <w:next w:val="11"/>
    <w:qFormat/>
    <w:uiPriority w:val="0"/>
    <w:pPr>
      <w:ind w:firstLine="630"/>
    </w:pPr>
    <w:rPr>
      <w:sz w:val="32"/>
    </w:rPr>
  </w:style>
  <w:style w:type="paragraph" w:styleId="11">
    <w:name w:val="Body Text First Indent 2"/>
    <w:basedOn w:val="10"/>
    <w:next w:val="12"/>
    <w:unhideWhenUsed/>
    <w:qFormat/>
    <w:uiPriority w:val="99"/>
    <w:pPr>
      <w:spacing w:after="120"/>
      <w:ind w:left="420" w:leftChars="200" w:firstLine="420"/>
    </w:pPr>
    <w:rPr>
      <w:rFonts w:hint="default"/>
      <w:sz w:val="24"/>
    </w:rPr>
  </w:style>
  <w:style w:type="paragraph" w:customStyle="1" w:styleId="12">
    <w:name w:val="xl53"/>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textAlignment w:val="center"/>
    </w:pPr>
    <w:rPr>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kern w:val="0"/>
      <w:sz w:val="24"/>
    </w:rPr>
  </w:style>
  <w:style w:type="paragraph" w:styleId="14">
    <w:name w:val="Body Text First Indent"/>
    <w:basedOn w:val="4"/>
    <w:link w:val="27"/>
    <w:semiHidden/>
    <w:unhideWhenUsed/>
    <w:qFormat/>
    <w:uiPriority w:val="99"/>
    <w:pPr>
      <w:spacing w:before="0" w:beforeAutospacing="0"/>
      <w:ind w:firstLine="420" w:firstLineChars="1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customStyle="1" w:styleId="19">
    <w:name w:val="标题 6 Char"/>
    <w:basedOn w:val="17"/>
    <w:link w:val="2"/>
    <w:qFormat/>
    <w:uiPriority w:val="99"/>
    <w:rPr>
      <w:rFonts w:ascii="宋体" w:hAnsi="宋体" w:eastAsia="宋体" w:cs="宋体"/>
      <w:b/>
      <w:bCs/>
      <w:kern w:val="0"/>
      <w:sz w:val="15"/>
      <w:szCs w:val="15"/>
    </w:rPr>
  </w:style>
  <w:style w:type="character" w:customStyle="1" w:styleId="20">
    <w:name w:val="正文文本 Char"/>
    <w:basedOn w:val="17"/>
    <w:link w:val="4"/>
    <w:qFormat/>
    <w:uiPriority w:val="99"/>
    <w:rPr>
      <w:rFonts w:ascii="Times New Roman" w:hAnsi="Times New Roman" w:eastAsia="宋体" w:cs="Times New Roman"/>
      <w:szCs w:val="21"/>
    </w:rPr>
  </w:style>
  <w:style w:type="paragraph" w:customStyle="1" w:styleId="21">
    <w:name w:val="List Paragraph"/>
    <w:basedOn w:val="1"/>
    <w:qFormat/>
    <w:uiPriority w:val="0"/>
    <w:pPr>
      <w:ind w:firstLine="420" w:firstLineChars="200"/>
    </w:pPr>
  </w:style>
  <w:style w:type="paragraph" w:customStyle="1" w:styleId="22">
    <w:name w:val="null3"/>
    <w:basedOn w:val="1"/>
    <w:qFormat/>
    <w:uiPriority w:val="0"/>
    <w:pPr>
      <w:widowControl/>
      <w:jc w:val="left"/>
    </w:pPr>
    <w:rPr>
      <w:rFonts w:ascii="Calibri" w:hAnsi="Calibri"/>
      <w:kern w:val="0"/>
      <w:sz w:val="24"/>
      <w:szCs w:val="24"/>
    </w:rPr>
  </w:style>
  <w:style w:type="paragraph" w:customStyle="1" w:styleId="23">
    <w:name w:val="正文_2"/>
    <w:next w:val="2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
    <w:name w:val="标题 5（有编号）（绿盟科技）"/>
    <w:basedOn w:val="23"/>
    <w:next w:val="25"/>
    <w:autoRedefine/>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25">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26">
    <w:name w:val="15"/>
    <w:basedOn w:val="17"/>
    <w:qFormat/>
    <w:uiPriority w:val="0"/>
    <w:rPr>
      <w:rFonts w:hint="default" w:ascii="Calibri" w:hAnsi="Calibri" w:cs="Calibri"/>
      <w:b/>
    </w:rPr>
  </w:style>
  <w:style w:type="character" w:customStyle="1" w:styleId="27">
    <w:name w:val="正文首行缩进 Char"/>
    <w:basedOn w:val="20"/>
    <w:link w:val="14"/>
    <w:semiHidden/>
    <w:qFormat/>
    <w:uiPriority w:val="99"/>
    <w:rPr>
      <w:rFonts w:ascii="Times New Roman" w:hAnsi="Times New Roman" w:eastAsia="宋体" w:cs="Times New Roman"/>
      <w:szCs w:val="21"/>
    </w:rPr>
  </w:style>
  <w:style w:type="paragraph" w:customStyle="1" w:styleId="28">
    <w:name w:val="Table Text"/>
    <w:basedOn w:val="1"/>
    <w:semiHidden/>
    <w:qFormat/>
    <w:uiPriority w:val="0"/>
    <w:rPr>
      <w:rFonts w:ascii="宋体" w:hAnsi="宋体" w:eastAsia="宋体" w:cs="宋体"/>
      <w:sz w:val="24"/>
      <w:szCs w:val="24"/>
    </w:rPr>
  </w:style>
  <w:style w:type="paragraph" w:customStyle="1" w:styleId="29">
    <w:name w:val="正文_3"/>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jpe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34</Pages>
  <Words>8142</Words>
  <Characters>8547</Characters>
  <Lines>62</Lines>
  <Paragraphs>17</Paragraphs>
  <TotalTime>0</TotalTime>
  <ScaleCrop>false</ScaleCrop>
  <LinksUpToDate>false</LinksUpToDate>
  <CharactersWithSpaces>8552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2026-01-04T09:20:00Z</dcterms:created>
  <dc:creator>PC</dc:creator>
  <cp:lastModifiedBy>周云霞</cp:lastModifiedBy>
  <dcterms:modified xsi:type="dcterms:W3CDTF">2026-08-27T06:59:01Z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eyJoZGlkIjoiYzlkMmZkYmE5MjIyMjVmOTNjMjM2NjBkYzIyMmEyMDUiLCJ1c2VySWQiOiIzNTI2ODc0MzAifQ==</vt:lpwstr>
  </property>
  <property fmtid="{D5CDD505-2E9C-101B-9397-08002B2CF9AE}" pid="3" name="KSOProductBuildVer">
    <vt:lpwstr>2052-12.1.0.28043</vt:lpwstr>
  </property>
  <property fmtid="{D5CDD505-2E9C-101B-9397-08002B2CF9AE}" pid="4" name="ICV">
    <vt:lpwstr>3E892C0FAC0E436E8B4716AA329CB817_13</vt:lpwstr>
  </property>
</Properties>
</file>