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9769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883" w:firstLineChars="200"/>
        <w:jc w:val="center"/>
        <w:textAlignment w:val="auto"/>
        <w:rPr>
          <w:rStyle w:val="9"/>
          <w:rFonts w:hint="eastAsia" w:ascii="方正小标宋简体" w:hAnsi="方正小标宋简体" w:eastAsia="方正小标宋简体" w:cs="方正小标宋简体"/>
          <w:b/>
          <w:bCs/>
          <w:i w:val="0"/>
          <w:iCs w:val="0"/>
          <w:caps w:val="0"/>
          <w:color w:val="222222"/>
          <w:spacing w:val="0"/>
          <w:sz w:val="44"/>
          <w:szCs w:val="44"/>
          <w:lang w:val="en-US" w:eastAsia="zh-CN"/>
        </w:rPr>
      </w:pPr>
      <w:r>
        <w:rPr>
          <w:rStyle w:val="9"/>
          <w:rFonts w:hint="eastAsia" w:ascii="方正小标宋简体" w:hAnsi="方正小标宋简体" w:eastAsia="方正小标宋简体" w:cs="方正小标宋简体"/>
          <w:b/>
          <w:bCs/>
          <w:i w:val="0"/>
          <w:iCs w:val="0"/>
          <w:caps w:val="0"/>
          <w:color w:val="222222"/>
          <w:spacing w:val="0"/>
          <w:sz w:val="44"/>
          <w:szCs w:val="44"/>
          <w:lang w:val="en-US" w:eastAsia="zh-CN"/>
        </w:rPr>
        <w:t>采购需求</w:t>
      </w:r>
    </w:p>
    <w:p w14:paraId="0DFF387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left"/>
        <w:textAlignment w:val="auto"/>
        <w:rPr>
          <w:rStyle w:val="9"/>
          <w:rFonts w:hint="default" w:ascii="黑体" w:hAnsi="黑体" w:eastAsia="黑体" w:cs="黑体"/>
          <w:b/>
          <w:bCs/>
          <w:i w:val="0"/>
          <w:iCs w:val="0"/>
          <w:caps w:val="0"/>
          <w:color w:val="222222"/>
          <w:spacing w:val="0"/>
          <w:sz w:val="28"/>
          <w:szCs w:val="28"/>
          <w:lang w:val="en-US" w:eastAsia="zh-CN"/>
        </w:rPr>
      </w:pPr>
      <w:r>
        <w:rPr>
          <w:rStyle w:val="9"/>
          <w:rFonts w:hint="eastAsia" w:ascii="黑体" w:hAnsi="黑体" w:eastAsia="黑体" w:cs="黑体"/>
          <w:b/>
          <w:bCs/>
          <w:i w:val="0"/>
          <w:iCs w:val="0"/>
          <w:caps w:val="0"/>
          <w:color w:val="222222"/>
          <w:spacing w:val="0"/>
          <w:sz w:val="28"/>
          <w:szCs w:val="28"/>
          <w:lang w:val="en-US" w:eastAsia="zh-CN"/>
        </w:rPr>
        <w:t>3.1、采购内容</w:t>
      </w:r>
    </w:p>
    <w:p w14:paraId="15709BB8">
      <w:pPr>
        <w:pStyle w:val="11"/>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color w:val="FF0000"/>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3.1.1、采购预算金额:</w:t>
      </w:r>
      <w:r>
        <w:rPr>
          <w:rFonts w:hint="eastAsia" w:ascii="仿宋" w:hAnsi="仿宋" w:eastAsia="仿宋" w:cs="仿宋"/>
          <w:color w:val="FF0000"/>
          <w:kern w:val="2"/>
          <w:sz w:val="28"/>
          <w:szCs w:val="28"/>
          <w:highlight w:val="none"/>
          <w:lang w:val="en-US" w:eastAsia="zh-CN" w:bidi="ar-SA"/>
        </w:rPr>
        <w:t>45773元。</w:t>
      </w:r>
    </w:p>
    <w:p w14:paraId="0E359304">
      <w:pPr>
        <w:pStyle w:val="11"/>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采购预算金额根据项目中各单品种最高限价和年预估使用数量计算合计得出，实际结算金额以各单品种中标价和实际使用数量为准。</w:t>
      </w:r>
    </w:p>
    <w:p w14:paraId="7C5EF345">
      <w:pPr>
        <w:pStyle w:val="11"/>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3.1.2、采购包最高限价：以各采购包中的单品种最高限价和年预估使用数量计算合计得出，供应商报价时各单品种最高限价以《采购内容及技术要求一览表》中各单品种最高限价为准。</w:t>
      </w:r>
    </w:p>
    <w:p w14:paraId="248372E4">
      <w:pPr>
        <w:pageBreakBefore w:val="0"/>
        <w:numPr>
          <w:ilvl w:val="0"/>
          <w:numId w:val="0"/>
        </w:numPr>
        <w:kinsoku/>
        <w:wordWrap/>
        <w:overflowPunct/>
        <w:topLinePunct w:val="0"/>
        <w:autoSpaceDE/>
        <w:autoSpaceDN/>
        <w:bidi w:val="0"/>
        <w:adjustRightInd/>
        <w:snapToGrid/>
        <w:spacing w:beforeLines="50" w:afterLines="50" w:line="560" w:lineRule="exact"/>
        <w:ind w:firstLine="562" w:firstLineChars="200"/>
        <w:outlineLvl w:val="1"/>
        <w:rPr>
          <w:rFonts w:hint="eastAsia" w:ascii="仿宋" w:hAnsi="仿宋" w:eastAsia="仿宋" w:cs="仿宋"/>
          <w:b/>
          <w:bCs/>
          <w:color w:val="auto"/>
          <w:sz w:val="28"/>
          <w:szCs w:val="28"/>
          <w:lang w:eastAsia="zh-CN"/>
        </w:rPr>
      </w:pPr>
      <w:r>
        <w:rPr>
          <w:rStyle w:val="9"/>
          <w:rFonts w:hint="eastAsia" w:ascii="黑体" w:hAnsi="黑体" w:eastAsia="黑体" w:cs="黑体"/>
          <w:bCs/>
          <w:i w:val="0"/>
          <w:iCs w:val="0"/>
          <w:caps w:val="0"/>
          <w:color w:val="222222"/>
          <w:spacing w:val="0"/>
          <w:kern w:val="0"/>
          <w:sz w:val="28"/>
          <w:szCs w:val="28"/>
          <w:lang w:val="en-US" w:eastAsia="zh-CN" w:bidi="ar"/>
        </w:rPr>
        <w:t>3.2、技术要求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w:t>
      </w:r>
      <w:r>
        <w:rPr>
          <w:rFonts w:hint="eastAsia" w:ascii="仿宋" w:hAnsi="仿宋" w:eastAsia="仿宋" w:cs="仿宋"/>
          <w:b/>
          <w:bCs/>
          <w:color w:val="auto"/>
          <w:sz w:val="28"/>
          <w:szCs w:val="28"/>
          <w:lang w:eastAsia="zh-CN"/>
        </w:rPr>
        <w:t>技术、服务及其他要求应答表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0E3A58EC">
      <w:pPr>
        <w:pageBreakBefore w:val="0"/>
        <w:numPr>
          <w:ilvl w:val="0"/>
          <w:numId w:val="0"/>
        </w:numPr>
        <w:kinsoku/>
        <w:wordWrap/>
        <w:overflowPunct/>
        <w:topLinePunct w:val="0"/>
        <w:autoSpaceDE/>
        <w:autoSpaceDN/>
        <w:bidi w:val="0"/>
        <w:adjustRightInd/>
        <w:snapToGrid/>
        <w:spacing w:beforeLines="50" w:afterLines="50" w:line="560" w:lineRule="exact"/>
        <w:ind w:firstLine="560" w:firstLineChars="200"/>
        <w:jc w:val="center"/>
        <w:outlineLvl w:val="1"/>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采购内容及技术要求一览表</w:t>
      </w:r>
    </w:p>
    <w:tbl>
      <w:tblPr>
        <w:tblStyle w:val="7"/>
        <w:tblW w:w="10316" w:type="dxa"/>
        <w:tblInd w:w="-7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7"/>
        <w:gridCol w:w="1080"/>
        <w:gridCol w:w="773"/>
        <w:gridCol w:w="660"/>
        <w:gridCol w:w="741"/>
        <w:gridCol w:w="677"/>
        <w:gridCol w:w="1348"/>
        <w:gridCol w:w="3654"/>
        <w:gridCol w:w="986"/>
      </w:tblGrid>
      <w:tr w14:paraId="15DC3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3DA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包号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6EC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耗材</w:t>
            </w:r>
          </w:p>
          <w:p w14:paraId="49A0865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名称</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9A42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参考规格</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CA1D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单位</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8A3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最高限价</w:t>
            </w:r>
          </w:p>
          <w:p w14:paraId="12718C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（元）</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433D">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年预估使用数量</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A2F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适用</w:t>
            </w:r>
          </w:p>
          <w:p w14:paraId="2E98F69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范围</w:t>
            </w:r>
          </w:p>
        </w:tc>
        <w:tc>
          <w:tcPr>
            <w:tcW w:w="3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A1D1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技术要求</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C3FD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备注</w:t>
            </w:r>
          </w:p>
        </w:tc>
      </w:tr>
      <w:tr w14:paraId="349DB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trPr>
        <w:tc>
          <w:tcPr>
            <w:tcW w:w="39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E0FB3">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7E08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75%医用酒精消毒液</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80A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500ml</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36A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瓶</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ED13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4.6</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61AE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4700</w:t>
            </w:r>
          </w:p>
        </w:tc>
        <w:tc>
          <w:tcPr>
            <w:tcW w:w="1348" w:type="dxa"/>
            <w:tcBorders>
              <w:top w:val="single" w:color="000000" w:sz="4" w:space="0"/>
              <w:left w:val="single" w:color="000000" w:sz="4" w:space="0"/>
              <w:bottom w:val="nil"/>
              <w:right w:val="single" w:color="000000" w:sz="4" w:space="0"/>
            </w:tcBorders>
            <w:shd w:val="clear" w:color="auto" w:fill="auto"/>
            <w:vAlign w:val="center"/>
          </w:tcPr>
          <w:p w14:paraId="058A81B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适用于完整皮肤和硬质物体表面的消毒</w:t>
            </w:r>
          </w:p>
        </w:tc>
        <w:tc>
          <w:tcPr>
            <w:tcW w:w="3654" w:type="dxa"/>
            <w:tcBorders>
              <w:top w:val="single" w:color="000000" w:sz="4" w:space="0"/>
              <w:left w:val="single" w:color="000000" w:sz="4" w:space="0"/>
              <w:bottom w:val="nil"/>
              <w:right w:val="single" w:color="000000" w:sz="4" w:space="0"/>
            </w:tcBorders>
            <w:shd w:val="clear" w:color="auto" w:fill="auto"/>
            <w:vAlign w:val="center"/>
          </w:tcPr>
          <w:p w14:paraId="4A221D2D">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Style w:val="12"/>
                <w:rFonts w:hint="eastAsia" w:ascii="仿宋" w:hAnsi="仿宋" w:eastAsia="仿宋" w:cs="仿宋"/>
                <w:sz w:val="21"/>
                <w:szCs w:val="21"/>
                <w:lang w:val="en-US" w:eastAsia="zh-CN" w:bidi="ar"/>
              </w:rPr>
              <w:t>本品是以乙醇为主要有效成分的消毒液，乙醇含量为</w:t>
            </w:r>
            <w:r>
              <w:rPr>
                <w:rStyle w:val="13"/>
                <w:rFonts w:hint="eastAsia" w:ascii="仿宋" w:hAnsi="仿宋" w:eastAsia="仿宋" w:cs="仿宋"/>
                <w:sz w:val="21"/>
                <w:szCs w:val="21"/>
                <w:lang w:val="en-US" w:eastAsia="zh-CN" w:bidi="ar"/>
              </w:rPr>
              <w:t>75%</w:t>
            </w:r>
            <w:r>
              <w:rPr>
                <w:rStyle w:val="12"/>
                <w:rFonts w:hint="eastAsia" w:ascii="仿宋" w:hAnsi="仿宋" w:eastAsia="仿宋" w:cs="仿宋"/>
                <w:sz w:val="21"/>
                <w:szCs w:val="21"/>
                <w:lang w:val="en-US" w:eastAsia="zh-CN" w:bidi="ar"/>
              </w:rPr>
              <w:t>士</w:t>
            </w:r>
            <w:r>
              <w:rPr>
                <w:rStyle w:val="13"/>
                <w:rFonts w:hint="eastAsia" w:ascii="仿宋" w:hAnsi="仿宋" w:eastAsia="仿宋" w:cs="仿宋"/>
                <w:sz w:val="21"/>
                <w:szCs w:val="21"/>
                <w:lang w:val="en-US" w:eastAsia="zh-CN" w:bidi="ar"/>
              </w:rPr>
              <w:t>5% (V/V)</w:t>
            </w:r>
            <w:r>
              <w:rPr>
                <w:rStyle w:val="12"/>
                <w:rFonts w:hint="eastAsia" w:ascii="仿宋" w:hAnsi="仿宋" w:eastAsia="仿宋" w:cs="仿宋"/>
                <w:sz w:val="21"/>
                <w:szCs w:val="21"/>
                <w:lang w:val="en-US" w:eastAsia="zh-CN" w:bidi="ar"/>
              </w:rPr>
              <w:t>，可杀灭肠道致病菌、化脓性球菌、致病性酵母菌和医院感染常见细菌。</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D52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0A437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3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1A57">
            <w:pPr>
              <w:jc w:val="center"/>
              <w:rPr>
                <w:rFonts w:hint="eastAsia" w:ascii="仿宋" w:hAnsi="仿宋" w:eastAsia="仿宋" w:cs="仿宋"/>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B24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95%医用酒精消毒液</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B5F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500ml</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D84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瓶</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9BC0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6.5</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81D4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EC5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适用于皮肤和一般物体表面的消毒</w:t>
            </w:r>
          </w:p>
        </w:tc>
        <w:tc>
          <w:tcPr>
            <w:tcW w:w="3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1F926">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Style w:val="12"/>
                <w:rFonts w:hint="eastAsia" w:ascii="仿宋" w:hAnsi="仿宋" w:eastAsia="仿宋" w:cs="仿宋"/>
                <w:sz w:val="21"/>
                <w:szCs w:val="21"/>
                <w:lang w:val="en-US" w:eastAsia="zh-CN" w:bidi="ar"/>
              </w:rPr>
              <w:t>本品是以乙醇为主要有效成分的消毒液，乙醇含量为</w:t>
            </w:r>
            <w:r>
              <w:rPr>
                <w:rStyle w:val="13"/>
                <w:rFonts w:hint="eastAsia" w:ascii="仿宋" w:hAnsi="仿宋" w:eastAsia="仿宋" w:cs="仿宋"/>
                <w:sz w:val="21"/>
                <w:szCs w:val="21"/>
                <w:lang w:val="en-US" w:eastAsia="zh-CN" w:bidi="ar"/>
              </w:rPr>
              <w:br w:type="textWrapping"/>
            </w:r>
            <w:r>
              <w:rPr>
                <w:rStyle w:val="13"/>
                <w:rFonts w:hint="eastAsia" w:ascii="仿宋" w:hAnsi="仿宋" w:eastAsia="仿宋" w:cs="仿宋"/>
                <w:sz w:val="21"/>
                <w:szCs w:val="21"/>
                <w:lang w:val="en-US" w:eastAsia="zh-CN" w:bidi="ar"/>
              </w:rPr>
              <w:t>95%±5%(VV)</w:t>
            </w:r>
            <w:r>
              <w:rPr>
                <w:rStyle w:val="12"/>
                <w:rFonts w:hint="eastAsia" w:ascii="仿宋" w:hAnsi="仿宋" w:eastAsia="仿宋" w:cs="仿宋"/>
                <w:sz w:val="21"/>
                <w:szCs w:val="21"/>
                <w:lang w:val="en-US" w:eastAsia="zh-CN" w:bidi="ar"/>
              </w:rPr>
              <w:t>，可杀灭肠道致病菌、化脓性球菌、致病性酵母菌和医院感染常见细菌。</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2E59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51265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2"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53CE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B782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丝绸布胶带</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E19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2.5cm*9.1m</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1DD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卷</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EB2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9DF7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1464">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用于对创面敷料、绷带等提供持续粘贴力，以起到固定作用。</w:t>
            </w:r>
          </w:p>
        </w:tc>
        <w:tc>
          <w:tcPr>
            <w:tcW w:w="3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4F84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1.产品组成：由背衬、粘胶和解卷剂组成，完全重叠地缠绕于内芯上。</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2.产品材质：背衬采用高强度人造丝绸，胶带的一面涂以丙烯酸酯医用粘胶，另一面涂以聚氨酯解卷剂。内芯为纸质。</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3.产品尺寸：2.5cm*9.1m</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4F5E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5404D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97" w:type="dxa"/>
            <w:vMerge w:val="restart"/>
            <w:tcBorders>
              <w:top w:val="single" w:color="000000" w:sz="4" w:space="0"/>
              <w:left w:val="single" w:color="000000" w:sz="4" w:space="0"/>
              <w:bottom w:val="nil"/>
              <w:right w:val="single" w:color="000000" w:sz="4" w:space="0"/>
            </w:tcBorders>
            <w:shd w:val="clear" w:color="auto" w:fill="auto"/>
            <w:noWrap/>
            <w:vAlign w:val="center"/>
          </w:tcPr>
          <w:p w14:paraId="17BA4C67">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05BD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自立式病理标本袋</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91EE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16.5*22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9B7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片</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2A7E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0.96</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12CC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7E1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适用于各类病理标本的采集、临时存放</w:t>
            </w:r>
          </w:p>
        </w:tc>
        <w:tc>
          <w:tcPr>
            <w:tcW w:w="3654" w:type="dxa"/>
            <w:tcBorders>
              <w:top w:val="single" w:color="000000" w:sz="4" w:space="0"/>
              <w:left w:val="nil"/>
              <w:bottom w:val="single" w:color="000000" w:sz="4" w:space="0"/>
              <w:right w:val="single" w:color="000000" w:sz="4" w:space="0"/>
            </w:tcBorders>
            <w:shd w:val="clear" w:color="auto" w:fill="auto"/>
            <w:vAlign w:val="center"/>
          </w:tcPr>
          <w:p w14:paraId="11FD8F7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产品由复合材料压缩而成，在袋口设有拉锁式封口，袋底采用圆底式自立式设计。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C7BC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7266D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97"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3B92879">
            <w:pPr>
              <w:jc w:val="center"/>
              <w:rPr>
                <w:rFonts w:hint="eastAsia" w:ascii="仿宋" w:hAnsi="仿宋" w:eastAsia="仿宋" w:cs="仿宋"/>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FCE5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自立式病理标本袋</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EF86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10.5*15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A7A0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片</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886E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0.54</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8104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5950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CB05D">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适用于各类病理标本的采集、临时存放</w:t>
            </w:r>
          </w:p>
        </w:tc>
        <w:tc>
          <w:tcPr>
            <w:tcW w:w="3654" w:type="dxa"/>
            <w:tcBorders>
              <w:top w:val="single" w:color="000000" w:sz="4" w:space="0"/>
              <w:left w:val="nil"/>
              <w:bottom w:val="single" w:color="000000" w:sz="4" w:space="0"/>
              <w:right w:val="single" w:color="000000" w:sz="4" w:space="0"/>
            </w:tcBorders>
            <w:shd w:val="clear" w:color="auto" w:fill="auto"/>
            <w:vAlign w:val="center"/>
          </w:tcPr>
          <w:p w14:paraId="52FB3920">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产品由复合材料压缩而成，在袋口设有拉锁式封口，袋底采用圆底式自立式设计。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2DF1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38E43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97"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617EE966">
            <w:pPr>
              <w:jc w:val="center"/>
              <w:rPr>
                <w:rFonts w:hint="eastAsia" w:ascii="仿宋" w:hAnsi="仿宋" w:eastAsia="仿宋" w:cs="仿宋"/>
                <w:i w:val="0"/>
                <w:iCs w:val="0"/>
                <w:color w:val="000000"/>
                <w:sz w:val="21"/>
                <w:szCs w:val="21"/>
                <w:u w:val="none"/>
              </w:rPr>
            </w:pPr>
          </w:p>
        </w:tc>
        <w:tc>
          <w:tcPr>
            <w:tcW w:w="1080" w:type="dxa"/>
            <w:tcBorders>
              <w:top w:val="single" w:color="000000" w:sz="4" w:space="0"/>
              <w:left w:val="single" w:color="000000" w:sz="4" w:space="0"/>
              <w:bottom w:val="single" w:color="auto" w:sz="4" w:space="0"/>
              <w:right w:val="single" w:color="000000" w:sz="4" w:space="0"/>
            </w:tcBorders>
            <w:shd w:val="clear" w:color="auto" w:fill="auto"/>
            <w:vAlign w:val="center"/>
          </w:tcPr>
          <w:p w14:paraId="2F1B270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自立式病理标本袋</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475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25*28</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1A4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片</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3EF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B66A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84B7">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适用于各类病理标本的采集、临时存放</w:t>
            </w:r>
          </w:p>
        </w:tc>
        <w:tc>
          <w:tcPr>
            <w:tcW w:w="3654" w:type="dxa"/>
            <w:tcBorders>
              <w:top w:val="single" w:color="000000" w:sz="4" w:space="0"/>
              <w:left w:val="nil"/>
              <w:bottom w:val="single" w:color="000000" w:sz="4" w:space="0"/>
              <w:right w:val="single" w:color="000000" w:sz="4" w:space="0"/>
            </w:tcBorders>
            <w:shd w:val="clear" w:color="auto" w:fill="auto"/>
            <w:vAlign w:val="center"/>
          </w:tcPr>
          <w:p w14:paraId="254F0F1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产品由复合材料压缩而成，在袋口设有拉锁式封口，袋底采用圆底式自立式设计。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496B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734E4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97" w:type="dxa"/>
            <w:vMerge w:val="restart"/>
            <w:tcBorders>
              <w:top w:val="single" w:color="auto" w:sz="4" w:space="0"/>
              <w:left w:val="single" w:color="auto" w:sz="4" w:space="0"/>
              <w:bottom w:val="nil"/>
              <w:right w:val="single" w:color="000000" w:sz="4" w:space="0"/>
            </w:tcBorders>
            <w:shd w:val="clear" w:color="auto" w:fill="auto"/>
            <w:noWrap/>
            <w:vAlign w:val="center"/>
          </w:tcPr>
          <w:p w14:paraId="4DE8BAB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w:t>
            </w:r>
          </w:p>
        </w:tc>
        <w:tc>
          <w:tcPr>
            <w:tcW w:w="1080" w:type="dxa"/>
            <w:tcBorders>
              <w:top w:val="single" w:color="auto" w:sz="4" w:space="0"/>
              <w:left w:val="single" w:color="000000" w:sz="4" w:space="0"/>
              <w:bottom w:val="single" w:color="auto" w:sz="4" w:space="0"/>
              <w:right w:val="single" w:color="auto" w:sz="4" w:space="0"/>
            </w:tcBorders>
            <w:shd w:val="clear" w:color="auto" w:fill="auto"/>
            <w:vAlign w:val="center"/>
          </w:tcPr>
          <w:p w14:paraId="04EEA10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消毒剂浓度试纸</w:t>
            </w:r>
          </w:p>
        </w:tc>
        <w:tc>
          <w:tcPr>
            <w:tcW w:w="773" w:type="dxa"/>
            <w:tcBorders>
              <w:top w:val="single" w:color="000000" w:sz="4" w:space="0"/>
              <w:left w:val="single" w:color="auto" w:sz="4" w:space="0"/>
              <w:bottom w:val="single" w:color="auto" w:sz="4" w:space="0"/>
              <w:right w:val="single" w:color="000000" w:sz="4" w:space="0"/>
            </w:tcBorders>
            <w:shd w:val="clear" w:color="auto" w:fill="auto"/>
            <w:vAlign w:val="center"/>
          </w:tcPr>
          <w:p w14:paraId="0E0D7BC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L-1型</w:t>
            </w:r>
          </w:p>
        </w:tc>
        <w:tc>
          <w:tcPr>
            <w:tcW w:w="660" w:type="dxa"/>
            <w:tcBorders>
              <w:top w:val="single" w:color="000000" w:sz="4" w:space="0"/>
              <w:left w:val="single" w:color="000000" w:sz="4" w:space="0"/>
              <w:bottom w:val="single" w:color="auto" w:sz="4" w:space="0"/>
              <w:right w:val="single" w:color="000000" w:sz="4" w:space="0"/>
            </w:tcBorders>
            <w:shd w:val="clear" w:color="auto" w:fill="auto"/>
            <w:vAlign w:val="center"/>
          </w:tcPr>
          <w:p w14:paraId="31EAE1B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w:t>
            </w:r>
          </w:p>
        </w:tc>
        <w:tc>
          <w:tcPr>
            <w:tcW w:w="741" w:type="dxa"/>
            <w:tcBorders>
              <w:top w:val="single" w:color="000000" w:sz="4" w:space="0"/>
              <w:left w:val="single" w:color="000000" w:sz="4" w:space="0"/>
              <w:bottom w:val="single" w:color="auto" w:sz="4" w:space="0"/>
              <w:right w:val="single" w:color="000000" w:sz="4" w:space="0"/>
            </w:tcBorders>
            <w:shd w:val="clear" w:color="auto" w:fill="auto"/>
            <w:vAlign w:val="center"/>
          </w:tcPr>
          <w:p w14:paraId="105B131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w:t>
            </w:r>
          </w:p>
        </w:tc>
        <w:tc>
          <w:tcPr>
            <w:tcW w:w="677" w:type="dxa"/>
            <w:tcBorders>
              <w:top w:val="single" w:color="000000" w:sz="4" w:space="0"/>
              <w:left w:val="single" w:color="000000" w:sz="4" w:space="0"/>
              <w:bottom w:val="single" w:color="auto" w:sz="4" w:space="0"/>
              <w:right w:val="single" w:color="000000" w:sz="4" w:space="0"/>
            </w:tcBorders>
            <w:shd w:val="clear" w:color="auto" w:fill="auto"/>
            <w:vAlign w:val="center"/>
          </w:tcPr>
          <w:p w14:paraId="4D72626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w:t>
            </w:r>
          </w:p>
        </w:tc>
        <w:tc>
          <w:tcPr>
            <w:tcW w:w="1348" w:type="dxa"/>
            <w:tcBorders>
              <w:top w:val="single" w:color="000000" w:sz="4" w:space="0"/>
              <w:left w:val="single" w:color="000000" w:sz="4" w:space="0"/>
              <w:bottom w:val="single" w:color="auto" w:sz="4" w:space="0"/>
              <w:right w:val="single" w:color="000000" w:sz="4" w:space="0"/>
            </w:tcBorders>
            <w:shd w:val="clear" w:color="auto" w:fill="auto"/>
            <w:vAlign w:val="center"/>
          </w:tcPr>
          <w:p w14:paraId="18919A8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适用于含氯消毒剂有效浓度的检测</w:t>
            </w:r>
          </w:p>
        </w:tc>
        <w:tc>
          <w:tcPr>
            <w:tcW w:w="3654" w:type="dxa"/>
            <w:tcBorders>
              <w:top w:val="single" w:color="000000" w:sz="4" w:space="0"/>
              <w:left w:val="single" w:color="000000" w:sz="4" w:space="0"/>
              <w:bottom w:val="single" w:color="auto" w:sz="4" w:space="0"/>
              <w:right w:val="single" w:color="000000" w:sz="4" w:space="0"/>
            </w:tcBorders>
            <w:shd w:val="clear" w:color="auto" w:fill="auto"/>
            <w:vAlign w:val="center"/>
          </w:tcPr>
          <w:p w14:paraId="4AA3D5D3">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Style w:val="12"/>
                <w:rFonts w:hint="eastAsia" w:ascii="仿宋" w:hAnsi="仿宋" w:eastAsia="仿宋" w:cs="仿宋"/>
                <w:sz w:val="21"/>
                <w:szCs w:val="21"/>
                <w:lang w:val="en-US" w:eastAsia="zh-CN" w:bidi="ar"/>
              </w:rPr>
              <w:t>检测有效氯浓度范围为</w:t>
            </w:r>
            <w:r>
              <w:rPr>
                <w:rStyle w:val="13"/>
                <w:rFonts w:hint="eastAsia" w:ascii="仿宋" w:hAnsi="仿宋" w:eastAsia="仿宋" w:cs="仿宋"/>
                <w:sz w:val="21"/>
                <w:szCs w:val="21"/>
                <w:lang w:val="en-US" w:eastAsia="zh-CN" w:bidi="ar"/>
              </w:rPr>
              <w:t>0-2000mg/L</w:t>
            </w:r>
          </w:p>
        </w:tc>
        <w:tc>
          <w:tcPr>
            <w:tcW w:w="986" w:type="dxa"/>
            <w:tcBorders>
              <w:top w:val="single" w:color="000000" w:sz="4" w:space="0"/>
              <w:left w:val="single" w:color="000000" w:sz="4" w:space="0"/>
              <w:bottom w:val="single" w:color="auto" w:sz="4" w:space="0"/>
              <w:right w:val="single" w:color="000000" w:sz="4" w:space="0"/>
            </w:tcBorders>
            <w:shd w:val="clear" w:color="auto" w:fill="auto"/>
            <w:vAlign w:val="center"/>
          </w:tcPr>
          <w:p w14:paraId="5E5851F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40638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397" w:type="dxa"/>
            <w:vMerge w:val="continue"/>
            <w:tcBorders>
              <w:top w:val="single" w:color="000000" w:sz="4" w:space="0"/>
              <w:left w:val="single" w:color="auto" w:sz="4" w:space="0"/>
              <w:bottom w:val="single" w:color="auto" w:sz="4" w:space="0"/>
              <w:right w:val="single" w:color="auto" w:sz="4" w:space="0"/>
            </w:tcBorders>
            <w:shd w:val="clear" w:color="auto" w:fill="auto"/>
            <w:noWrap/>
            <w:vAlign w:val="center"/>
          </w:tcPr>
          <w:p w14:paraId="1163A54A">
            <w:pPr>
              <w:jc w:val="center"/>
              <w:rPr>
                <w:rFonts w:hint="eastAsia" w:ascii="仿宋" w:hAnsi="仿宋" w:eastAsia="仿宋" w:cs="仿宋"/>
                <w:i w:val="0"/>
                <w:iCs w:val="0"/>
                <w:color w:val="000000"/>
                <w:sz w:val="21"/>
                <w:szCs w:val="21"/>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C2FA19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戊二醛浓度指示卡</w:t>
            </w:r>
          </w:p>
        </w:tc>
        <w:tc>
          <w:tcPr>
            <w:tcW w:w="773" w:type="dxa"/>
            <w:tcBorders>
              <w:top w:val="single" w:color="auto" w:sz="4" w:space="0"/>
              <w:left w:val="single" w:color="auto" w:sz="4" w:space="0"/>
              <w:bottom w:val="single" w:color="auto" w:sz="4" w:space="0"/>
              <w:right w:val="single" w:color="000000" w:sz="4" w:space="0"/>
            </w:tcBorders>
            <w:shd w:val="clear" w:color="auto" w:fill="auto"/>
            <w:vAlign w:val="center"/>
          </w:tcPr>
          <w:p w14:paraId="419AD7F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L-2型</w:t>
            </w:r>
          </w:p>
        </w:tc>
        <w:tc>
          <w:tcPr>
            <w:tcW w:w="660" w:type="dxa"/>
            <w:tcBorders>
              <w:top w:val="single" w:color="auto" w:sz="4" w:space="0"/>
              <w:left w:val="single" w:color="000000" w:sz="4" w:space="0"/>
              <w:bottom w:val="single" w:color="auto" w:sz="4" w:space="0"/>
              <w:right w:val="single" w:color="000000" w:sz="4" w:space="0"/>
            </w:tcBorders>
            <w:shd w:val="clear" w:color="auto" w:fill="auto"/>
            <w:vAlign w:val="center"/>
          </w:tcPr>
          <w:p w14:paraId="6E01BC2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瓶</w:t>
            </w:r>
          </w:p>
        </w:tc>
        <w:tc>
          <w:tcPr>
            <w:tcW w:w="741" w:type="dxa"/>
            <w:tcBorders>
              <w:top w:val="single" w:color="auto" w:sz="4" w:space="0"/>
              <w:left w:val="single" w:color="000000" w:sz="4" w:space="0"/>
              <w:bottom w:val="single" w:color="auto" w:sz="4" w:space="0"/>
              <w:right w:val="single" w:color="000000" w:sz="4" w:space="0"/>
            </w:tcBorders>
            <w:shd w:val="clear" w:color="auto" w:fill="auto"/>
            <w:vAlign w:val="center"/>
          </w:tcPr>
          <w:p w14:paraId="2FC9FA9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105</w:t>
            </w:r>
          </w:p>
        </w:tc>
        <w:tc>
          <w:tcPr>
            <w:tcW w:w="677" w:type="dxa"/>
            <w:tcBorders>
              <w:top w:val="single" w:color="auto" w:sz="4" w:space="0"/>
              <w:left w:val="single" w:color="000000" w:sz="4" w:space="0"/>
              <w:bottom w:val="single" w:color="auto" w:sz="4" w:space="0"/>
              <w:right w:val="single" w:color="000000" w:sz="4" w:space="0"/>
            </w:tcBorders>
            <w:shd w:val="clear" w:color="auto" w:fill="auto"/>
            <w:vAlign w:val="center"/>
          </w:tcPr>
          <w:p w14:paraId="76A37F5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1348" w:type="dxa"/>
            <w:tcBorders>
              <w:top w:val="single" w:color="auto" w:sz="4" w:space="0"/>
              <w:left w:val="single" w:color="000000" w:sz="4" w:space="0"/>
              <w:bottom w:val="single" w:color="auto" w:sz="4" w:space="0"/>
              <w:right w:val="single" w:color="000000" w:sz="4" w:space="0"/>
            </w:tcBorders>
            <w:shd w:val="clear" w:color="auto" w:fill="auto"/>
            <w:vAlign w:val="center"/>
          </w:tcPr>
          <w:p w14:paraId="78400E9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Style w:val="12"/>
                <w:rFonts w:hint="eastAsia" w:ascii="仿宋" w:hAnsi="仿宋" w:eastAsia="仿宋" w:cs="仿宋"/>
                <w:sz w:val="21"/>
                <w:szCs w:val="21"/>
                <w:lang w:val="en-US" w:eastAsia="zh-CN" w:bidi="ar"/>
              </w:rPr>
              <w:t>适用于测定</w:t>
            </w:r>
            <w:r>
              <w:rPr>
                <w:rStyle w:val="13"/>
                <w:rFonts w:hint="eastAsia" w:ascii="仿宋" w:hAnsi="仿宋" w:eastAsia="仿宋" w:cs="仿宋"/>
                <w:sz w:val="21"/>
                <w:szCs w:val="21"/>
                <w:lang w:val="en-US" w:eastAsia="zh-CN" w:bidi="ar"/>
              </w:rPr>
              <w:t>1.8%-2.2%</w:t>
            </w:r>
            <w:r>
              <w:rPr>
                <w:rStyle w:val="12"/>
                <w:rFonts w:hint="eastAsia" w:ascii="仿宋" w:hAnsi="仿宋" w:eastAsia="仿宋" w:cs="仿宋"/>
                <w:sz w:val="21"/>
                <w:szCs w:val="21"/>
                <w:lang w:val="en-US" w:eastAsia="zh-CN" w:bidi="ar"/>
              </w:rPr>
              <w:t>戊二醛的有效浓度</w:t>
            </w:r>
          </w:p>
        </w:tc>
        <w:tc>
          <w:tcPr>
            <w:tcW w:w="3654" w:type="dxa"/>
            <w:tcBorders>
              <w:top w:val="single" w:color="auto" w:sz="4" w:space="0"/>
              <w:left w:val="single" w:color="000000" w:sz="4" w:space="0"/>
              <w:bottom w:val="single" w:color="auto" w:sz="4" w:space="0"/>
              <w:right w:val="single" w:color="000000" w:sz="4" w:space="0"/>
            </w:tcBorders>
            <w:shd w:val="clear" w:color="auto" w:fill="auto"/>
            <w:vAlign w:val="center"/>
          </w:tcPr>
          <w:p w14:paraId="14016210">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适用于测定1.8%-2.2%戊二醛的有效浓度</w:t>
            </w:r>
          </w:p>
        </w:tc>
        <w:tc>
          <w:tcPr>
            <w:tcW w:w="986" w:type="dxa"/>
            <w:tcBorders>
              <w:top w:val="single" w:color="auto" w:sz="4" w:space="0"/>
              <w:left w:val="single" w:color="000000" w:sz="4" w:space="0"/>
              <w:bottom w:val="single" w:color="auto" w:sz="4" w:space="0"/>
              <w:right w:val="single" w:color="auto" w:sz="4" w:space="0"/>
            </w:tcBorders>
            <w:shd w:val="clear" w:color="auto" w:fill="auto"/>
            <w:vAlign w:val="center"/>
          </w:tcPr>
          <w:p w14:paraId="2C141DB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bl>
    <w:p w14:paraId="174F723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注：1、提供产品的正式技术白皮书或规格手册或说明书；</w:t>
      </w:r>
    </w:p>
    <w:p w14:paraId="6FCE6C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2、提供产品官方发布的彩页；</w:t>
      </w:r>
    </w:p>
    <w:p w14:paraId="12AFDBD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3、适用范围请根据注册证和说明书据实填写。</w:t>
      </w:r>
    </w:p>
    <w:p w14:paraId="6E6C761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表中规格为参考规格，各供应商根据自身产品情况填报规格型号，但其大小、容量、面积等指标不得低于参考规格要求（特殊情况可略低于参考规格，如果出现此种情况判断是否符合采购文件要求由采购人掌握）。</w:t>
      </w:r>
    </w:p>
    <w:p w14:paraId="55A412D0">
      <w:pPr>
        <w:pageBreakBefore w:val="0"/>
        <w:numPr>
          <w:ilvl w:val="0"/>
          <w:numId w:val="0"/>
        </w:numPr>
        <w:kinsoku/>
        <w:wordWrap/>
        <w:overflowPunct/>
        <w:topLinePunct w:val="0"/>
        <w:autoSpaceDE/>
        <w:autoSpaceDN/>
        <w:bidi w:val="0"/>
        <w:adjustRightInd/>
        <w:snapToGrid/>
        <w:spacing w:beforeLines="50" w:afterLines="50" w:line="560" w:lineRule="exact"/>
        <w:ind w:firstLine="562" w:firstLineChars="200"/>
        <w:outlineLvl w:val="1"/>
        <w:rPr>
          <w:rFonts w:hint="eastAsia" w:ascii="仿宋" w:hAnsi="仿宋" w:eastAsia="仿宋" w:cs="仿宋"/>
          <w:b/>
          <w:bCs/>
          <w:sz w:val="28"/>
          <w:szCs w:val="28"/>
          <w:lang w:val="en-US" w:eastAsia="zh-CN"/>
        </w:rPr>
      </w:pPr>
      <w:r>
        <w:rPr>
          <w:rStyle w:val="9"/>
          <w:rFonts w:hint="eastAsia" w:ascii="黑体" w:hAnsi="黑体" w:eastAsia="黑体" w:cs="黑体"/>
          <w:b/>
          <w:bCs/>
          <w:i w:val="0"/>
          <w:iCs w:val="0"/>
          <w:caps w:val="0"/>
          <w:color w:val="222222"/>
          <w:spacing w:val="0"/>
          <w:kern w:val="0"/>
          <w:sz w:val="28"/>
          <w:szCs w:val="28"/>
          <w:lang w:val="en-US" w:eastAsia="zh-CN" w:bidi="ar"/>
        </w:rPr>
        <w:t>3.3、服务要求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w:t>
      </w:r>
      <w:r>
        <w:rPr>
          <w:rFonts w:hint="eastAsia" w:ascii="仿宋" w:hAnsi="仿宋" w:eastAsia="仿宋" w:cs="仿宋"/>
          <w:b/>
          <w:bCs/>
          <w:color w:val="auto"/>
          <w:sz w:val="28"/>
          <w:szCs w:val="28"/>
          <w:lang w:eastAsia="zh-CN"/>
        </w:rPr>
        <w:t>技术、服务及其他要求应答表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163C45A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3.3.1、供应商提供的下列服务其费用已包含在合同价款中，采购人不再另行支付其他任何费用。</w:t>
      </w:r>
    </w:p>
    <w:p w14:paraId="360B27C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3.3.2、本项目所有耗材未挂网，若有同种挂网耗材也可投标，挂网耗材属于药品和医用耗材招采管理系统（四川省）平台集中采购范围内，采用价格联动采购方式的医用耗材。</w:t>
      </w:r>
    </w:p>
    <w:p w14:paraId="252414D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3.3.3、药品和医用耗材招采管理系统（四川省）平台内耗材医院将按相关规定如实上报采购信息，供应商应承诺并及时上网确认，确保医院网上集中采购工作顺利进行。否则记入不诚信履约考核。</w:t>
      </w:r>
    </w:p>
    <w:p w14:paraId="2CA2FF8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3.3.4、高值医用耗材实行“零”库存、寄销制。由供应商存放一定数量的货物在医院库房，保证临床正常使用，双方定期核对使用数量再开票付款。供应商须定期或不定期到医院核查寄存在医院库房的高值医用耗材品规、数量是否齐全，是否能满足临床使用，是否存在过期失效的风险等，如果发生三次以上（含第三次）因货物库存不能保证临床正常使用，将取消供货资格，终止双方签订的合同；如果供应商不到医院核查寄存货物导致过期失效等，一切损失由供应商自行承担。</w:t>
      </w:r>
    </w:p>
    <w:p w14:paraId="44DB23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3.3.5、医院医用耗材实行条码管理后，供应商应按照医院编码规则打印好条码并粘贴在货物外包装上扫码入库，如因此导致货物不能入库使用，由供应商自行承担相应责任及损失。</w:t>
      </w:r>
    </w:p>
    <w:p w14:paraId="27B3320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3.3.6、按国家医保政策，凡未取得国家医保医用耗材编码的视同无收费依据。对于可收费的医用耗材，供应商在选择报价产品时应选择具有国家医保医用耗材编码的产品，否则对不能完成医保对码的将取消其中标资格。</w:t>
      </w:r>
    </w:p>
    <w:p w14:paraId="10F121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3.3.7、本项目所投挂网耗材成交单价按《四川省医药机构医用耗材集中采购实施方案》文件要求进行动态浮动，每次结算以本项目成交单价、截至上月末全省医疗机构采购加权平均价和联动参考价中最低价执行。</w:t>
      </w:r>
    </w:p>
    <w:p w14:paraId="6B41688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3.3.8、项目成交后，供应商以采购人实际需求提供合格货物，分批供货，双方据实结算，结算金额=实际用量×单价（以本项目成交单价、截至上月末全省医疗机构采购加权平均价和联动参考价中最低价执行）。</w:t>
      </w:r>
    </w:p>
    <w:p w14:paraId="5E8D51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3.3.8.1、本项目要求供应商报价为包干价，是完成本项目全部工作内容的价格体现，已包括供应商完成本项目所需的一切费用（例如货物设计、材料、制造、包装、运输、搬运、人工服务等所有其他有关各项的含税费用），采购人不因市场风险、价格波动等情况向供应商支付风险补偿和成本补偿等费用。</w:t>
      </w:r>
    </w:p>
    <w:p w14:paraId="4F3A148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3.3.8.2、本项目货物未来购置数量采购人当前无法确定，为预计采购数量，供应商成交后，根据采购人的需求进行供货，最终货物采购数量以合同履行期限内采购人实际需求为准。</w:t>
      </w:r>
    </w:p>
    <w:p w14:paraId="22085D6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3.3.8.3、结算时以采购人实际需要的货物购置数量乘以各项标的单价为准，合同履行期内，最终采购人货物采购总金额不超过本项目合同总价。</w:t>
      </w:r>
    </w:p>
    <w:p w14:paraId="2D25CFE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3.3.9、供应商须有专人负责与采购人业务接洽，接洽人员应随时响应采购人的货物采购需求，负责联络、安排、协调货物配送、售后、对账等全流程服务。（全流程服务是指接洽人员负责联络、安排、协调货物配送至采购人指定地点期间发生的所有工作，不得将部分环节工作转嫁给采购人的职能人员，占用采购人职能人员时间），未提供全流程服务视为供应商违约。供应商不得随意变更接洽人员。</w:t>
      </w:r>
    </w:p>
    <w:p w14:paraId="29386AE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3.3.10、供应商提供合同履约期间货物会计数据统计工作，每月以电子文档形式将当月所有配送货物的时间、品名、规格、数量、单价、金额、所属科室等数据发送至采购人相关工作人员存档。</w:t>
      </w:r>
    </w:p>
    <w:p w14:paraId="35E372A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3.3.11、供应商应保证货物质量，保证货物合法合规，须提供全新的货物，符合国家相关质量标准、技术标准、安全认证，且应保证货物是全新、未使用过的原厂原包装合格正品，货物无划伤、无碰撞痕迹，无损坏等影响货物外观、性能、质量的缺陷。</w:t>
      </w:r>
    </w:p>
    <w:p w14:paraId="452CF31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3.3.12、供应商所提供的货物应符合合同约定的品牌、规格型号、主要技术参数、质量等要求。供应商所提供的货物质量技术参数应等于或优于本项目对货物质量、规格、性能的技术参数要求。本合同履行期间，若因厂家停产等不可抗力导致货物型号、参数变更，供应商其继续供货的货物质量、性能必须等于或优于原供货货物。</w:t>
      </w:r>
    </w:p>
    <w:p w14:paraId="44E6C2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3.3.13、若本项目中的质量技术要求无明确说明或质量要求不明确的，按照强制性国家标准履行；没有强制性国家标准的，按照推荐性国家标准履行；没有推荐性国家标准的，按照行业标准履行；没有国家标准、行业标准的，按照通常标准或者符合合同目的的特定标准履行，包括货物的售后和质保期时间。</w:t>
      </w:r>
    </w:p>
    <w:p w14:paraId="33D127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3.3.14、本项目采用分批供应配送的方式，供应商应及时足量供应，保证货物的储备量，确保货源稳定，节假日不能断供。供应商须保证在采购人要求的时效内送达货物，若运输过程中发生安全事故或遇不可抗力情况由供应商自行承担，采购人不承担任何责任，如造成货物受损需对采购人进行经济赔偿。 </w:t>
      </w:r>
    </w:p>
    <w:p w14:paraId="73820AB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3.3.15、供应商提供的货物质量及其标识必须符合最新的国家标准的规定，配送车辆须具备试剂耗材配送条件。</w:t>
      </w:r>
    </w:p>
    <w:p w14:paraId="1FC16C5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3.3.16、若货物需要进行冷链运输的，供应商需提供冷链配送服务，冷链配送的货物配送全程具有冷链记录，无冷链记录的采购人有权拒收货物。 </w:t>
      </w:r>
    </w:p>
    <w:p w14:paraId="51360A9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3.3.17、提供的耗材剩余使用有效期不低于总有效期的三分之二，确保采购人在使用货物过程中的安全性、有效性。 </w:t>
      </w:r>
    </w:p>
    <w:p w14:paraId="489BC36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3.3.18、供应商需按照采购合同规定的品牌、价格、规格有效期等及时供货，如成交后供货货物不能满足采购人工作需求，影响采购人工作，对采购人造成直接或间接经济损失及负面影响的，采购人有权停止供货合同，按照相关法律及规定向采购人赔偿。 </w:t>
      </w:r>
    </w:p>
    <w:p w14:paraId="1421A8B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3.3.19、供应商必须自行提供配送服务，配送过程中应合理规划运输路线，路线应根据项目所在地道路分布特点进行规划、保障交货时间，配送过程中应注意货品安全，货物无丢失、污染、损坏等情况发生、无错送货少送货等情况。 </w:t>
      </w:r>
    </w:p>
    <w:p w14:paraId="461631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3.3.20、因标的物不符合质量要求，致使不能实现合同目的的，采购人可以拒绝接受标的物或者解除合同。采购人拒绝接受标的物或者解除合同的，标的物毁损、灭失的风险由供应商承担。</w:t>
      </w:r>
    </w:p>
    <w:p w14:paraId="2EB5B34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3.3.21、若供应商所供的货物经国家行政部门检查判定为不符合国家相关标准，导致采购人因使用供应商不符合国家相关标准的货物而遭受国家相关部门处罚，所产生的罚款和法律责任全部由供应商负责承担和缴纳。</w:t>
      </w:r>
    </w:p>
    <w:p w14:paraId="3E32DEC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3.3.22、货物的现场移动、安装、调试、启动监督及技术支持等。</w:t>
      </w:r>
    </w:p>
    <w:p w14:paraId="02980F7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3.3.23、提供货物组装和维修所需的专用工具和辅助材料。</w:t>
      </w:r>
    </w:p>
    <w:p w14:paraId="79C90ED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3.3.24、供应商提供操作（使用）培训，其费用包含在项目报价内。保证采购人操作（使用）人员能熟练、独立操作（使用），如未达到，医院有权延后支付合同所约定款项。</w:t>
      </w:r>
    </w:p>
    <w:p w14:paraId="62367B9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3.3.25、在正常使用过程中，如存在货物质量问题，供应商须在价格不变的情况下无条件更换符合采购人使用要求质量更好的货物供采购人使用。如因货物质量问题导致医疗纠纷或事故，供应商必须承担全部民事赔偿、行政及刑事法律责任。</w:t>
      </w:r>
    </w:p>
    <w:p w14:paraId="0F6D67E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3.3.26、供应商所提供的货物必须证照齐全、有效，所有资质材料复印件必须加盖供应商鲜章。同时供应商应关注所提供证件有效期，保证在有效期结束前一个月内及时更换证件，否则应承担相应法律责任。</w:t>
      </w:r>
    </w:p>
    <w:p w14:paraId="435E1AA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3.3.27、货物自采购人验收之日起30日内，发生质量问题，采购人可以选择退货、换货；货物超出采购人验收之日起30日的，发生质量问题，采购人可以选择换货，供应商须更换可正常使用的新货物。供应商提供因货物质量问题产生的上门货物退换服务。货物出现质量问题，由供应商派人到采购人指定的院内地点和采购人指定人员对接，按采购人工作人员诉求按时提供解释和货物退换服务。</w:t>
      </w:r>
    </w:p>
    <w:p w14:paraId="3276448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3.3.28、在质保期内所发现的缺陷，采购人应尽快通知供应商，供应商应在采购人通知后</w:t>
      </w:r>
      <w:r>
        <w:rPr>
          <w:rFonts w:hint="eastAsia" w:ascii="仿宋" w:hAnsi="仿宋" w:eastAsia="仿宋" w:cs="仿宋"/>
          <w:color w:val="FF0000"/>
          <w:kern w:val="2"/>
          <w:sz w:val="28"/>
          <w:szCs w:val="28"/>
          <w:lang w:val="en-US" w:eastAsia="zh-CN" w:bidi="ar-SA"/>
        </w:rPr>
        <w:t>2日内</w:t>
      </w:r>
      <w:r>
        <w:rPr>
          <w:rFonts w:hint="eastAsia" w:ascii="仿宋" w:hAnsi="仿宋" w:eastAsia="仿宋" w:cs="仿宋"/>
          <w:kern w:val="2"/>
          <w:sz w:val="28"/>
          <w:szCs w:val="28"/>
          <w:lang w:val="en-US" w:eastAsia="zh-CN" w:bidi="ar-SA"/>
        </w:rPr>
        <w:t>到采购人院内指定地点提供服务或解决故障问题，免费退换有缺陷的货物。</w:t>
      </w:r>
    </w:p>
    <w:p w14:paraId="00949E8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3.3.29、供应商应定期进行回访，解决医用耗材使用中可能出现的疑问、不良事件等，确保医用耗材使用安全、有效。</w:t>
      </w:r>
    </w:p>
    <w:p w14:paraId="22558584">
      <w:pPr>
        <w:pageBreakBefore w:val="0"/>
        <w:numPr>
          <w:ilvl w:val="0"/>
          <w:numId w:val="0"/>
        </w:numPr>
        <w:kinsoku/>
        <w:wordWrap/>
        <w:overflowPunct/>
        <w:topLinePunct w:val="0"/>
        <w:autoSpaceDE/>
        <w:autoSpaceDN/>
        <w:bidi w:val="0"/>
        <w:adjustRightInd/>
        <w:snapToGrid/>
        <w:spacing w:beforeLines="50" w:afterLines="50" w:line="560" w:lineRule="exact"/>
        <w:ind w:firstLine="562" w:firstLineChars="200"/>
        <w:outlineLvl w:val="1"/>
        <w:rPr>
          <w:rFonts w:hint="eastAsia" w:ascii="仿宋" w:hAnsi="仿宋" w:eastAsia="仿宋" w:cs="仿宋"/>
          <w:b/>
          <w:bCs/>
          <w:sz w:val="28"/>
          <w:szCs w:val="28"/>
          <w:lang w:val="en-US" w:eastAsia="zh-CN"/>
        </w:rPr>
      </w:pPr>
      <w:r>
        <w:rPr>
          <w:rFonts w:hint="eastAsia" w:ascii="黑体" w:hAnsi="黑体" w:eastAsia="黑体" w:cs="黑体"/>
          <w:b/>
          <w:bCs/>
          <w:sz w:val="28"/>
          <w:szCs w:val="28"/>
          <w:lang w:val="en-US" w:eastAsia="zh-CN"/>
        </w:rPr>
        <w:t>3.4、商务要求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此节内容供应商在商务</w:t>
      </w:r>
      <w:r>
        <w:rPr>
          <w:rFonts w:hint="eastAsia" w:ascii="仿宋" w:hAnsi="仿宋" w:eastAsia="仿宋" w:cs="仿宋"/>
          <w:b/>
          <w:bCs/>
          <w:color w:val="auto"/>
          <w:sz w:val="28"/>
          <w:szCs w:val="28"/>
          <w:lang w:eastAsia="zh-CN"/>
        </w:rPr>
        <w:t>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23D5788A">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3.4.1、合同履行期限：本项目为采一签三项目，合同一年一签。合同履约期限为合同生效之日起一年，或合同金额使用完毕，两者以先到为准。</w:t>
      </w:r>
    </w:p>
    <w:p w14:paraId="1C18BB71">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3.4.2、交货时间：本项目采用零星分批供货方式供货，本合同履行期内采购人每月分N次电话通知供应商送货时间、货物品名、货物数量、型号规格、配送地点等。供应商接采购人通知送货，不论采购人货物需求规模大小，供应商均应保证按时按质供货。采购人可做采购数量增减调整，供应商不得提出附加条件。每批次交货时间为采购人向供应商发出通知15日内，由供应商负责送货至采购人指定地点。</w:t>
      </w:r>
    </w:p>
    <w:p w14:paraId="2F390650">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3.4.3、交货地点：四川省大竹县白塔街道青年路99号，大竹县人民医院医学装备科指定库房（门诊大楼八楼、十楼或外科大楼负一楼或采购人指定地点）。货物交付采购人之前，货物的损毁、灭失风险由供应商承担。</w:t>
      </w:r>
    </w:p>
    <w:p w14:paraId="236B95DF">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3.4.4、付款方式</w:t>
      </w:r>
    </w:p>
    <w:p w14:paraId="79A3025B">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3.4.4.1、支付方式：</w:t>
      </w:r>
      <w:r>
        <w:rPr>
          <w:rFonts w:hint="eastAsia" w:ascii="仿宋" w:hAnsi="仿宋" w:eastAsia="仿宋" w:cs="仿宋"/>
          <w:color w:val="FF0000"/>
          <w:sz w:val="28"/>
          <w:szCs w:val="28"/>
          <w:lang w:val="en-US" w:eastAsia="zh-CN"/>
        </w:rPr>
        <w:t>分期付款</w:t>
      </w:r>
    </w:p>
    <w:p w14:paraId="0C2655E3">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3.4.4.2、付款进度安排</w:t>
      </w:r>
    </w:p>
    <w:p w14:paraId="49CB8B15">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3.4.4.2.1、合同履行期间，本项目采购总金额在达到合同总价前，采购人和供应商每月核算一次供应商所供货物采购数量和金额。</w:t>
      </w:r>
    </w:p>
    <w:p w14:paraId="75C6DC50">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3.4.4.2.2、每月28号前，供应商应完成与采购人当月货款的核算工作。供应商提供合同履行期间货物会计数据统计的电子文档给采购人存档。</w:t>
      </w:r>
    </w:p>
    <w:p w14:paraId="3D64EB45">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3.4.4.2.3、采购人采用银行转账方式付款，采购人付款前，供应商必须提供货物结算清单（采购人出具的验收、签收资料）给采购人核对，供应商的结算清单应清楚、准确、真实。供应商必须出具国家认可的足额有效发票，供应商为一般纳税人的，应当提供增值税专用发票。供应商未按前款要求提供资料和票据的，采购人有权拒绝付款。</w:t>
      </w:r>
    </w:p>
    <w:p w14:paraId="5B50E7FA">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3.4.4.2.4、采购人在供应商所供货物使用（货物无任何质量问题、证照及发票等手续齐全）且验收合格后，按医院财务制度支付货款。</w:t>
      </w:r>
    </w:p>
    <w:p w14:paraId="6C7ED513">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3.4.5、验收、交付标准和方法</w:t>
      </w:r>
    </w:p>
    <w:p w14:paraId="2BFBD825">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3.4.5.1、验收交付标准：按国家相关法律法规、行业标准、技术规范；招标文件相关技术、服务要求、中标供应商投标文件相关响应内容；中标产品生产厂家出具的产品说明书、技术白皮书、医疗器械注册证或备案凭证等技术资料(如涉及)；如验收时双方对技术指标、质量要求等约定标准有相互抵触或异议的事项,双方须按照国家相关规定及招标文件相关技术、服务要求、中标供应商投标文件相关响应内容中质量要求和技术指标较严格的原则确定该事项的标准并进行验收。 </w:t>
      </w:r>
    </w:p>
    <w:p w14:paraId="304061B3">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3.4.5.2、验收交付方法：</w:t>
      </w:r>
    </w:p>
    <w:p w14:paraId="22E76ADD">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3.4.5.2.1、供应商应将货物送到采购人指定的院内地点接受采购人入库验收，采购人有权要求供应商提供每批次货物的合格资料和质量证明材料，并核实材料真实性，如供应商无正当理由不予配合或证实实际货物与合同约定的要求不符，视为供应商违约，采购人有权拒收货物并要求供应商承担违约责任。</w:t>
      </w:r>
    </w:p>
    <w:p w14:paraId="4BD8E810">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3.4.5.2.2、验货时严格执行相关规定，有货物资质证照、随货同行清单、发票、批次检验报告等文件。进口货物还需报关单和检验检疫合格报告；随货同行清单要注明货物名称、规格、型号、商品代码、数量、单价、金额、生产企业、货物注册证号、批次、有效期、国家医保医用耗材编码及货物流水码等信息，并加盖供应商鲜章。需冷链管理的医疗器械，验收人员应核查运输过程中的温度记录，确保货物在运输过程中未出现温度异常，货到后，应立即转移至医院指定的冷藏设备中保存，并在冷链交接记录上注明保存条件及接收温度。</w:t>
      </w:r>
    </w:p>
    <w:p w14:paraId="1DE3B637">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3.4.5.2.3、本项目为分批次供货，每批次货物自供应商交付给采购人5个工作日内，采购人书面签收销售单据视为对该批次货物数量和外观验收合格。采购人应当在5个工作日内将标的物的数量或者外观不符合约定的情形通知供应商。</w:t>
      </w:r>
    </w:p>
    <w:p w14:paraId="2A674484">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当事人约定的验收期限过短，或根据标的物的性质和交易习惯，采购人在验收期限内难以完成全面检验的，该验收期限仅视为采购人对标的物的外观瑕疵提出异议的期限。合同约定的验收期限或者质量保证期短于法律、行政法规规定期限的，应当以法律、行政法规规定的期限为准。当事人对验收期限未作约定，采购人签收的送货单、确认单等载明标的物数量、型号、规格的，推定采购人已经对数量和外观瑕疵进行检验，但是有相关证据足以推翻的除外。</w:t>
      </w:r>
    </w:p>
    <w:p w14:paraId="34551E5D">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3.4.5.2.4、验收时如发现供应商提供的标的物和服务有不符合本合同规定之情形，验收时应做出详尽的现场记录，或由验收方与供应商签署备忘录，此现场记录或备忘录可用作补充、缺失和进行整改的有效证据，由此产生的时间延误与有关费用由供应商承担，验收期限相应顺延。</w:t>
      </w:r>
    </w:p>
    <w:p w14:paraId="1E08A44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3.4.6、质量保修范围和保修期</w:t>
      </w:r>
    </w:p>
    <w:p w14:paraId="38DC813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3.4.6.1、供应商应保证提供的货物完全符合采购文件规定的质量、规格和性能要求。供应商应保证货物在正确安装、正常使用和保养条件下，在其使用寿命期内具备合同约定的性能。</w:t>
      </w:r>
    </w:p>
    <w:p w14:paraId="335E545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3.4.6.2、供应商提供货物的质保期按国家标准或行业标准执行</w:t>
      </w:r>
      <w:r>
        <w:rPr>
          <w:rFonts w:hint="eastAsia" w:ascii="仿宋" w:hAnsi="仿宋" w:eastAsia="仿宋" w:cs="仿宋"/>
          <w:color w:val="auto"/>
          <w:sz w:val="28"/>
          <w:szCs w:val="28"/>
          <w:lang w:val="en-US" w:eastAsia="zh-CN"/>
        </w:rPr>
        <w:t>（二者选其优）</w:t>
      </w:r>
      <w:r>
        <w:rPr>
          <w:rFonts w:hint="eastAsia" w:ascii="仿宋" w:hAnsi="仿宋" w:eastAsia="仿宋" w:cs="仿宋"/>
          <w:color w:val="auto"/>
          <w:kern w:val="2"/>
          <w:sz w:val="28"/>
          <w:szCs w:val="28"/>
          <w:lang w:val="en-US" w:eastAsia="zh-CN" w:bidi="ar-SA"/>
        </w:rPr>
        <w:t>，质保期从货物交付采购人验收合格之日起计算。质保期内如果货物出现非人为的质量问题，供应商应免费提供维修、更换或退货等服务，其产生的一切费用（含货物、人工、运输费等）由供应商承担。货物更换必须是等于或优于本合同要求的。</w:t>
      </w:r>
    </w:p>
    <w:p w14:paraId="36BB2C1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3.4.6.3、在保修期内所发现的缺陷，供应商在收到采购人通知后，应在</w:t>
      </w:r>
      <w:r>
        <w:rPr>
          <w:rFonts w:hint="eastAsia" w:ascii="仿宋" w:hAnsi="仿宋" w:eastAsia="仿宋" w:cs="仿宋"/>
          <w:color w:val="FF0000"/>
          <w:kern w:val="2"/>
          <w:sz w:val="28"/>
          <w:szCs w:val="28"/>
          <w:lang w:val="en-US" w:eastAsia="zh-CN" w:bidi="ar-SA"/>
        </w:rPr>
        <w:t>2日内（或双方协商的时间内）</w:t>
      </w:r>
      <w:r>
        <w:rPr>
          <w:rFonts w:hint="eastAsia" w:ascii="仿宋" w:hAnsi="仿宋" w:eastAsia="仿宋" w:cs="仿宋"/>
          <w:color w:val="auto"/>
          <w:kern w:val="2"/>
          <w:sz w:val="28"/>
          <w:szCs w:val="28"/>
          <w:lang w:val="en-US" w:eastAsia="zh-CN" w:bidi="ar-SA"/>
        </w:rPr>
        <w:t>以合理的速度免费维修或更换有缺陷的货物或部件。</w:t>
      </w:r>
    </w:p>
    <w:p w14:paraId="7526A71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kern w:val="2"/>
          <w:sz w:val="28"/>
          <w:szCs w:val="28"/>
          <w:lang w:val="en-US" w:eastAsia="zh-CN" w:bidi="ar-SA"/>
        </w:rPr>
        <w:t>3.4.6.4、在验收期或质保期内，如果标的物的数量、规格、质量或性能与合同和投标文件不符，或证实是有缺陷的，包括潜在的缺陷或使用不符合要求的材料等，以及出现某种或某部件出现经常性故障，供应商</w:t>
      </w:r>
      <w:r>
        <w:rPr>
          <w:rFonts w:hint="eastAsia" w:ascii="仿宋" w:hAnsi="仿宋" w:eastAsia="仿宋" w:cs="仿宋"/>
          <w:color w:val="auto"/>
          <w:kern w:val="2"/>
          <w:sz w:val="28"/>
          <w:szCs w:val="28"/>
          <w:highlight w:val="none"/>
          <w:lang w:val="en-US" w:eastAsia="zh-CN" w:bidi="ar-SA"/>
        </w:rPr>
        <w:t>应提供维修、更换或退货等服务，其产生的一切费用（含货物、人工、运输费等）由供应商承担。货物更换必须是等于或优于本合同要求的</w:t>
      </w:r>
      <w:r>
        <w:rPr>
          <w:rFonts w:hint="eastAsia" w:ascii="仿宋" w:hAnsi="仿宋" w:eastAsia="仿宋" w:cs="仿宋"/>
          <w:color w:val="auto"/>
          <w:sz w:val="28"/>
          <w:szCs w:val="28"/>
          <w:highlight w:val="none"/>
          <w:lang w:val="en-US" w:eastAsia="zh-CN"/>
        </w:rPr>
        <w:t>。</w:t>
      </w:r>
    </w:p>
    <w:p w14:paraId="1406AD2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b w:val="0"/>
          <w:bCs/>
          <w:color w:val="auto"/>
          <w:sz w:val="28"/>
          <w:szCs w:val="28"/>
          <w:u w:val="none"/>
          <w:lang w:val="en-US" w:eastAsia="zh-CN"/>
        </w:rPr>
        <w:t>供应商应在</w:t>
      </w:r>
      <w:r>
        <w:rPr>
          <w:rFonts w:hint="eastAsia" w:ascii="仿宋" w:hAnsi="仿宋" w:eastAsia="仿宋" w:cs="仿宋"/>
          <w:b w:val="0"/>
          <w:bCs/>
          <w:color w:val="FF0000"/>
          <w:sz w:val="28"/>
          <w:szCs w:val="28"/>
          <w:u w:val="none"/>
          <w:lang w:val="en-US" w:eastAsia="zh-CN"/>
        </w:rPr>
        <w:t>2日内（或双方协商的时间内）</w:t>
      </w:r>
      <w:r>
        <w:rPr>
          <w:rFonts w:hint="eastAsia" w:ascii="仿宋" w:hAnsi="仿宋" w:eastAsia="仿宋" w:cs="仿宋"/>
          <w:b w:val="0"/>
          <w:bCs/>
          <w:color w:val="auto"/>
          <w:sz w:val="28"/>
          <w:szCs w:val="28"/>
          <w:u w:val="none"/>
          <w:lang w:val="en-US" w:eastAsia="zh-CN"/>
        </w:rPr>
        <w:t>完成维修或更换有缺陷的货物</w:t>
      </w:r>
      <w:r>
        <w:rPr>
          <w:rFonts w:hint="eastAsia" w:ascii="仿宋" w:hAnsi="仿宋" w:eastAsia="仿宋" w:cs="仿宋"/>
          <w:b w:val="0"/>
          <w:bCs/>
          <w:sz w:val="28"/>
          <w:szCs w:val="28"/>
          <w:u w:val="none"/>
          <w:lang w:val="en-US" w:eastAsia="zh-CN"/>
        </w:rPr>
        <w:t>或部件，否则视为供应商违约</w:t>
      </w:r>
      <w:r>
        <w:rPr>
          <w:rFonts w:hint="eastAsia" w:ascii="仿宋" w:hAnsi="仿宋" w:eastAsia="仿宋" w:cs="仿宋"/>
          <w:color w:val="auto"/>
          <w:kern w:val="2"/>
          <w:sz w:val="28"/>
          <w:szCs w:val="28"/>
          <w:lang w:val="en-US" w:eastAsia="zh-CN" w:bidi="ar-SA"/>
        </w:rPr>
        <w:t>。供应商怠于或不履行或瑕疵履行售后义务的或更换的标的物仍存在问题或在约定的时间内未能弥补缺陷，采购人可采取必要的补救措施（采购人自行更换或委托第三方替代供应商更换），但其风险和费用将由供应商承担，采购人根据合同约定对供应商行使的其他权利不受影响，同时视为供应商违约，采购人可要求供应商承担违约责任。</w:t>
      </w:r>
    </w:p>
    <w:p w14:paraId="0F594ED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3.4.7、违约责任</w:t>
      </w:r>
    </w:p>
    <w:p w14:paraId="18409FE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3.4.7.1、供应商必须严格按照国家相关法律法规和本文件要求及供应商提交的响应文件约定履行合同，按时全面履行本项目的各项义务，供应商不履行本项目义务或瑕疵履行本项目义务或延迟履行本项目义务或履行合同义务不符合合同约定的，则成交供应商违约。</w:t>
      </w:r>
    </w:p>
    <w:p w14:paraId="5EE67BCA">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根据《中华人民共和国民法典》合同编的法律规定，采购人有权解除合同，并要求成交供应商承担相应违约责任并支付相应金额的违约金。采购人有权直接从成交供应商的合同货款中扣除违约金，成交供应商因违约行为偿付的违约金不足以弥补采购人损失的，还应按采购人损失尚未弥补的部分，支付赔偿金全额赔偿采购人损失。</w:t>
      </w:r>
    </w:p>
    <w:p w14:paraId="1A621DB0">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有下列情形之一行为视为供应商违约，采购人有权按照以下条款要求成交供应商承担违约金及违约责任：</w:t>
      </w:r>
    </w:p>
    <w:p w14:paraId="7C552DB9">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3.4.7.2、</w:t>
      </w:r>
      <w:r>
        <w:rPr>
          <w:rFonts w:hint="eastAsia" w:ascii="仿宋" w:hAnsi="仿宋" w:eastAsia="仿宋" w:cs="仿宋"/>
          <w:color w:val="auto"/>
          <w:sz w:val="28"/>
          <w:szCs w:val="28"/>
          <w:lang w:val="en-US" w:eastAsia="zh-CN"/>
        </w:rPr>
        <w:t>成交供应商根本违约。合同履行期限内，成交供应商明确表示或者以自己的行为表明不能履行本项目合同的主要义务，或提供假冒伪劣产品、以次充好等，致使合同的目的不能实现的，则成交供应商构成根本违约。成交供应商应向采购人支付合同总价款</w:t>
      </w:r>
      <w:r>
        <w:rPr>
          <w:rFonts w:hint="eastAsia" w:ascii="仿宋" w:hAnsi="仿宋" w:eastAsia="仿宋" w:cs="仿宋"/>
          <w:color w:val="FF0000"/>
          <w:sz w:val="28"/>
          <w:szCs w:val="28"/>
          <w:lang w:val="en-US" w:eastAsia="zh-CN"/>
        </w:rPr>
        <w:t>20%</w:t>
      </w:r>
      <w:r>
        <w:rPr>
          <w:rFonts w:hint="eastAsia" w:ascii="仿宋" w:hAnsi="仿宋" w:eastAsia="仿宋" w:cs="仿宋"/>
          <w:color w:val="auto"/>
          <w:sz w:val="28"/>
          <w:szCs w:val="28"/>
          <w:lang w:val="en-US" w:eastAsia="zh-CN"/>
        </w:rPr>
        <w:t>的违约金，同时采购人有权解除合同。违约金由采购人直接从供应商合同款项中扣除。</w:t>
      </w:r>
    </w:p>
    <w:p w14:paraId="35241DE3">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3.4.7.3、</w:t>
      </w:r>
      <w:r>
        <w:rPr>
          <w:rFonts w:hint="eastAsia" w:ascii="仿宋" w:hAnsi="仿宋" w:eastAsia="仿宋" w:cs="仿宋"/>
          <w:color w:val="auto"/>
          <w:sz w:val="28"/>
          <w:szCs w:val="28"/>
          <w:lang w:val="en-US" w:eastAsia="zh-CN"/>
        </w:rPr>
        <w:t>成交供应商延迟履约。成交供应商提供的货物或服务未按合同约定时间达成的，则成交供应商构成延迟履约。成交供应商每有一次违约行为，应承担</w:t>
      </w:r>
      <w:r>
        <w:rPr>
          <w:rFonts w:hint="eastAsia" w:ascii="仿宋" w:hAnsi="仿宋" w:eastAsia="仿宋" w:cs="仿宋"/>
          <w:color w:val="FF0000"/>
          <w:sz w:val="28"/>
          <w:szCs w:val="28"/>
          <w:lang w:val="en-US" w:eastAsia="zh-CN"/>
        </w:rPr>
        <w:t>2000元/次</w:t>
      </w:r>
      <w:r>
        <w:rPr>
          <w:rFonts w:hint="eastAsia" w:ascii="仿宋" w:hAnsi="仿宋" w:eastAsia="仿宋" w:cs="仿宋"/>
          <w:color w:val="auto"/>
          <w:sz w:val="28"/>
          <w:szCs w:val="28"/>
          <w:lang w:val="en-US" w:eastAsia="zh-CN"/>
        </w:rPr>
        <w:t>的违约金，同时经采购人催告后供应商应继续按合同约定履行合同。若供应商一年内</w:t>
      </w:r>
      <w:r>
        <w:rPr>
          <w:rFonts w:hint="eastAsia" w:ascii="仿宋" w:hAnsi="仿宋" w:eastAsia="仿宋" w:cs="仿宋"/>
          <w:color w:val="FF0000"/>
          <w:sz w:val="28"/>
          <w:szCs w:val="28"/>
          <w:lang w:val="en-US" w:eastAsia="zh-CN"/>
        </w:rPr>
        <w:t>3次</w:t>
      </w:r>
      <w:r>
        <w:rPr>
          <w:rFonts w:hint="eastAsia" w:ascii="仿宋" w:hAnsi="仿宋" w:eastAsia="仿宋" w:cs="仿宋"/>
          <w:color w:val="auto"/>
          <w:sz w:val="28"/>
          <w:szCs w:val="28"/>
          <w:lang w:val="en-US" w:eastAsia="zh-CN"/>
        </w:rPr>
        <w:t>延迟履约，则成交供应商应向采购人支付合同总价款</w:t>
      </w:r>
      <w:r>
        <w:rPr>
          <w:rFonts w:hint="eastAsia" w:ascii="仿宋" w:hAnsi="仿宋" w:eastAsia="仿宋" w:cs="仿宋"/>
          <w:color w:val="FF0000"/>
          <w:sz w:val="28"/>
          <w:szCs w:val="28"/>
          <w:lang w:val="en-US" w:eastAsia="zh-CN"/>
        </w:rPr>
        <w:t>10%</w:t>
      </w:r>
      <w:r>
        <w:rPr>
          <w:rFonts w:hint="eastAsia" w:ascii="仿宋" w:hAnsi="仿宋" w:eastAsia="仿宋" w:cs="仿宋"/>
          <w:color w:val="auto"/>
          <w:sz w:val="28"/>
          <w:szCs w:val="28"/>
          <w:lang w:val="en-US" w:eastAsia="zh-CN"/>
        </w:rPr>
        <w:t>的违约金，同时采购人有权解除合同。违约金由采购人直接从供应商当期合同款项中扣除。</w:t>
      </w:r>
    </w:p>
    <w:p w14:paraId="023A07B8">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3.4.7.4、</w:t>
      </w:r>
      <w:r>
        <w:rPr>
          <w:rFonts w:hint="eastAsia" w:ascii="仿宋" w:hAnsi="仿宋" w:eastAsia="仿宋" w:cs="仿宋"/>
          <w:color w:val="auto"/>
          <w:sz w:val="28"/>
          <w:szCs w:val="28"/>
          <w:lang w:val="en-US" w:eastAsia="zh-CN"/>
        </w:rPr>
        <w:t>成交供应商瑕疵履约。成交供应商提供的货物或服务与本文件要求或采购人采购需求不符的，则成交供应商构成瑕疵履约。成交供应商瑕疵履约的应承担及时补救或者减少报酬等违约责任，同时成交供应商每有一次违约行为，应承担</w:t>
      </w:r>
      <w:r>
        <w:rPr>
          <w:rFonts w:hint="eastAsia" w:ascii="仿宋" w:hAnsi="仿宋" w:eastAsia="仿宋" w:cs="仿宋"/>
          <w:color w:val="FF0000"/>
          <w:sz w:val="28"/>
          <w:szCs w:val="28"/>
          <w:lang w:val="en-US" w:eastAsia="zh-CN"/>
        </w:rPr>
        <w:t>2000元/次</w:t>
      </w:r>
      <w:r>
        <w:rPr>
          <w:rFonts w:hint="eastAsia" w:ascii="仿宋" w:hAnsi="仿宋" w:eastAsia="仿宋" w:cs="仿宋"/>
          <w:color w:val="auto"/>
          <w:sz w:val="28"/>
          <w:szCs w:val="28"/>
          <w:lang w:val="en-US" w:eastAsia="zh-CN"/>
        </w:rPr>
        <w:t>的违约金，供应商出现</w:t>
      </w:r>
      <w:r>
        <w:rPr>
          <w:rFonts w:hint="eastAsia" w:ascii="仿宋" w:hAnsi="仿宋" w:eastAsia="仿宋" w:cs="仿宋"/>
          <w:color w:val="FF0000"/>
          <w:sz w:val="28"/>
          <w:szCs w:val="28"/>
          <w:lang w:val="en-US" w:eastAsia="zh-CN"/>
        </w:rPr>
        <w:t>3次</w:t>
      </w:r>
      <w:r>
        <w:rPr>
          <w:rFonts w:hint="eastAsia" w:ascii="仿宋" w:hAnsi="仿宋" w:eastAsia="仿宋" w:cs="仿宋"/>
          <w:color w:val="auto"/>
          <w:sz w:val="28"/>
          <w:szCs w:val="28"/>
          <w:lang w:val="en-US" w:eastAsia="zh-CN"/>
        </w:rPr>
        <w:t>本款所列违约行为，成交供应商应向采购人支付合同总价款</w:t>
      </w:r>
      <w:r>
        <w:rPr>
          <w:rFonts w:hint="eastAsia" w:ascii="仿宋" w:hAnsi="仿宋" w:eastAsia="仿宋" w:cs="仿宋"/>
          <w:color w:val="FF0000"/>
          <w:sz w:val="28"/>
          <w:szCs w:val="28"/>
          <w:lang w:val="en-US" w:eastAsia="zh-CN"/>
        </w:rPr>
        <w:t>10%</w:t>
      </w:r>
      <w:r>
        <w:rPr>
          <w:rFonts w:hint="eastAsia" w:ascii="仿宋" w:hAnsi="仿宋" w:eastAsia="仿宋" w:cs="仿宋"/>
          <w:color w:val="auto"/>
          <w:sz w:val="28"/>
          <w:szCs w:val="28"/>
          <w:lang w:val="en-US" w:eastAsia="zh-CN"/>
        </w:rPr>
        <w:t>的违约金，同时采购人有权解除合同。违约金由采购人直接从供应商当期合同款项中扣除。经采购人同意后，供应商更正瑕疵违约行为后，可以继续按合同约定履行合同。</w:t>
      </w:r>
    </w:p>
    <w:p w14:paraId="03187E75">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3.4.7.5、</w:t>
      </w:r>
      <w:r>
        <w:rPr>
          <w:rFonts w:hint="eastAsia" w:ascii="仿宋" w:hAnsi="仿宋" w:eastAsia="仿宋" w:cs="仿宋"/>
          <w:color w:val="auto"/>
          <w:sz w:val="28"/>
          <w:szCs w:val="28"/>
          <w:lang w:val="en-US" w:eastAsia="zh-CN"/>
        </w:rPr>
        <w:t>如任何第三方经法院（或仲裁机构）裁决有权对供应商交付标的物主张权利或国家机关依法对标的物进行没收查处的，供应商除应向采购人返还已收款项外，还应按合同总价款</w:t>
      </w:r>
      <w:r>
        <w:rPr>
          <w:rFonts w:hint="eastAsia" w:ascii="仿宋" w:hAnsi="仿宋" w:eastAsia="仿宋" w:cs="仿宋"/>
          <w:color w:val="FF0000"/>
          <w:sz w:val="28"/>
          <w:szCs w:val="28"/>
          <w:lang w:val="en-US" w:eastAsia="zh-CN"/>
        </w:rPr>
        <w:t>20%</w:t>
      </w:r>
      <w:r>
        <w:rPr>
          <w:rFonts w:hint="eastAsia" w:ascii="仿宋" w:hAnsi="仿宋" w:eastAsia="仿宋" w:cs="仿宋"/>
          <w:color w:val="auto"/>
          <w:sz w:val="28"/>
          <w:szCs w:val="28"/>
          <w:lang w:val="en-US" w:eastAsia="zh-CN"/>
        </w:rPr>
        <w:t>向采购人支付违约金并赔偿因此给采购人造成的一切损失。</w:t>
      </w:r>
    </w:p>
    <w:p w14:paraId="01528490">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3.4.7.6、</w:t>
      </w:r>
      <w:r>
        <w:rPr>
          <w:rFonts w:hint="eastAsia" w:ascii="仿宋" w:hAnsi="仿宋" w:eastAsia="仿宋" w:cs="仿宋"/>
          <w:color w:val="auto"/>
          <w:sz w:val="28"/>
          <w:szCs w:val="28"/>
          <w:lang w:val="en-US" w:eastAsia="zh-CN"/>
        </w:rPr>
        <w:t>供应商偿付的违约金不足以弥补采购人损失的，还应按采购人损失尚未弥补的部分支付赔偿金给采购人。</w:t>
      </w:r>
    </w:p>
    <w:p w14:paraId="4B1BE159">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3.4.7.7、</w:t>
      </w:r>
      <w:r>
        <w:rPr>
          <w:rFonts w:hint="eastAsia" w:ascii="仿宋" w:hAnsi="仿宋" w:eastAsia="仿宋" w:cs="仿宋"/>
          <w:color w:val="auto"/>
          <w:sz w:val="28"/>
          <w:szCs w:val="28"/>
          <w:lang w:val="en-US" w:eastAsia="zh-CN"/>
        </w:rPr>
        <w:t>分包、转包的违约责任。本合同不允许供应商将项目分包、转包给任何第三方，否则采购人可以解除合同，并可要求供应商向采购人缴纳合同金额</w:t>
      </w:r>
      <w:r>
        <w:rPr>
          <w:rFonts w:hint="eastAsia" w:ascii="仿宋" w:hAnsi="仿宋" w:eastAsia="仿宋" w:cs="仿宋"/>
          <w:color w:val="FF0000"/>
          <w:sz w:val="28"/>
          <w:szCs w:val="28"/>
          <w:lang w:val="en-US" w:eastAsia="zh-CN"/>
        </w:rPr>
        <w:t>20%</w:t>
      </w:r>
      <w:r>
        <w:rPr>
          <w:rFonts w:hint="eastAsia" w:ascii="仿宋" w:hAnsi="仿宋" w:eastAsia="仿宋" w:cs="仿宋"/>
          <w:color w:val="auto"/>
          <w:sz w:val="28"/>
          <w:szCs w:val="28"/>
          <w:lang w:val="en-US" w:eastAsia="zh-CN"/>
        </w:rPr>
        <w:t>的违约金。</w:t>
      </w:r>
    </w:p>
    <w:p w14:paraId="23D182B6">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3.4.7.8、</w:t>
      </w:r>
      <w:r>
        <w:rPr>
          <w:rFonts w:hint="eastAsia" w:ascii="仿宋" w:hAnsi="仿宋" w:eastAsia="仿宋" w:cs="仿宋"/>
          <w:kern w:val="2"/>
          <w:sz w:val="28"/>
          <w:szCs w:val="28"/>
          <w:lang w:val="en-US" w:eastAsia="zh-CN" w:bidi="ar-SA"/>
        </w:rPr>
        <w:t>供应商应做好各项安全保障工作和预案，做好员工安全教育工作，严格执行国家相关法律法规、安全规章制度，遵守采购人的院内各项制度和要求，并在指定的区域内进行作业，采取有效的安全措施，确保安全履行合同。合同履行过程中由供应商及员工原因造成的一切安全事故、人身伤亡、经济损失均由供应商自行负责承担，其责任与采购人无关。若供应商造成采购人损失的，包括但不限于采购人本身的财产损失或人身伤害或由此而导致的采购人对任何第三方的法律责任等，供应商对此均应承担全部的赔偿责任和法律</w:t>
      </w:r>
      <w:r>
        <w:rPr>
          <w:rFonts w:hint="eastAsia" w:ascii="仿宋" w:hAnsi="仿宋" w:eastAsia="仿宋" w:cs="仿宋"/>
          <w:color w:val="auto"/>
          <w:sz w:val="28"/>
          <w:szCs w:val="28"/>
          <w:lang w:val="en-US" w:eastAsia="zh-CN"/>
        </w:rPr>
        <w:t>责任。</w:t>
      </w:r>
    </w:p>
    <w:p w14:paraId="0F25F0CC">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标的物包装、运输要求</w:t>
      </w:r>
    </w:p>
    <w:p w14:paraId="31117A84">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1、供应商提供的货物应当商品包装，应当采取足以保护标的物且有利于节约资源、保护生态环境的包装方式，包装应适应于远距离运输、防潮、防震、防锈和防野蛮装卸，以确保货物安全无损运抵采购人指定地点。货物包装应干净、结实、无破损、封口严密、方便储存、运输和使用。包装上标明品名、规格、生产厂家、出厂日期或质保期。</w:t>
      </w:r>
    </w:p>
    <w:p w14:paraId="2E644B9D">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2、供应商所供货物包装涉及国家强制要求或有行业通用标准的，其包装应符合相关质量标准、技术标准、安全认证和符合合同目的的特定标准。</w:t>
      </w:r>
    </w:p>
    <w:p w14:paraId="2E0F8347">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3、供应商负责货物的运输、搬运、装卸、堆叠码放工作及费用。供应商保证所提供的货物在运输、搬运、装卸、堆叠码放和仓储过程中有足够的包装保护，防止货物受潮、变质、受到冲撞以及其他不可预见的损坏。供应商提供货物在上述运送过程中造成货物泄漏、损坏、灭失等，造成的一切经济损失由供应商自行承担。</w:t>
      </w:r>
    </w:p>
    <w:p w14:paraId="63EDB14D">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4、供货货物包装标识清楚，符合《医疗器械说明书和标签管理规定》要求，特别是进口货物一定要有中文标识。中文标识至少应包括：货物名称、型号、规格、有效期、医疗器械注册证编号或者备案凭证编号、注册人（代理人）或者生产企业的名称、住所、生产地址、联系方式及生产许可证编号等。</w:t>
      </w:r>
    </w:p>
    <w:p w14:paraId="53750E32">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5、对运输、存储条件有特殊要求的货物（如冷链管理医疗器械等）需按照说明书和标签标示要求进行运输与贮存，并做好相关记录。需单独包装、且应在外包装显著位置说明运输及存储条件，以便医院收货后能按要求保存或迅速移交科室存放，否则由此造成的一切损失由供应商承担。冷链管理医疗器械根据《医疗器械冷链（运输、贮存）管理指南》（2016第154号）的相关要求执行。</w:t>
      </w:r>
    </w:p>
    <w:p w14:paraId="7EA4CE5A">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6、每批次货物应附随货同行清单，清单按合同或采购人要求制作。</w:t>
      </w:r>
    </w:p>
    <w:p w14:paraId="32325DB3">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7、本项目涉及商品包装和快递包装的，除另有要求外，中标人所出售的货物包装应当参照财政部办公厅、生态环境部办公厅及国家邮政局办公室联合发布的《商品包装政府采购需求标准(试行)》《快递包装政府采购需求标准(试行)》等要求执行。</w:t>
      </w:r>
    </w:p>
    <w:p w14:paraId="4B5EEB67">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8、供应商负责将货物运送到采购人指定地点，包括运输费、装卸费、搬运费等全部由供应商承担。</w:t>
      </w:r>
    </w:p>
    <w:p w14:paraId="512C0208">
      <w:pPr>
        <w:pageBreakBefore w:val="0"/>
        <w:numPr>
          <w:ilvl w:val="0"/>
          <w:numId w:val="0"/>
        </w:numPr>
        <w:kinsoku/>
        <w:wordWrap/>
        <w:overflowPunct/>
        <w:topLinePunct w:val="0"/>
        <w:autoSpaceDE/>
        <w:autoSpaceDN/>
        <w:bidi w:val="0"/>
        <w:adjustRightInd/>
        <w:snapToGrid/>
        <w:spacing w:beforeLines="50" w:afterLines="50" w:line="560" w:lineRule="exact"/>
        <w:ind w:firstLine="562" w:firstLineChars="200"/>
        <w:outlineLvl w:val="1"/>
        <w:rPr>
          <w:rFonts w:hint="eastAsia" w:ascii="仿宋" w:hAnsi="仿宋" w:eastAsia="仿宋" w:cs="仿宋"/>
          <w:b/>
          <w:bCs/>
          <w:color w:val="auto"/>
          <w:sz w:val="28"/>
          <w:szCs w:val="28"/>
          <w:lang w:eastAsia="zh-CN"/>
        </w:rPr>
      </w:pPr>
      <w:r>
        <w:rPr>
          <w:rFonts w:hint="eastAsia" w:ascii="黑体" w:hAnsi="黑体" w:eastAsia="黑体" w:cs="黑体"/>
          <w:b/>
          <w:bCs/>
          <w:color w:val="auto"/>
          <w:sz w:val="28"/>
          <w:szCs w:val="28"/>
          <w:lang w:val="en-US" w:eastAsia="zh-CN"/>
        </w:rPr>
        <w:t>3.5、其他要求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w:t>
      </w:r>
      <w:r>
        <w:rPr>
          <w:rFonts w:hint="eastAsia" w:ascii="仿宋" w:hAnsi="仿宋" w:eastAsia="仿宋" w:cs="仿宋"/>
          <w:b/>
          <w:bCs/>
          <w:color w:val="auto"/>
          <w:sz w:val="28"/>
          <w:szCs w:val="28"/>
          <w:lang w:eastAsia="zh-CN"/>
        </w:rPr>
        <w:t>技术、服务及其他要求应答表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23B157B8">
      <w:pPr>
        <w:ind w:firstLine="560" w:firstLineChars="200"/>
      </w:pPr>
      <w:r>
        <w:rPr>
          <w:rFonts w:hint="eastAsia" w:ascii="仿宋" w:hAnsi="仿宋" w:eastAsia="仿宋" w:cs="仿宋"/>
          <w:color w:val="auto"/>
          <w:kern w:val="2"/>
          <w:sz w:val="28"/>
          <w:szCs w:val="28"/>
          <w:lang w:val="en-US" w:eastAsia="zh-CN" w:bidi="ar-SA"/>
        </w:rPr>
        <w:t>无。</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EF4485"/>
    <w:rsid w:val="30B81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360" w:after="360" w:line="400" w:lineRule="exact"/>
      <w:ind w:firstLine="2564" w:firstLineChars="798"/>
      <w:jc w:val="center"/>
      <w:outlineLvl w:val="0"/>
    </w:pPr>
    <w:rPr>
      <w:rFonts w:ascii="黑体" w:hAnsi="黑体" w:eastAsia="黑体"/>
      <w:b/>
      <w:kern w:val="44"/>
      <w:sz w:val="32"/>
      <w:szCs w:val="32"/>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spacing w:after="120"/>
    </w:pPr>
  </w:style>
  <w:style w:type="paragraph" w:styleId="5">
    <w:name w:val="Subtitle"/>
    <w:basedOn w:val="1"/>
    <w:next w:val="1"/>
    <w:qFormat/>
    <w:uiPriority w:val="0"/>
    <w:pPr>
      <w:spacing w:before="240" w:after="60" w:line="312" w:lineRule="auto"/>
      <w:jc w:val="center"/>
      <w:outlineLvl w:val="1"/>
    </w:pPr>
    <w:rPr>
      <w:rFonts w:ascii="Cambria" w:hAnsi="Cambria"/>
      <w:b/>
      <w:bCs/>
      <w:color w:val="000000"/>
      <w:kern w:val="28"/>
      <w:sz w:val="32"/>
      <w:szCs w:val="32"/>
    </w:rPr>
  </w:style>
  <w:style w:type="paragraph" w:styleId="6">
    <w:name w:val="Normal (Web)"/>
    <w:basedOn w:val="1"/>
    <w:unhideWhenUsed/>
    <w:qFormat/>
    <w:uiPriority w:val="0"/>
    <w:pPr>
      <w:widowControl/>
      <w:spacing w:before="100" w:beforeAutospacing="1" w:after="100" w:afterAutospacing="1"/>
      <w:jc w:val="left"/>
    </w:pPr>
    <w:rPr>
      <w:rFonts w:ascii="宋体" w:hAnsi="宋体"/>
      <w:kern w:val="0"/>
      <w:sz w:val="24"/>
    </w:rPr>
  </w:style>
  <w:style w:type="character" w:styleId="9">
    <w:name w:val="Strong"/>
    <w:basedOn w:val="8"/>
    <w:qFormat/>
    <w:uiPriority w:val="0"/>
    <w:rPr>
      <w:b/>
    </w:rPr>
  </w:style>
  <w:style w:type="paragraph" w:styleId="10">
    <w:name w:val="List Paragraph"/>
    <w:basedOn w:val="1"/>
    <w:autoRedefine/>
    <w:qFormat/>
    <w:uiPriority w:val="0"/>
    <w:pPr>
      <w:ind w:firstLine="420" w:firstLineChars="200"/>
    </w:pPr>
    <w:rPr>
      <w:szCs w:val="24"/>
    </w:rPr>
  </w:style>
  <w:style w:type="paragraph" w:customStyle="1" w:styleId="11">
    <w:name w:val="null3"/>
    <w:hidden/>
    <w:qFormat/>
    <w:uiPriority w:val="0"/>
    <w:rPr>
      <w:rFonts w:hint="eastAsia" w:asciiTheme="minorHAnsi" w:hAnsiTheme="minorHAnsi" w:eastAsiaTheme="minorEastAsia" w:cstheme="minorBidi"/>
      <w:lang w:val="en-US" w:eastAsia="zh-Hans"/>
    </w:rPr>
  </w:style>
  <w:style w:type="character" w:customStyle="1" w:styleId="12">
    <w:name w:val="font41"/>
    <w:basedOn w:val="8"/>
    <w:qFormat/>
    <w:uiPriority w:val="0"/>
    <w:rPr>
      <w:rFonts w:hint="eastAsia" w:ascii="宋体" w:hAnsi="宋体" w:eastAsia="宋体" w:cs="宋体"/>
      <w:color w:val="000000"/>
      <w:sz w:val="20"/>
      <w:szCs w:val="20"/>
      <w:u w:val="none"/>
    </w:rPr>
  </w:style>
  <w:style w:type="character" w:customStyle="1" w:styleId="13">
    <w:name w:val="font51"/>
    <w:basedOn w:val="8"/>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8529</Words>
  <Characters>9099</Characters>
  <Lines>0</Lines>
  <Paragraphs>0</Paragraphs>
  <TotalTime>0</TotalTime>
  <ScaleCrop>false</ScaleCrop>
  <LinksUpToDate>false</LinksUpToDate>
  <CharactersWithSpaces>9106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2026-08-24T07:10:00Z</dcterms:created>
  <dc:creator>Administrator</dc:creator>
  <cp:lastModifiedBy>杨渊</cp:lastModifiedBy>
  <dcterms:modified xsi:type="dcterms:W3CDTF">2026-08-24T09:43:34Z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eyJoZGlkIjoiY2Y2MTBmZGIzOTYwMzFkMDI1MjVlNDdhYjY3NDk1ZTAiLCJ1c2VySWQiOiIyMzM3NTg3OTYifQ==</vt:lpwstr>
  </property>
  <property fmtid="{D5CDD505-2E9C-101B-9397-08002B2CF9AE}" pid="4" name="ICV">
    <vt:lpwstr>5D09A17384924D5DA970434FF9A1618D_12</vt:lpwstr>
  </property>
</Properties>
</file>