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5E7E2">
      <w:pPr>
        <w:pStyle w:val="2"/>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textAlignment w:val="auto"/>
        <w:rPr>
          <w:rFonts w:hint="default" w:ascii="黑体" w:hAnsi="黑体" w:eastAsia="黑体" w:cs="黑体"/>
          <w:sz w:val="28"/>
          <w:szCs w:val="28"/>
          <w:highlight w:val="none"/>
          <w:lang w:val="en-US" w:eastAsia="zh-CN"/>
        </w:rPr>
      </w:pPr>
      <w:r>
        <w:rPr>
          <w:rFonts w:hint="eastAsia" w:cs="黑体"/>
          <w:sz w:val="28"/>
          <w:szCs w:val="28"/>
          <w:highlight w:val="none"/>
          <w:lang w:val="en-US" w:eastAsia="zh-CN"/>
        </w:rPr>
        <w:t>采购需求</w:t>
      </w:r>
      <w:bookmarkStart w:id="0" w:name="_GoBack"/>
      <w:bookmarkEnd w:id="0"/>
    </w:p>
    <w:p w14:paraId="3B5F7446">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一、采购内容</w:t>
      </w:r>
    </w:p>
    <w:p w14:paraId="6866A67D">
      <w:pPr>
        <w:pStyle w:val="9"/>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FF0000"/>
          <w:kern w:val="2"/>
          <w:sz w:val="28"/>
          <w:szCs w:val="28"/>
          <w:highlight w:val="none"/>
          <w:lang w:val="en-US" w:eastAsia="zh-CN" w:bidi="ar-SA"/>
        </w:rPr>
      </w:pPr>
      <w:r>
        <w:rPr>
          <w:rFonts w:hint="eastAsia" w:ascii="仿宋" w:hAnsi="仿宋" w:eastAsia="仿宋" w:cs="仿宋"/>
          <w:color w:val="FF0000"/>
          <w:kern w:val="2"/>
          <w:sz w:val="28"/>
          <w:szCs w:val="28"/>
          <w:highlight w:val="none"/>
          <w:lang w:val="en-US" w:eastAsia="zh-CN" w:bidi="ar-SA"/>
        </w:rPr>
        <w:t>采购包一：</w:t>
      </w:r>
    </w:p>
    <w:p w14:paraId="06588560">
      <w:pPr>
        <w:pStyle w:val="9"/>
        <w:keepNext w:val="0"/>
        <w:keepLines w:val="0"/>
        <w:pageBreakBefore w:val="0"/>
        <w:kinsoku/>
        <w:wordWrap/>
        <w:overflowPunct/>
        <w:topLinePunct w:val="0"/>
        <w:autoSpaceDE/>
        <w:autoSpaceDN/>
        <w:bidi w:val="0"/>
        <w:adjustRightInd/>
        <w:snapToGrid/>
        <w:spacing w:line="520" w:lineRule="exact"/>
        <w:jc w:val="left"/>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采购包预算金额:</w:t>
      </w:r>
      <w:r>
        <w:rPr>
          <w:rFonts w:hint="eastAsia" w:ascii="仿宋" w:hAnsi="仿宋" w:eastAsia="仿宋" w:cs="仿宋"/>
          <w:color w:val="FF0000"/>
          <w:kern w:val="2"/>
          <w:sz w:val="28"/>
          <w:szCs w:val="28"/>
          <w:highlight w:val="none"/>
          <w:lang w:val="en-US" w:eastAsia="zh-CN" w:bidi="ar-SA"/>
        </w:rPr>
        <w:t>15万元。</w:t>
      </w:r>
    </w:p>
    <w:p w14:paraId="0D14F0D5">
      <w:pPr>
        <w:pStyle w:val="9"/>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FF0000"/>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采购包最高限价:</w:t>
      </w:r>
      <w:r>
        <w:rPr>
          <w:rFonts w:hint="eastAsia" w:ascii="仿宋" w:hAnsi="仿宋" w:eastAsia="仿宋" w:cs="仿宋"/>
          <w:color w:val="FF0000"/>
          <w:kern w:val="2"/>
          <w:sz w:val="28"/>
          <w:szCs w:val="28"/>
          <w:highlight w:val="none"/>
          <w:lang w:val="en-US" w:eastAsia="zh-CN" w:bidi="ar-SA"/>
        </w:rPr>
        <w:t>9.49万元。</w:t>
      </w:r>
    </w:p>
    <w:tbl>
      <w:tblPr>
        <w:tblStyle w:val="6"/>
        <w:tblW w:w="5204" w:type="pct"/>
        <w:jc w:val="center"/>
        <w:tblLayout w:type="fixed"/>
        <w:tblCellMar>
          <w:top w:w="0" w:type="dxa"/>
          <w:left w:w="108" w:type="dxa"/>
          <w:bottom w:w="0" w:type="dxa"/>
          <w:right w:w="108" w:type="dxa"/>
        </w:tblCellMar>
      </w:tblPr>
      <w:tblGrid>
        <w:gridCol w:w="810"/>
        <w:gridCol w:w="2406"/>
        <w:gridCol w:w="808"/>
        <w:gridCol w:w="832"/>
        <w:gridCol w:w="2060"/>
        <w:gridCol w:w="1952"/>
      </w:tblGrid>
      <w:tr w14:paraId="3D4C2CCA">
        <w:tblPrEx>
          <w:tblCellMar>
            <w:top w:w="0" w:type="dxa"/>
            <w:left w:w="108" w:type="dxa"/>
            <w:bottom w:w="0" w:type="dxa"/>
            <w:right w:w="108" w:type="dxa"/>
          </w:tblCellMar>
        </w:tblPrEx>
        <w:trPr>
          <w:trHeight w:val="750" w:hRule="atLeast"/>
          <w:jc w:val="center"/>
        </w:trPr>
        <w:tc>
          <w:tcPr>
            <w:tcW w:w="456" w:type="pct"/>
            <w:tcBorders>
              <w:top w:val="single" w:color="000000" w:sz="4" w:space="0"/>
              <w:left w:val="single" w:color="000000" w:sz="4" w:space="0"/>
              <w:bottom w:val="single" w:color="000000" w:sz="4" w:space="0"/>
              <w:right w:val="single" w:color="000000" w:sz="4" w:space="0"/>
            </w:tcBorders>
            <w:noWrap w:val="0"/>
            <w:vAlign w:val="center"/>
          </w:tcPr>
          <w:p w14:paraId="4AA7FC23">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kern w:val="0"/>
                <w:sz w:val="24"/>
                <w:szCs w:val="24"/>
                <w:lang w:bidi="ar"/>
              </w:rPr>
              <w:t>序号</w:t>
            </w:r>
          </w:p>
        </w:tc>
        <w:tc>
          <w:tcPr>
            <w:tcW w:w="1356" w:type="pct"/>
            <w:tcBorders>
              <w:top w:val="single" w:color="000000" w:sz="4" w:space="0"/>
              <w:left w:val="single" w:color="000000" w:sz="4" w:space="0"/>
              <w:bottom w:val="single" w:color="000000" w:sz="4" w:space="0"/>
              <w:right w:val="single" w:color="000000" w:sz="4" w:space="0"/>
            </w:tcBorders>
            <w:noWrap w:val="0"/>
            <w:vAlign w:val="center"/>
          </w:tcPr>
          <w:p w14:paraId="6A6DFB99">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kern w:val="0"/>
                <w:sz w:val="24"/>
                <w:szCs w:val="24"/>
                <w:lang w:val="en-US" w:eastAsia="zh-CN" w:bidi="ar"/>
              </w:rPr>
              <w:t>标的名称</w:t>
            </w:r>
          </w:p>
        </w:tc>
        <w:tc>
          <w:tcPr>
            <w:tcW w:w="455" w:type="pct"/>
            <w:tcBorders>
              <w:top w:val="single" w:color="000000" w:sz="4" w:space="0"/>
              <w:left w:val="single" w:color="000000" w:sz="4" w:space="0"/>
              <w:bottom w:val="single" w:color="000000" w:sz="4" w:space="0"/>
              <w:right w:val="single" w:color="000000" w:sz="4" w:space="0"/>
            </w:tcBorders>
            <w:noWrap w:val="0"/>
            <w:vAlign w:val="center"/>
          </w:tcPr>
          <w:p w14:paraId="6568EBFE">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kern w:val="0"/>
                <w:sz w:val="24"/>
                <w:szCs w:val="24"/>
                <w:lang w:val="en-US" w:eastAsia="zh-CN" w:bidi="ar"/>
              </w:rPr>
              <w:t>数量</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00C7ECF0">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eastAsia" w:ascii="仿宋" w:hAnsi="仿宋" w:eastAsia="仿宋" w:cs="仿宋"/>
                <w:b w:val="0"/>
                <w:bCs w:val="0"/>
                <w:color w:val="000000"/>
                <w:kern w:val="0"/>
                <w:sz w:val="24"/>
                <w:szCs w:val="24"/>
                <w:lang w:bidi="ar"/>
              </w:rPr>
            </w:pPr>
            <w:r>
              <w:rPr>
                <w:rFonts w:hint="eastAsia" w:ascii="仿宋" w:hAnsi="仿宋" w:eastAsia="仿宋" w:cs="仿宋"/>
                <w:b w:val="0"/>
                <w:bCs w:val="0"/>
                <w:color w:val="000000"/>
                <w:kern w:val="0"/>
                <w:sz w:val="24"/>
                <w:szCs w:val="24"/>
                <w:lang w:val="en-US" w:eastAsia="zh-CN" w:bidi="ar"/>
              </w:rPr>
              <w:t>单位</w:t>
            </w:r>
          </w:p>
        </w:tc>
        <w:tc>
          <w:tcPr>
            <w:tcW w:w="1161" w:type="pct"/>
            <w:tcBorders>
              <w:top w:val="single" w:color="000000" w:sz="4" w:space="0"/>
              <w:left w:val="single" w:color="000000" w:sz="4" w:space="0"/>
              <w:bottom w:val="single" w:color="000000" w:sz="4" w:space="0"/>
              <w:right w:val="single" w:color="000000" w:sz="4" w:space="0"/>
            </w:tcBorders>
            <w:noWrap w:val="0"/>
            <w:vAlign w:val="center"/>
          </w:tcPr>
          <w:p w14:paraId="4D1D88BB">
            <w:pPr>
              <w:keepNext w:val="0"/>
              <w:keepLines w:val="0"/>
              <w:pageBreakBefore w:val="0"/>
              <w:widowControl/>
              <w:kinsoku/>
              <w:wordWrap/>
              <w:overflowPunct/>
              <w:topLinePunct w:val="0"/>
              <w:autoSpaceDE/>
              <w:autoSpaceDN/>
              <w:bidi w:val="0"/>
              <w:adjustRightInd/>
              <w:snapToGrid/>
              <w:spacing w:line="0" w:lineRule="atLeast"/>
              <w:ind w:right="0" w:rightChars="0"/>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标的金额</w:t>
            </w:r>
          </w:p>
          <w:p w14:paraId="24348C80">
            <w:pPr>
              <w:keepNext w:val="0"/>
              <w:keepLines w:val="0"/>
              <w:pageBreakBefore w:val="0"/>
              <w:widowControl/>
              <w:kinsoku/>
              <w:wordWrap/>
              <w:overflowPunct/>
              <w:topLinePunct w:val="0"/>
              <w:autoSpaceDE/>
              <w:autoSpaceDN/>
              <w:bidi w:val="0"/>
              <w:adjustRightInd/>
              <w:snapToGrid/>
              <w:spacing w:line="0" w:lineRule="atLeast"/>
              <w:ind w:right="0" w:rightChars="0"/>
              <w:jc w:val="center"/>
              <w:textAlignment w:val="center"/>
              <w:rPr>
                <w:rFonts w:hint="default"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（最高限价）</w:t>
            </w:r>
          </w:p>
        </w:tc>
        <w:tc>
          <w:tcPr>
            <w:tcW w:w="1100" w:type="pct"/>
            <w:tcBorders>
              <w:top w:val="single" w:color="000000" w:sz="4" w:space="0"/>
              <w:left w:val="single" w:color="000000" w:sz="4" w:space="0"/>
              <w:bottom w:val="single" w:color="000000" w:sz="4" w:space="0"/>
              <w:right w:val="single" w:color="000000" w:sz="4" w:space="0"/>
            </w:tcBorders>
            <w:noWrap w:val="0"/>
            <w:vAlign w:val="center"/>
          </w:tcPr>
          <w:p w14:paraId="3F707DCF">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备注</w:t>
            </w:r>
          </w:p>
        </w:tc>
      </w:tr>
      <w:tr w14:paraId="4EBA5710">
        <w:tblPrEx>
          <w:tblCellMar>
            <w:top w:w="0" w:type="dxa"/>
            <w:left w:w="108" w:type="dxa"/>
            <w:bottom w:w="0" w:type="dxa"/>
            <w:right w:w="108" w:type="dxa"/>
          </w:tblCellMar>
        </w:tblPrEx>
        <w:trPr>
          <w:trHeight w:val="461" w:hRule="atLeast"/>
          <w:jc w:val="center"/>
        </w:trPr>
        <w:tc>
          <w:tcPr>
            <w:tcW w:w="456" w:type="pct"/>
            <w:tcBorders>
              <w:top w:val="single" w:color="000000" w:sz="4" w:space="0"/>
              <w:left w:val="single" w:color="000000" w:sz="4" w:space="0"/>
              <w:bottom w:val="single" w:color="000000" w:sz="4" w:space="0"/>
              <w:right w:val="single" w:color="000000" w:sz="4" w:space="0"/>
            </w:tcBorders>
            <w:noWrap w:val="0"/>
            <w:vAlign w:val="center"/>
          </w:tcPr>
          <w:p w14:paraId="3D0FD6E8">
            <w:pPr>
              <w:keepNext w:val="0"/>
              <w:keepLines w:val="0"/>
              <w:pageBreakBefore w:val="0"/>
              <w:widowControl/>
              <w:numPr>
                <w:ilvl w:val="-1"/>
                <w:numId w:val="0"/>
              </w:numPr>
              <w:kinsoku/>
              <w:wordWrap/>
              <w:overflowPunct/>
              <w:topLinePunct w:val="0"/>
              <w:autoSpaceDE/>
              <w:autoSpaceDN/>
              <w:bidi w:val="0"/>
              <w:adjustRightInd/>
              <w:snapToGrid/>
              <w:spacing w:line="0" w:lineRule="atLeast"/>
              <w:ind w:left="0" w:leftChars="0" w:firstLine="0" w:firstLineChars="0"/>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1356" w:type="pct"/>
            <w:tcBorders>
              <w:top w:val="single" w:color="000000" w:sz="4" w:space="0"/>
              <w:left w:val="single" w:color="000000" w:sz="4" w:space="0"/>
              <w:bottom w:val="single" w:color="000000" w:sz="4" w:space="0"/>
              <w:right w:val="single" w:color="000000" w:sz="4" w:space="0"/>
            </w:tcBorders>
            <w:noWrap w:val="0"/>
            <w:vAlign w:val="center"/>
          </w:tcPr>
          <w:p w14:paraId="372CDD84">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支气管镜</w:t>
            </w:r>
          </w:p>
        </w:tc>
        <w:tc>
          <w:tcPr>
            <w:tcW w:w="455" w:type="pct"/>
            <w:tcBorders>
              <w:top w:val="single" w:color="000000" w:sz="4" w:space="0"/>
              <w:left w:val="single" w:color="000000" w:sz="4" w:space="0"/>
              <w:bottom w:val="single" w:color="000000" w:sz="4" w:space="0"/>
              <w:right w:val="single" w:color="000000" w:sz="4" w:space="0"/>
            </w:tcBorders>
            <w:noWrap w:val="0"/>
            <w:vAlign w:val="center"/>
          </w:tcPr>
          <w:p w14:paraId="248184AA">
            <w:pPr>
              <w:keepNext w:val="0"/>
              <w:keepLines w:val="0"/>
              <w:pageBreakBefore w:val="0"/>
              <w:widowControl/>
              <w:kinsoku/>
              <w:wordWrap/>
              <w:overflowPunct/>
              <w:topLinePunct w:val="0"/>
              <w:autoSpaceDE/>
              <w:autoSpaceDN/>
              <w:bidi w:val="0"/>
              <w:adjustRightInd/>
              <w:snapToGrid/>
              <w:spacing w:line="0" w:lineRule="atLeast"/>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469" w:type="pct"/>
            <w:tcBorders>
              <w:top w:val="single" w:color="000000" w:sz="4" w:space="0"/>
              <w:left w:val="single" w:color="000000" w:sz="4" w:space="0"/>
              <w:bottom w:val="single" w:color="000000" w:sz="4" w:space="0"/>
              <w:right w:val="single" w:color="000000" w:sz="4" w:space="0"/>
            </w:tcBorders>
            <w:noWrap w:val="0"/>
            <w:vAlign w:val="center"/>
          </w:tcPr>
          <w:p w14:paraId="678F351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台</w:t>
            </w:r>
          </w:p>
        </w:tc>
        <w:tc>
          <w:tcPr>
            <w:tcW w:w="1161" w:type="pct"/>
            <w:tcBorders>
              <w:top w:val="single" w:color="000000" w:sz="4" w:space="0"/>
              <w:left w:val="single" w:color="000000" w:sz="4" w:space="0"/>
              <w:bottom w:val="single" w:color="000000" w:sz="4" w:space="0"/>
              <w:right w:val="single" w:color="000000" w:sz="4" w:space="0"/>
            </w:tcBorders>
            <w:noWrap w:val="0"/>
            <w:vAlign w:val="center"/>
          </w:tcPr>
          <w:p w14:paraId="79B2230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9.49万元</w:t>
            </w:r>
          </w:p>
        </w:tc>
        <w:tc>
          <w:tcPr>
            <w:tcW w:w="1100" w:type="pct"/>
            <w:tcBorders>
              <w:top w:val="single" w:color="000000" w:sz="4" w:space="0"/>
              <w:left w:val="single" w:color="000000" w:sz="4" w:space="0"/>
              <w:bottom w:val="single" w:color="000000" w:sz="4" w:space="0"/>
              <w:right w:val="single" w:color="000000" w:sz="4" w:space="0"/>
            </w:tcBorders>
            <w:noWrap w:val="0"/>
            <w:vAlign w:val="center"/>
          </w:tcPr>
          <w:p w14:paraId="3B6189E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 w:hAnsi="仿宋" w:eastAsia="仿宋" w:cs="仿宋"/>
                <w:i w:val="0"/>
                <w:iCs w:val="0"/>
                <w:color w:val="000000"/>
                <w:kern w:val="0"/>
                <w:sz w:val="24"/>
                <w:szCs w:val="24"/>
                <w:u w:val="none"/>
                <w:lang w:val="en-US" w:eastAsia="zh-CN" w:bidi="ar"/>
              </w:rPr>
            </w:pPr>
          </w:p>
        </w:tc>
      </w:tr>
    </w:tbl>
    <w:p w14:paraId="1E1438FF">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default" w:ascii="仿宋" w:hAnsi="仿宋" w:eastAsia="仿宋" w:cs="仿宋"/>
          <w:color w:val="FF0000"/>
          <w:kern w:val="2"/>
          <w:sz w:val="28"/>
          <w:szCs w:val="28"/>
          <w:highlight w:val="none"/>
          <w:lang w:val="en-US" w:eastAsia="zh-CN" w:bidi="ar-SA"/>
        </w:rPr>
      </w:pPr>
      <w:r>
        <w:rPr>
          <w:rFonts w:hint="eastAsia" w:ascii="仿宋" w:hAnsi="仿宋" w:eastAsia="仿宋" w:cs="仿宋"/>
          <w:b/>
          <w:bCs/>
          <w:color w:val="auto"/>
          <w:sz w:val="28"/>
          <w:szCs w:val="28"/>
          <w:highlight w:val="none"/>
          <w:lang w:val="en-US" w:eastAsia="zh-CN"/>
        </w:rPr>
        <w:t>二、技术要求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w:t>
      </w:r>
      <w:r>
        <w:rPr>
          <w:rFonts w:hint="eastAsia" w:ascii="仿宋" w:hAnsi="仿宋" w:eastAsia="仿宋" w:cs="仿宋"/>
          <w:b/>
          <w:bCs/>
          <w:color w:val="auto"/>
          <w:sz w:val="28"/>
          <w:szCs w:val="28"/>
          <w:lang w:eastAsia="zh-CN"/>
        </w:rPr>
        <w:t>技术、服务及其他要求应答表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tbl>
      <w:tblPr>
        <w:tblStyle w:val="6"/>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6521"/>
        <w:gridCol w:w="1701"/>
      </w:tblGrid>
      <w:tr w14:paraId="7CB1E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418" w:type="dxa"/>
            <w:vAlign w:val="center"/>
          </w:tcPr>
          <w:p w14:paraId="103B0491">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 w:hAnsi="仿宋" w:eastAsia="仿宋" w:cs="宋体"/>
                <w:kern w:val="0"/>
                <w:sz w:val="24"/>
              </w:rPr>
            </w:pPr>
            <w:r>
              <w:rPr>
                <w:rFonts w:hint="eastAsia" w:ascii="仿宋" w:hAnsi="仿宋" w:eastAsia="仿宋" w:cs="宋体"/>
                <w:kern w:val="0"/>
                <w:sz w:val="24"/>
              </w:rPr>
              <w:t>项目内容</w:t>
            </w:r>
          </w:p>
        </w:tc>
        <w:tc>
          <w:tcPr>
            <w:tcW w:w="6521" w:type="dxa"/>
            <w:vAlign w:val="center"/>
          </w:tcPr>
          <w:p w14:paraId="1411FA6E">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 w:hAnsi="仿宋" w:eastAsia="仿宋" w:cs="宋体"/>
                <w:kern w:val="0"/>
                <w:sz w:val="24"/>
              </w:rPr>
            </w:pPr>
            <w:r>
              <w:rPr>
                <w:rFonts w:hint="eastAsia" w:ascii="仿宋" w:hAnsi="仿宋" w:eastAsia="仿宋" w:cs="宋体"/>
                <w:kern w:val="0"/>
                <w:sz w:val="24"/>
              </w:rPr>
              <w:t>技术参数和配置要求</w:t>
            </w:r>
          </w:p>
        </w:tc>
        <w:tc>
          <w:tcPr>
            <w:tcW w:w="1701" w:type="dxa"/>
            <w:vAlign w:val="center"/>
          </w:tcPr>
          <w:p w14:paraId="6B40402A">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 w:hAnsi="仿宋" w:eastAsia="仿宋"/>
                <w:sz w:val="24"/>
              </w:rPr>
            </w:pPr>
            <w:r>
              <w:rPr>
                <w:rFonts w:hint="eastAsia" w:ascii="仿宋" w:hAnsi="仿宋" w:eastAsia="仿宋" w:cs="宋体"/>
                <w:kern w:val="0"/>
                <w:sz w:val="24"/>
              </w:rPr>
              <w:t>备注</w:t>
            </w:r>
          </w:p>
        </w:tc>
      </w:tr>
      <w:tr w14:paraId="2763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18" w:type="dxa"/>
            <w:vAlign w:val="center"/>
          </w:tcPr>
          <w:p w14:paraId="54ABE742">
            <w:pPr>
              <w:keepNext w:val="0"/>
              <w:keepLines w:val="0"/>
              <w:pageBreakBefore w:val="0"/>
              <w:kinsoku/>
              <w:wordWrap/>
              <w:overflowPunct/>
              <w:topLinePunct w:val="0"/>
              <w:autoSpaceDE/>
              <w:autoSpaceDN/>
              <w:bidi w:val="0"/>
              <w:adjustRightInd/>
              <w:snapToGrid/>
              <w:spacing w:line="240" w:lineRule="atLeast"/>
              <w:jc w:val="center"/>
              <w:textAlignment w:val="auto"/>
              <w:rPr>
                <w:rFonts w:ascii="仿宋" w:hAnsi="仿宋" w:eastAsia="仿宋" w:cs="宋体"/>
                <w:kern w:val="0"/>
                <w:sz w:val="24"/>
              </w:rPr>
            </w:pPr>
            <w:r>
              <w:rPr>
                <w:rFonts w:hint="eastAsia" w:ascii="仿宋" w:hAnsi="仿宋" w:eastAsia="仿宋" w:cs="宋体"/>
                <w:kern w:val="0"/>
                <w:sz w:val="24"/>
              </w:rPr>
              <w:t>设备名称</w:t>
            </w:r>
          </w:p>
        </w:tc>
        <w:tc>
          <w:tcPr>
            <w:tcW w:w="6521" w:type="dxa"/>
            <w:vAlign w:val="center"/>
          </w:tcPr>
          <w:p w14:paraId="5D2D67B1">
            <w:pPr>
              <w:keepNext w:val="0"/>
              <w:keepLines w:val="0"/>
              <w:pageBreakBefore w:val="0"/>
              <w:kinsoku/>
              <w:wordWrap/>
              <w:overflowPunct/>
              <w:topLinePunct w:val="0"/>
              <w:autoSpaceDE/>
              <w:autoSpaceDN/>
              <w:bidi w:val="0"/>
              <w:adjustRightInd/>
              <w:snapToGrid/>
              <w:spacing w:line="240" w:lineRule="atLeast"/>
              <w:jc w:val="left"/>
              <w:textAlignment w:val="auto"/>
              <w:rPr>
                <w:rFonts w:hint="eastAsia" w:ascii="仿宋" w:hAnsi="仿宋" w:eastAsia="仿宋"/>
                <w:sz w:val="24"/>
                <w:szCs w:val="40"/>
              </w:rPr>
            </w:pPr>
            <w:r>
              <w:rPr>
                <w:rFonts w:hint="eastAsia" w:ascii="仿宋" w:hAnsi="仿宋" w:eastAsia="仿宋"/>
                <w:color w:val="FF0000"/>
                <w:sz w:val="24"/>
                <w:szCs w:val="40"/>
                <w:lang w:eastAsia="zh-CN"/>
              </w:rPr>
              <w:t>支气管镜</w:t>
            </w:r>
          </w:p>
        </w:tc>
        <w:tc>
          <w:tcPr>
            <w:tcW w:w="1701" w:type="dxa"/>
            <w:vAlign w:val="center"/>
          </w:tcPr>
          <w:p w14:paraId="5FBF44CB">
            <w:pPr>
              <w:numPr>
                <w:ilvl w:val="0"/>
                <w:numId w:val="0"/>
              </w:numPr>
              <w:spacing w:line="240" w:lineRule="auto"/>
              <w:jc w:val="both"/>
              <w:rPr>
                <w:rFonts w:hint="eastAsia" w:ascii="仿宋" w:hAnsi="仿宋" w:eastAsia="仿宋"/>
                <w:kern w:val="0"/>
                <w:sz w:val="24"/>
                <w:lang w:val="en-US" w:eastAsia="zh-CN"/>
              </w:rPr>
            </w:pPr>
            <w:r>
              <w:rPr>
                <w:rFonts w:hint="eastAsia" w:ascii="仿宋" w:hAnsi="仿宋" w:eastAsia="仿宋" w:cs="Times New Roman"/>
                <w:kern w:val="0"/>
                <w:sz w:val="24"/>
                <w:lang w:val="en-US" w:eastAsia="zh-CN" w:bidi="ar-SA"/>
              </w:rPr>
              <w:t>1、</w:t>
            </w:r>
            <w:r>
              <w:rPr>
                <w:rFonts w:hint="eastAsia" w:ascii="仿宋" w:hAnsi="仿宋" w:eastAsia="仿宋"/>
                <w:kern w:val="0"/>
                <w:sz w:val="24"/>
                <w:lang w:val="en-US" w:eastAsia="zh-CN"/>
              </w:rPr>
              <w:t>提供产品的正式技术白皮书或规格手册或说明书；</w:t>
            </w:r>
          </w:p>
          <w:p w14:paraId="4084F923">
            <w:pPr>
              <w:numPr>
                <w:ilvl w:val="0"/>
                <w:numId w:val="0"/>
              </w:numPr>
              <w:spacing w:line="240" w:lineRule="auto"/>
              <w:jc w:val="both"/>
              <w:rPr>
                <w:rFonts w:ascii="仿宋" w:hAnsi="仿宋" w:eastAsia="仿宋"/>
                <w:sz w:val="24"/>
              </w:rPr>
            </w:pPr>
            <w:r>
              <w:rPr>
                <w:rFonts w:ascii="仿宋" w:hAnsi="仿宋" w:eastAsia="仿宋" w:cs="Times New Roman"/>
                <w:kern w:val="2"/>
                <w:sz w:val="24"/>
                <w:lang w:val="en-US" w:eastAsia="zh-CN" w:bidi="ar-SA"/>
              </w:rPr>
              <w:t>2、</w:t>
            </w:r>
            <w:r>
              <w:rPr>
                <w:rFonts w:hint="eastAsia" w:ascii="仿宋" w:hAnsi="仿宋" w:eastAsia="仿宋"/>
                <w:kern w:val="0"/>
                <w:sz w:val="24"/>
                <w:lang w:val="en-US" w:eastAsia="zh-CN"/>
              </w:rPr>
              <w:t>提供产品官方发布的彩页。</w:t>
            </w:r>
          </w:p>
        </w:tc>
      </w:tr>
      <w:tr w14:paraId="0E33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18" w:type="dxa"/>
            <w:vAlign w:val="center"/>
          </w:tcPr>
          <w:p w14:paraId="586525D9">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 w:hAnsi="仿宋" w:eastAsia="仿宋" w:cs="宋体"/>
                <w:kern w:val="0"/>
                <w:sz w:val="24"/>
              </w:rPr>
            </w:pPr>
            <w:r>
              <w:rPr>
                <w:rFonts w:hint="eastAsia" w:ascii="仿宋" w:hAnsi="仿宋" w:eastAsia="仿宋" w:cs="宋体"/>
                <w:kern w:val="0"/>
                <w:sz w:val="24"/>
              </w:rPr>
              <w:t>用途</w:t>
            </w:r>
          </w:p>
        </w:tc>
        <w:tc>
          <w:tcPr>
            <w:tcW w:w="6521" w:type="dxa"/>
            <w:vAlign w:val="center"/>
          </w:tcPr>
          <w:p w14:paraId="6136F84F">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hint="eastAsia" w:ascii="仿宋" w:hAnsi="仿宋" w:eastAsia="仿宋" w:cs="宋体"/>
                <w:kern w:val="0"/>
                <w:sz w:val="24"/>
                <w:lang w:eastAsia="zh-CN"/>
              </w:rPr>
            </w:pPr>
            <w:r>
              <w:rPr>
                <w:rFonts w:hint="eastAsia" w:ascii="仿宋" w:hAnsi="仿宋" w:eastAsia="仿宋" w:cs="宋体"/>
                <w:kern w:val="0"/>
                <w:sz w:val="24"/>
                <w:szCs w:val="22"/>
                <w:lang w:val="en-US" w:eastAsia="zh-CN" w:bidi="ar-SA"/>
              </w:rPr>
              <w:t>用于气管、支气管的观察、诊断及治疗。</w:t>
            </w:r>
          </w:p>
        </w:tc>
        <w:tc>
          <w:tcPr>
            <w:tcW w:w="1701" w:type="dxa"/>
            <w:vAlign w:val="center"/>
          </w:tcPr>
          <w:p w14:paraId="40B3F080">
            <w:pPr>
              <w:spacing w:line="240" w:lineRule="auto"/>
              <w:jc w:val="both"/>
              <w:rPr>
                <w:rFonts w:hint="default" w:ascii="仿宋" w:hAnsi="仿宋" w:eastAsia="仿宋"/>
                <w:kern w:val="0"/>
                <w:sz w:val="24"/>
                <w:lang w:val="en-US" w:eastAsia="zh-CN"/>
              </w:rPr>
            </w:pPr>
            <w:r>
              <w:rPr>
                <w:rFonts w:hint="eastAsia" w:ascii="仿宋" w:hAnsi="仿宋" w:eastAsia="仿宋"/>
                <w:kern w:val="0"/>
                <w:sz w:val="24"/>
                <w:lang w:val="en-US" w:eastAsia="zh-CN"/>
              </w:rPr>
              <w:t>请按注册证适用范围填写</w:t>
            </w:r>
          </w:p>
        </w:tc>
      </w:tr>
      <w:tr w14:paraId="442FB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418" w:type="dxa"/>
            <w:vAlign w:val="center"/>
          </w:tcPr>
          <w:p w14:paraId="359DE548">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 w:hAnsi="仿宋" w:eastAsia="仿宋" w:cs="宋体"/>
                <w:kern w:val="0"/>
                <w:sz w:val="24"/>
                <w:lang w:val="en-US" w:eastAsia="zh-CN"/>
              </w:rPr>
            </w:pPr>
            <w:r>
              <w:rPr>
                <w:rFonts w:hint="eastAsia" w:ascii="仿宋" w:hAnsi="仿宋" w:eastAsia="仿宋" w:cs="宋体"/>
                <w:kern w:val="0"/>
                <w:sz w:val="24"/>
              </w:rPr>
              <w:t>技术</w:t>
            </w:r>
            <w:r>
              <w:rPr>
                <w:rFonts w:hint="eastAsia" w:ascii="仿宋" w:hAnsi="仿宋" w:eastAsia="仿宋" w:cs="宋体"/>
                <w:kern w:val="0"/>
                <w:sz w:val="24"/>
                <w:lang w:val="en-US" w:eastAsia="zh-CN"/>
              </w:rPr>
              <w:t>要求</w:t>
            </w:r>
          </w:p>
        </w:tc>
        <w:tc>
          <w:tcPr>
            <w:tcW w:w="6521" w:type="dxa"/>
            <w:vAlign w:val="center"/>
          </w:tcPr>
          <w:p w14:paraId="7FABFA46">
            <w:pPr>
              <w:pStyle w:val="10"/>
              <w:rPr>
                <w:rFonts w:hint="eastAsia" w:ascii="仿宋" w:hAnsi="仿宋" w:eastAsia="仿宋" w:cs="宋体"/>
                <w:kern w:val="0"/>
                <w:sz w:val="24"/>
                <w:szCs w:val="22"/>
                <w:lang w:val="en-US" w:eastAsia="zh-CN" w:bidi="ar-SA"/>
              </w:rPr>
            </w:pPr>
            <w:r>
              <w:rPr>
                <w:rFonts w:hint="eastAsia" w:ascii="仿宋" w:hAnsi="仿宋" w:eastAsia="仿宋" w:cs="宋体"/>
                <w:kern w:val="0"/>
                <w:sz w:val="24"/>
                <w:szCs w:val="22"/>
                <w:lang w:val="en-US" w:eastAsia="zh-CN" w:bidi="ar-SA"/>
              </w:rPr>
              <w:t>1、显示功能：自带高清显示屏，显示屏尺寸≥10英寸。</w:t>
            </w:r>
          </w:p>
          <w:p w14:paraId="2EAE989C">
            <w:pPr>
              <w:pStyle w:val="10"/>
              <w:rPr>
                <w:rFonts w:hint="eastAsia" w:ascii="仿宋" w:hAnsi="仿宋" w:eastAsia="仿宋" w:cs="宋体"/>
                <w:kern w:val="0"/>
                <w:sz w:val="24"/>
                <w:szCs w:val="22"/>
                <w:lang w:val="en-US" w:eastAsia="zh-CN" w:bidi="ar-SA"/>
              </w:rPr>
            </w:pPr>
            <w:r>
              <w:rPr>
                <w:rFonts w:hint="eastAsia" w:ascii="仿宋" w:hAnsi="仿宋" w:eastAsia="仿宋" w:cs="宋体"/>
                <w:kern w:val="0"/>
                <w:sz w:val="24"/>
                <w:szCs w:val="22"/>
                <w:lang w:val="en-US" w:eastAsia="zh-CN" w:bidi="ar-SA"/>
              </w:rPr>
              <w:t>2、内置可充电电池，充满电工作时间≥4小时。</w:t>
            </w:r>
          </w:p>
          <w:p w14:paraId="3AF070A9">
            <w:pPr>
              <w:pStyle w:val="10"/>
              <w:rPr>
                <w:rFonts w:hint="eastAsia" w:ascii="仿宋" w:hAnsi="仿宋" w:eastAsia="仿宋" w:cs="宋体"/>
                <w:kern w:val="0"/>
                <w:sz w:val="24"/>
                <w:szCs w:val="22"/>
                <w:lang w:val="en-US" w:eastAsia="zh-CN" w:bidi="ar-SA"/>
              </w:rPr>
            </w:pPr>
            <w:r>
              <w:rPr>
                <w:rFonts w:hint="eastAsia" w:ascii="仿宋" w:hAnsi="仿宋" w:eastAsia="仿宋" w:cs="宋体"/>
                <w:kern w:val="0"/>
                <w:sz w:val="24"/>
                <w:szCs w:val="22"/>
                <w:lang w:val="en-US" w:eastAsia="zh-CN" w:bidi="ar-SA"/>
              </w:rPr>
              <w:t>3、具有白平衡功能、电子防雾功能。</w:t>
            </w:r>
          </w:p>
          <w:p w14:paraId="5CB7B827">
            <w:pPr>
              <w:pStyle w:val="10"/>
              <w:rPr>
                <w:rFonts w:hint="eastAsia" w:ascii="仿宋" w:hAnsi="仿宋" w:eastAsia="仿宋" w:cs="宋体"/>
                <w:kern w:val="0"/>
                <w:sz w:val="24"/>
                <w:szCs w:val="22"/>
                <w:lang w:val="en-US" w:eastAsia="zh-CN" w:bidi="ar-SA"/>
              </w:rPr>
            </w:pPr>
            <w:r>
              <w:rPr>
                <w:rFonts w:hint="eastAsia" w:ascii="仿宋" w:hAnsi="仿宋" w:eastAsia="仿宋" w:cs="宋体"/>
                <w:kern w:val="0"/>
                <w:sz w:val="24"/>
                <w:szCs w:val="22"/>
                <w:lang w:val="en-US" w:eastAsia="zh-CN" w:bidi="ar-SA"/>
              </w:rPr>
              <w:t>4、操作手柄具有≥2个功能按键。</w:t>
            </w:r>
          </w:p>
          <w:p w14:paraId="3153D0C7">
            <w:pPr>
              <w:pStyle w:val="10"/>
              <w:rPr>
                <w:rFonts w:hint="eastAsia" w:ascii="仿宋" w:hAnsi="仿宋" w:eastAsia="仿宋" w:cs="宋体"/>
                <w:kern w:val="0"/>
                <w:sz w:val="24"/>
                <w:szCs w:val="22"/>
                <w:lang w:val="en-US" w:eastAsia="zh-CN" w:bidi="ar-SA"/>
              </w:rPr>
            </w:pPr>
            <w:r>
              <w:rPr>
                <w:rFonts w:hint="eastAsia" w:ascii="仿宋" w:hAnsi="仿宋" w:eastAsia="仿宋" w:cs="宋体"/>
                <w:kern w:val="0"/>
                <w:sz w:val="24"/>
                <w:szCs w:val="22"/>
                <w:lang w:val="en-US" w:eastAsia="zh-CN" w:bidi="ar-SA"/>
              </w:rPr>
              <w:t>5、镜身部分：景深：≥3-100mm ；视场角≥120°。</w:t>
            </w:r>
          </w:p>
          <w:p w14:paraId="56EF5EF7">
            <w:pPr>
              <w:pStyle w:val="10"/>
              <w:rPr>
                <w:rFonts w:hint="eastAsia" w:ascii="仿宋" w:hAnsi="仿宋" w:eastAsia="仿宋" w:cs="宋体"/>
                <w:kern w:val="0"/>
                <w:sz w:val="24"/>
                <w:szCs w:val="22"/>
                <w:lang w:val="en-US" w:eastAsia="zh-CN" w:bidi="ar-SA"/>
              </w:rPr>
            </w:pPr>
            <w:r>
              <w:rPr>
                <w:rFonts w:hint="eastAsia" w:ascii="仿宋" w:hAnsi="仿宋" w:eastAsia="仿宋" w:cs="宋体"/>
                <w:kern w:val="0"/>
                <w:sz w:val="24"/>
                <w:szCs w:val="22"/>
                <w:lang w:val="en-US" w:eastAsia="zh-CN" w:bidi="ar-SA"/>
              </w:rPr>
              <w:t>6、软镜插入管外径≤5.2mm，工作管道内径≥2.8mm。</w:t>
            </w:r>
          </w:p>
          <w:p w14:paraId="0BB6B0FB">
            <w:pPr>
              <w:pStyle w:val="10"/>
              <w:rPr>
                <w:rFonts w:hint="eastAsia" w:ascii="仿宋" w:hAnsi="仿宋" w:eastAsia="仿宋" w:cs="宋体"/>
                <w:kern w:val="0"/>
                <w:sz w:val="24"/>
                <w:szCs w:val="22"/>
                <w:lang w:val="en-US" w:eastAsia="zh-CN" w:bidi="ar-SA"/>
              </w:rPr>
            </w:pPr>
            <w:r>
              <w:rPr>
                <w:rFonts w:hint="eastAsia" w:ascii="仿宋" w:hAnsi="仿宋" w:eastAsia="仿宋" w:cs="宋体"/>
                <w:kern w:val="0"/>
                <w:sz w:val="24"/>
                <w:szCs w:val="22"/>
                <w:lang w:val="en-US" w:eastAsia="zh-CN" w:bidi="ar-SA"/>
              </w:rPr>
              <w:t>7、插入管软管前端弯曲角度：向上弯曲≥180°，向下弯曲≥130°。</w:t>
            </w:r>
          </w:p>
          <w:p w14:paraId="3597EFB2">
            <w:pPr>
              <w:pStyle w:val="10"/>
              <w:rPr>
                <w:rFonts w:hint="eastAsia" w:ascii="仿宋" w:hAnsi="仿宋" w:eastAsia="仿宋" w:cs="宋体"/>
                <w:kern w:val="0"/>
                <w:sz w:val="24"/>
                <w:szCs w:val="22"/>
                <w:lang w:val="en-US" w:eastAsia="zh-CN" w:bidi="ar-SA"/>
              </w:rPr>
            </w:pPr>
            <w:r>
              <w:rPr>
                <w:rFonts w:hint="eastAsia" w:ascii="仿宋" w:hAnsi="仿宋" w:eastAsia="仿宋" w:cs="宋体"/>
                <w:kern w:val="0"/>
                <w:sz w:val="24"/>
                <w:szCs w:val="22"/>
                <w:lang w:val="en-US" w:eastAsia="zh-CN" w:bidi="ar-SA"/>
              </w:rPr>
              <w:t>8、软管有效长度：≥600mm。</w:t>
            </w:r>
          </w:p>
          <w:p w14:paraId="75EFE401">
            <w:pPr>
              <w:pStyle w:val="10"/>
              <w:rPr>
                <w:rFonts w:hint="eastAsia" w:ascii="仿宋" w:hAnsi="仿宋" w:eastAsia="仿宋" w:cs="宋体"/>
                <w:kern w:val="0"/>
                <w:sz w:val="24"/>
                <w:szCs w:val="22"/>
                <w:lang w:val="en-US" w:eastAsia="zh-CN" w:bidi="ar-SA"/>
              </w:rPr>
            </w:pPr>
            <w:r>
              <w:rPr>
                <w:rFonts w:hint="eastAsia" w:ascii="仿宋" w:hAnsi="仿宋" w:eastAsia="仿宋" w:cs="宋体"/>
                <w:kern w:val="0"/>
                <w:sz w:val="24"/>
                <w:szCs w:val="22"/>
                <w:lang w:val="en-US" w:eastAsia="zh-CN" w:bidi="ar-SA"/>
              </w:rPr>
              <w:t>9、软镜部分可进行全浸泡消毒，以确保消毒彻底。</w:t>
            </w:r>
          </w:p>
          <w:p w14:paraId="4403148C">
            <w:pPr>
              <w:pStyle w:val="10"/>
              <w:rPr>
                <w:rFonts w:hint="eastAsia" w:ascii="仿宋" w:hAnsi="仿宋" w:eastAsia="仿宋" w:cs="宋体"/>
                <w:kern w:val="0"/>
                <w:sz w:val="24"/>
                <w:szCs w:val="22"/>
                <w:lang w:val="en-US" w:eastAsia="zh-CN" w:bidi="ar-SA"/>
              </w:rPr>
            </w:pPr>
            <w:r>
              <w:rPr>
                <w:rFonts w:hint="eastAsia" w:ascii="仿宋" w:hAnsi="仿宋" w:eastAsia="仿宋" w:cs="宋体"/>
                <w:kern w:val="0"/>
                <w:sz w:val="24"/>
                <w:szCs w:val="22"/>
                <w:lang w:val="en-US" w:eastAsia="zh-CN" w:bidi="ar-SA"/>
              </w:rPr>
              <w:t>10、设备使用年限≥5年。</w:t>
            </w:r>
          </w:p>
        </w:tc>
        <w:tc>
          <w:tcPr>
            <w:tcW w:w="1701" w:type="dxa"/>
            <w:vAlign w:val="center"/>
          </w:tcPr>
          <w:p w14:paraId="72802EC2">
            <w:pPr>
              <w:spacing w:line="240" w:lineRule="auto"/>
              <w:jc w:val="both"/>
              <w:rPr>
                <w:rFonts w:hint="default" w:ascii="仿宋" w:hAnsi="仿宋" w:eastAsia="仿宋"/>
                <w:kern w:val="0"/>
                <w:sz w:val="24"/>
                <w:lang w:val="en-US" w:eastAsia="zh-CN"/>
              </w:rPr>
            </w:pPr>
            <w:r>
              <w:rPr>
                <w:rFonts w:hint="eastAsia" w:ascii="仿宋" w:hAnsi="仿宋" w:eastAsia="仿宋"/>
                <w:kern w:val="0"/>
                <w:sz w:val="24"/>
                <w:lang w:val="en-US" w:eastAsia="zh-CN"/>
              </w:rPr>
              <w:t>请逐条据实响应，不得简单复制粘贴采购文件要求作为应答内容。如设备使用期限</w:t>
            </w:r>
            <w:r>
              <w:rPr>
                <w:rFonts w:hint="eastAsia" w:ascii="仿宋" w:hAnsi="仿宋" w:eastAsia="仿宋" w:cs="宋体"/>
                <w:kern w:val="0"/>
                <w:sz w:val="24"/>
                <w:szCs w:val="22"/>
                <w:lang w:val="en-US" w:eastAsia="zh-CN" w:bidi="ar-SA"/>
              </w:rPr>
              <w:t>≥</w:t>
            </w:r>
            <w:r>
              <w:rPr>
                <w:rFonts w:hint="eastAsia" w:asciiTheme="minorEastAsia" w:hAnsiTheme="minorEastAsia" w:eastAsiaTheme="minorEastAsia" w:cstheme="minorEastAsia"/>
                <w:kern w:val="0"/>
                <w:sz w:val="24"/>
                <w:szCs w:val="22"/>
                <w:lang w:val="en-US" w:eastAsia="zh-CN" w:bidi="ar-SA"/>
              </w:rPr>
              <w:t>×</w:t>
            </w:r>
            <w:r>
              <w:rPr>
                <w:rFonts w:hint="eastAsia" w:ascii="仿宋" w:hAnsi="仿宋" w:eastAsia="仿宋" w:cs="宋体"/>
                <w:kern w:val="0"/>
                <w:sz w:val="24"/>
                <w:szCs w:val="22"/>
                <w:lang w:val="en-US" w:eastAsia="zh-CN" w:bidi="ar-SA"/>
              </w:rPr>
              <w:t>年</w:t>
            </w:r>
            <w:r>
              <w:rPr>
                <w:rFonts w:hint="eastAsia" w:ascii="仿宋" w:hAnsi="仿宋" w:eastAsia="仿宋"/>
                <w:kern w:val="0"/>
                <w:sz w:val="24"/>
                <w:lang w:val="en-US" w:eastAsia="zh-CN"/>
              </w:rPr>
              <w:t>或质保期</w:t>
            </w:r>
            <w:r>
              <w:rPr>
                <w:rFonts w:hint="eastAsia" w:ascii="仿宋" w:hAnsi="仿宋" w:eastAsia="仿宋" w:cs="宋体"/>
                <w:kern w:val="0"/>
                <w:sz w:val="24"/>
                <w:szCs w:val="22"/>
                <w:lang w:val="en-US" w:eastAsia="zh-CN" w:bidi="ar-SA"/>
              </w:rPr>
              <w:t>≥</w:t>
            </w:r>
            <w:r>
              <w:rPr>
                <w:rFonts w:hint="eastAsia" w:asciiTheme="minorEastAsia" w:hAnsiTheme="minorEastAsia" w:eastAsiaTheme="minorEastAsia" w:cstheme="minorEastAsia"/>
                <w:kern w:val="0"/>
                <w:sz w:val="24"/>
                <w:szCs w:val="22"/>
                <w:lang w:val="en-US" w:eastAsia="zh-CN" w:bidi="ar-SA"/>
              </w:rPr>
              <w:t>×</w:t>
            </w:r>
            <w:r>
              <w:rPr>
                <w:rFonts w:hint="eastAsia" w:ascii="仿宋" w:hAnsi="仿宋" w:eastAsia="仿宋" w:cs="宋体"/>
                <w:kern w:val="0"/>
                <w:sz w:val="24"/>
                <w:szCs w:val="22"/>
                <w:lang w:val="en-US" w:eastAsia="zh-CN" w:bidi="ar-SA"/>
              </w:rPr>
              <w:t>年等要求，应明确应答具体年数</w:t>
            </w:r>
            <w:r>
              <w:rPr>
                <w:rFonts w:hint="eastAsia" w:ascii="仿宋" w:hAnsi="仿宋" w:eastAsia="仿宋"/>
                <w:kern w:val="0"/>
                <w:sz w:val="24"/>
                <w:lang w:val="en-US" w:eastAsia="zh-CN"/>
              </w:rPr>
              <w:t>。</w:t>
            </w:r>
          </w:p>
        </w:tc>
      </w:tr>
      <w:tr w14:paraId="620A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418" w:type="dxa"/>
            <w:vAlign w:val="center"/>
          </w:tcPr>
          <w:p w14:paraId="3366EACB">
            <w:pPr>
              <w:keepNext w:val="0"/>
              <w:keepLines w:val="0"/>
              <w:pageBreakBefore w:val="0"/>
              <w:kinsoku/>
              <w:wordWrap/>
              <w:overflowPunct/>
              <w:topLinePunct w:val="0"/>
              <w:autoSpaceDE/>
              <w:autoSpaceDN/>
              <w:bidi w:val="0"/>
              <w:adjustRightInd/>
              <w:snapToGrid/>
              <w:spacing w:line="240" w:lineRule="atLeast"/>
              <w:jc w:val="center"/>
              <w:textAlignment w:val="auto"/>
              <w:rPr>
                <w:rFonts w:hint="eastAsia" w:ascii="仿宋" w:hAnsi="仿宋" w:eastAsia="仿宋" w:cs="宋体"/>
                <w:kern w:val="0"/>
                <w:sz w:val="24"/>
                <w:lang w:eastAsia="zh-CN"/>
              </w:rPr>
            </w:pPr>
            <w:r>
              <w:rPr>
                <w:rFonts w:hint="eastAsia" w:ascii="仿宋" w:hAnsi="仿宋" w:eastAsia="仿宋" w:cs="宋体"/>
                <w:kern w:val="0"/>
                <w:sz w:val="24"/>
                <w:lang w:eastAsia="zh-CN"/>
              </w:rPr>
              <w:t>配置清单</w:t>
            </w:r>
          </w:p>
        </w:tc>
        <w:tc>
          <w:tcPr>
            <w:tcW w:w="6521" w:type="dxa"/>
            <w:vAlign w:val="center"/>
          </w:tcPr>
          <w:p w14:paraId="65632C75">
            <w:pPr>
              <w:pStyle w:val="10"/>
              <w:rPr>
                <w:rFonts w:hint="eastAsia" w:ascii="仿宋" w:hAnsi="仿宋" w:eastAsia="仿宋" w:cs="宋体"/>
                <w:kern w:val="0"/>
                <w:sz w:val="24"/>
                <w:szCs w:val="22"/>
                <w:lang w:val="en-US" w:eastAsia="zh-CN" w:bidi="ar-SA"/>
              </w:rPr>
            </w:pPr>
            <w:r>
              <w:rPr>
                <w:rFonts w:hint="eastAsia" w:ascii="仿宋" w:hAnsi="仿宋" w:eastAsia="仿宋" w:cs="宋体"/>
                <w:kern w:val="0"/>
                <w:sz w:val="24"/>
                <w:szCs w:val="22"/>
                <w:lang w:val="en-US" w:eastAsia="zh-CN" w:bidi="ar-SA"/>
              </w:rPr>
              <w:t>至少应包括：</w:t>
            </w:r>
          </w:p>
          <w:p w14:paraId="4A20DE89">
            <w:pPr>
              <w:pStyle w:val="10"/>
              <w:rPr>
                <w:rFonts w:hint="eastAsia" w:ascii="仿宋" w:hAnsi="仿宋" w:eastAsia="仿宋" w:cs="宋体"/>
                <w:kern w:val="0"/>
                <w:sz w:val="24"/>
                <w:szCs w:val="22"/>
                <w:lang w:val="en-US" w:eastAsia="zh-CN" w:bidi="ar-SA"/>
              </w:rPr>
            </w:pPr>
            <w:r>
              <w:rPr>
                <w:rFonts w:hint="eastAsia" w:ascii="仿宋" w:hAnsi="仿宋" w:eastAsia="仿宋" w:cs="宋体"/>
                <w:kern w:val="0"/>
                <w:sz w:val="24"/>
                <w:szCs w:val="22"/>
                <w:lang w:val="en-US" w:eastAsia="zh-CN" w:bidi="ar-SA"/>
              </w:rPr>
              <w:t>1、软镜主体（支气管镜）1条及配套附件1套；</w:t>
            </w:r>
          </w:p>
          <w:p w14:paraId="1A6E9E55">
            <w:pPr>
              <w:pStyle w:val="10"/>
              <w:rPr>
                <w:rFonts w:hint="eastAsia" w:ascii="仿宋" w:hAnsi="仿宋" w:eastAsia="仿宋" w:cs="宋体"/>
                <w:kern w:val="0"/>
                <w:sz w:val="24"/>
                <w:szCs w:val="22"/>
                <w:lang w:val="en-US" w:eastAsia="zh-CN" w:bidi="ar-SA"/>
              </w:rPr>
            </w:pPr>
            <w:r>
              <w:rPr>
                <w:rFonts w:hint="eastAsia" w:ascii="仿宋" w:hAnsi="仿宋" w:eastAsia="仿宋" w:cs="宋体"/>
                <w:kern w:val="0"/>
                <w:sz w:val="24"/>
                <w:szCs w:val="22"/>
                <w:lang w:val="en-US" w:eastAsia="zh-CN" w:bidi="ar-SA"/>
              </w:rPr>
              <w:t>2、移动台车1辆。</w:t>
            </w:r>
          </w:p>
        </w:tc>
        <w:tc>
          <w:tcPr>
            <w:tcW w:w="1701" w:type="dxa"/>
            <w:vAlign w:val="center"/>
          </w:tcPr>
          <w:p w14:paraId="2F55A839">
            <w:pPr>
              <w:spacing w:line="240" w:lineRule="auto"/>
              <w:jc w:val="both"/>
              <w:rPr>
                <w:rFonts w:hint="default" w:ascii="仿宋" w:hAnsi="仿宋" w:eastAsia="仿宋"/>
                <w:sz w:val="24"/>
                <w:lang w:val="en-US" w:eastAsia="zh-CN"/>
              </w:rPr>
            </w:pPr>
            <w:r>
              <w:rPr>
                <w:rFonts w:hint="eastAsia" w:ascii="仿宋" w:hAnsi="仿宋" w:eastAsia="仿宋"/>
                <w:sz w:val="24"/>
                <w:lang w:val="en-US" w:eastAsia="zh-CN"/>
              </w:rPr>
              <w:t>请根据响应产品实际情况逐一列明。</w:t>
            </w:r>
          </w:p>
        </w:tc>
      </w:tr>
    </w:tbl>
    <w:p w14:paraId="0BDF8F3B">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三、服务要求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w:t>
      </w:r>
      <w:r>
        <w:rPr>
          <w:rFonts w:hint="eastAsia" w:ascii="仿宋" w:hAnsi="仿宋" w:eastAsia="仿宋" w:cs="仿宋"/>
          <w:b/>
          <w:bCs/>
          <w:color w:val="auto"/>
          <w:sz w:val="28"/>
          <w:szCs w:val="28"/>
          <w:lang w:eastAsia="zh-CN"/>
        </w:rPr>
        <w:t>技术、服务及其他要求应答表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72E9FA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（一）供应商负责设备安装、调试，其费用包含在项目报价内。</w:t>
      </w:r>
    </w:p>
    <w:p w14:paraId="140E5A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二）供应商提供设备操作（使用）培训，其费用包含在项目报价内。保证采购人操作（使用）人员能熟练、独立操作（使用），采购人维修维护人员能完成一般常见故障的维修及日常保养工作，如未达到，医院有权延后支付合同所约定款项。</w:t>
      </w:r>
    </w:p>
    <w:p w14:paraId="442FC2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（三）供应商应定期进行回访，解决设备运行当中可能出现的疑问，排除潜在的故障，使设备保持正常的工作状态。</w:t>
      </w:r>
    </w:p>
    <w:p w14:paraId="2FFBFC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（四）售后服务响应时间：供应商应在接到售后服务通知或故障电话 </w:t>
      </w:r>
      <w:r>
        <w:rPr>
          <w:rFonts w:hint="eastAsia" w:ascii="仿宋" w:hAnsi="仿宋" w:eastAsia="仿宋" w:cs="仿宋"/>
          <w:color w:val="FF0000"/>
          <w:kern w:val="2"/>
          <w:sz w:val="28"/>
          <w:szCs w:val="28"/>
          <w:lang w:val="en-US" w:eastAsia="zh-CN" w:bidi="ar-SA"/>
        </w:rPr>
        <w:t>12 小时内响应，48小时内到场维修</w:t>
      </w:r>
      <w:r>
        <w:rPr>
          <w:rFonts w:hint="eastAsia" w:ascii="仿宋" w:hAnsi="仿宋" w:eastAsia="仿宋" w:cs="仿宋"/>
          <w:kern w:val="2"/>
          <w:sz w:val="28"/>
          <w:szCs w:val="28"/>
          <w:lang w:val="en-US" w:eastAsia="zh-CN" w:bidi="ar-SA"/>
        </w:rPr>
        <w:t>。</w:t>
      </w:r>
    </w:p>
    <w:p w14:paraId="6B0BFA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atLeast"/>
        <w:ind w:right="0" w:firstLine="560" w:firstLineChars="200"/>
        <w:jc w:val="both"/>
        <w:textAlignment w:val="auto"/>
        <w:rPr>
          <w:rFonts w:hint="eastAsia" w:ascii="仿宋" w:hAnsi="仿宋" w:eastAsia="仿宋" w:cs="仿宋"/>
          <w:b/>
          <w:bCs/>
          <w:i/>
          <w:iCs/>
          <w:color w:val="FF0000"/>
          <w:kern w:val="2"/>
          <w:sz w:val="28"/>
          <w:szCs w:val="28"/>
          <w:lang w:val="en-US" w:eastAsia="zh-CN" w:bidi="ar-SA"/>
        </w:rPr>
      </w:pPr>
      <w:r>
        <w:rPr>
          <w:rFonts w:hint="eastAsia" w:ascii="仿宋" w:hAnsi="仿宋" w:eastAsia="仿宋" w:cs="仿宋"/>
          <w:kern w:val="2"/>
          <w:sz w:val="28"/>
          <w:szCs w:val="28"/>
          <w:lang w:val="en-US" w:eastAsia="zh-CN" w:bidi="ar-SA"/>
        </w:rPr>
        <w:t>（五）质保期后，供应商应提供标的物终生维修、维护，维修只收取材料成本费。</w:t>
      </w:r>
    </w:p>
    <w:p w14:paraId="7ACE172D">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四、商务要求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此节内容供应商在商务</w:t>
      </w:r>
      <w:r>
        <w:rPr>
          <w:rFonts w:hint="eastAsia" w:ascii="仿宋" w:hAnsi="仿宋" w:eastAsia="仿宋" w:cs="仿宋"/>
          <w:b/>
          <w:bCs/>
          <w:color w:val="auto"/>
          <w:sz w:val="28"/>
          <w:szCs w:val="28"/>
          <w:lang w:eastAsia="zh-CN"/>
        </w:rPr>
        <w:t>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6AD3E8BE">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（一）交货时间：合同签字盖章生效之日起</w:t>
      </w:r>
      <w:r>
        <w:rPr>
          <w:rFonts w:hint="eastAsia" w:ascii="仿宋" w:hAnsi="仿宋" w:eastAsia="仿宋" w:cs="仿宋"/>
          <w:color w:val="FF0000"/>
          <w:sz w:val="28"/>
          <w:szCs w:val="28"/>
          <w:lang w:val="en-US" w:eastAsia="zh-CN"/>
        </w:rPr>
        <w:t>30日</w:t>
      </w:r>
      <w:r>
        <w:rPr>
          <w:rFonts w:hint="eastAsia" w:ascii="仿宋" w:hAnsi="仿宋" w:eastAsia="仿宋" w:cs="仿宋"/>
          <w:color w:val="auto"/>
          <w:sz w:val="28"/>
          <w:szCs w:val="28"/>
          <w:lang w:val="en-US" w:eastAsia="zh-CN"/>
        </w:rPr>
        <w:t>内将标的物交货到采购人指定地点。</w:t>
      </w:r>
    </w:p>
    <w:p w14:paraId="55E0D60C">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（二）交货地点：四川省大竹县白塔街道青年路99号，</w:t>
      </w:r>
      <w:r>
        <w:rPr>
          <w:rFonts w:hint="eastAsia" w:ascii="仿宋" w:hAnsi="仿宋" w:eastAsia="仿宋" w:cs="仿宋"/>
          <w:i w:val="0"/>
          <w:iCs w:val="0"/>
          <w:color w:val="FF0000"/>
          <w:sz w:val="28"/>
          <w:szCs w:val="28"/>
          <w:lang w:val="en-US" w:eastAsia="zh-CN"/>
        </w:rPr>
        <w:t>大竹县人民医院院外科医技大楼6楼重症医学科</w:t>
      </w:r>
      <w:r>
        <w:rPr>
          <w:rFonts w:hint="eastAsia" w:ascii="仿宋" w:hAnsi="仿宋" w:eastAsia="仿宋" w:cs="仿宋"/>
          <w:i w:val="0"/>
          <w:iCs w:val="0"/>
          <w:color w:val="auto"/>
          <w:sz w:val="28"/>
          <w:szCs w:val="28"/>
          <w:lang w:val="en-US" w:eastAsia="zh-CN"/>
        </w:rPr>
        <w:t>。标的物交付采购人之前，标的物的损</w:t>
      </w:r>
      <w:r>
        <w:rPr>
          <w:rFonts w:hint="eastAsia" w:ascii="仿宋" w:hAnsi="仿宋" w:eastAsia="仿宋" w:cs="仿宋"/>
          <w:color w:val="auto"/>
          <w:sz w:val="28"/>
          <w:szCs w:val="28"/>
          <w:lang w:val="en-US" w:eastAsia="zh-CN"/>
        </w:rPr>
        <w:t>毁、灭失风险由供应商承担。</w:t>
      </w:r>
    </w:p>
    <w:p w14:paraId="7E0884D6">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（三）付款方式</w:t>
      </w:r>
    </w:p>
    <w:p w14:paraId="2277F65F">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1、支付方式：</w:t>
      </w:r>
      <w:r>
        <w:rPr>
          <w:rFonts w:hint="eastAsia" w:ascii="仿宋" w:hAnsi="仿宋" w:eastAsia="仿宋" w:cs="仿宋"/>
          <w:color w:val="FF0000"/>
          <w:sz w:val="28"/>
          <w:szCs w:val="28"/>
          <w:lang w:val="en-US" w:eastAsia="zh-CN"/>
        </w:rPr>
        <w:t>分期付款</w:t>
      </w:r>
    </w:p>
    <w:p w14:paraId="10029541">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2、付款进度安排</w:t>
      </w:r>
    </w:p>
    <w:p w14:paraId="36962375">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（1）</w:t>
      </w:r>
      <w:r>
        <w:rPr>
          <w:rFonts w:hint="eastAsia" w:ascii="仿宋" w:hAnsi="仿宋" w:eastAsia="仿宋" w:cs="仿宋"/>
          <w:color w:val="auto"/>
          <w:sz w:val="28"/>
          <w:szCs w:val="28"/>
          <w:lang w:val="en-US" w:eastAsia="zh-CN"/>
        </w:rPr>
        <w:t>标的物</w:t>
      </w:r>
      <w:r>
        <w:rPr>
          <w:rFonts w:hint="default" w:ascii="仿宋" w:hAnsi="仿宋" w:eastAsia="仿宋" w:cs="仿宋"/>
          <w:color w:val="auto"/>
          <w:sz w:val="28"/>
          <w:szCs w:val="28"/>
          <w:lang w:val="en-US" w:eastAsia="zh-CN"/>
        </w:rPr>
        <w:t>安装、调试、培训完成并最终验收合格交付使用，开具国家认可足额有效票据，达到付款条件起</w:t>
      </w:r>
      <w:r>
        <w:rPr>
          <w:rFonts w:hint="default" w:ascii="仿宋" w:hAnsi="仿宋" w:eastAsia="仿宋" w:cs="仿宋"/>
          <w:color w:val="FF0000"/>
          <w:sz w:val="28"/>
          <w:szCs w:val="28"/>
          <w:lang w:val="en-US" w:eastAsia="zh-CN"/>
        </w:rPr>
        <w:t>30日</w:t>
      </w:r>
      <w:r>
        <w:rPr>
          <w:rFonts w:hint="default" w:ascii="仿宋" w:hAnsi="仿宋" w:eastAsia="仿宋" w:cs="仿宋"/>
          <w:color w:val="auto"/>
          <w:sz w:val="28"/>
          <w:szCs w:val="28"/>
          <w:lang w:val="en-US" w:eastAsia="zh-CN"/>
        </w:rPr>
        <w:t>内，支付合同总金额的90%；</w:t>
      </w:r>
    </w:p>
    <w:p w14:paraId="62F0DE77">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（2）质保期满，且</w:t>
      </w:r>
      <w:r>
        <w:rPr>
          <w:rFonts w:hint="eastAsia" w:ascii="仿宋" w:hAnsi="仿宋" w:eastAsia="仿宋" w:cs="仿宋"/>
          <w:color w:val="auto"/>
          <w:sz w:val="28"/>
          <w:szCs w:val="28"/>
          <w:lang w:val="en-US" w:eastAsia="zh-CN"/>
        </w:rPr>
        <w:t>标的物</w:t>
      </w:r>
      <w:r>
        <w:rPr>
          <w:rFonts w:hint="default" w:ascii="仿宋" w:hAnsi="仿宋" w:eastAsia="仿宋" w:cs="仿宋"/>
          <w:color w:val="auto"/>
          <w:sz w:val="28"/>
          <w:szCs w:val="28"/>
          <w:lang w:val="en-US" w:eastAsia="zh-CN"/>
        </w:rPr>
        <w:t>无质量问题，达到付款条件起</w:t>
      </w:r>
      <w:r>
        <w:rPr>
          <w:rFonts w:hint="default" w:ascii="仿宋" w:hAnsi="仿宋" w:eastAsia="仿宋" w:cs="仿宋"/>
          <w:color w:val="FF0000"/>
          <w:sz w:val="28"/>
          <w:szCs w:val="28"/>
          <w:lang w:val="en-US" w:eastAsia="zh-CN"/>
        </w:rPr>
        <w:t>30日</w:t>
      </w:r>
      <w:r>
        <w:rPr>
          <w:rFonts w:hint="default" w:ascii="仿宋" w:hAnsi="仿宋" w:eastAsia="仿宋" w:cs="仿宋"/>
          <w:color w:val="auto"/>
          <w:sz w:val="28"/>
          <w:szCs w:val="28"/>
          <w:lang w:val="en-US" w:eastAsia="zh-CN"/>
        </w:rPr>
        <w:t>内，支付合同总金额的10%。</w:t>
      </w:r>
    </w:p>
    <w:p w14:paraId="0FA3F9BE">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（四）验收、交付标准和方法</w:t>
      </w:r>
    </w:p>
    <w:p w14:paraId="6410047A">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1、验收交付标准：按国家相关法律法规、行业标准、技术规范；招标文件相关技术、服务要求、中标供应商投标文件相关响应内容；中标产品生产厂家出具的产品说明书、技术白皮书、医疗器械注册证或备案凭证等技术资料(如涉及)；如验收时双方对技术指标、质量要求等约定标准有相互抵触或异议的事项,双方须按照国家相关规定及招标文件相关技术、服务要求、中标供应商投标文件相关响应内容中质量要求和技术指标较严格的原则确定该事项的标准并进行验收。 </w:t>
      </w:r>
    </w:p>
    <w:p w14:paraId="7E83D707">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2、验收交付方法：</w:t>
      </w:r>
    </w:p>
    <w:p w14:paraId="4589B66E">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（1）供应商按合同约定将标的物交到采购人指定地点和完成合同规定服务内容，并完成安装、调试、培训后可向采购人提出初步验收；初步验收合格后进入</w:t>
      </w:r>
      <w:r>
        <w:rPr>
          <w:rFonts w:hint="eastAsia" w:ascii="仿宋" w:hAnsi="仿宋" w:eastAsia="仿宋" w:cs="仿宋"/>
          <w:color w:val="FF0000"/>
          <w:sz w:val="28"/>
          <w:szCs w:val="28"/>
          <w:lang w:val="en-US" w:eastAsia="zh-CN"/>
        </w:rPr>
        <w:t>1个月试运行期</w:t>
      </w:r>
      <w:r>
        <w:rPr>
          <w:rFonts w:hint="eastAsia" w:ascii="仿宋" w:hAnsi="仿宋" w:eastAsia="仿宋" w:cs="仿宋"/>
          <w:color w:val="auto"/>
          <w:sz w:val="28"/>
          <w:szCs w:val="28"/>
          <w:lang w:val="en-US" w:eastAsia="zh-CN"/>
        </w:rPr>
        <w:t>，试运行期满无任何质量问题供应商可向采购人提出最终验收；最终验收合格，甲乙双方签署验收报告后视为供应商正式将标的物产权移交采购人。如由于采购人的原因造成延迟交付的，时间顺延。</w:t>
      </w:r>
    </w:p>
    <w:p w14:paraId="0018A05F">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验收方式。验收由采购人组织，供应商配合、协助提供验收所需资料及功能演示，按照本项目采购文件、响应文件以及合同约定进行验收。若标的物存在质量问题或未按照合同规定提供服务，采购人有权拒绝验收和支付合同款项。</w:t>
      </w:r>
    </w:p>
    <w:p w14:paraId="5DF60DAF">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验收时如发现供应商提供的标的物和服务有不符合本合同规定之情形，验收时应做出详尽的现场记录，或由验收方与供应商签署备忘录，此现场记录或备忘录可用作补充、缺失和进行整改的有效证据，由此产生的时间延误与有关费用由供应商承担，验收期限相应顺延。</w:t>
      </w:r>
    </w:p>
    <w:p w14:paraId="10B7DED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（五）质量保修范围和保修期</w:t>
      </w:r>
    </w:p>
    <w:p w14:paraId="5F0496A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1、质保期：</w:t>
      </w:r>
      <w:r>
        <w:rPr>
          <w:rFonts w:hint="eastAsia" w:ascii="仿宋" w:hAnsi="仿宋" w:eastAsia="仿宋" w:cs="仿宋"/>
          <w:color w:val="FF0000"/>
          <w:kern w:val="2"/>
          <w:sz w:val="28"/>
          <w:szCs w:val="28"/>
          <w:lang w:val="en-US" w:eastAsia="zh-CN" w:bidi="ar-SA"/>
        </w:rPr>
        <w:t>≥贰年</w:t>
      </w:r>
      <w:r>
        <w:rPr>
          <w:rFonts w:hint="eastAsia" w:ascii="仿宋" w:hAnsi="仿宋" w:eastAsia="仿宋" w:cs="仿宋"/>
          <w:color w:val="auto"/>
          <w:kern w:val="2"/>
          <w:sz w:val="28"/>
          <w:szCs w:val="28"/>
          <w:lang w:val="en-US" w:eastAsia="zh-CN" w:bidi="ar-SA"/>
        </w:rPr>
        <w:t>。响应的质保期不得超过响应产品的官方技术文件中写明的最长使用期限（不包括易损附件的使用期限），否则视为虚假响应，供应商须承担相应后果。</w:t>
      </w:r>
      <w:r>
        <w:rPr>
          <w:rFonts w:hint="eastAsia" w:ascii="仿宋" w:hAnsi="仿宋" w:eastAsia="仿宋" w:cs="仿宋"/>
          <w:b w:val="0"/>
          <w:bCs w:val="0"/>
          <w:color w:val="auto"/>
          <w:kern w:val="2"/>
          <w:sz w:val="28"/>
          <w:szCs w:val="28"/>
          <w:lang w:val="en-US" w:eastAsia="zh-CN" w:bidi="ar-SA"/>
        </w:rPr>
        <w:t>供应商须在《报价一览表》中明确具体质保期时间。</w:t>
      </w:r>
    </w:p>
    <w:p w14:paraId="54487CD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2、在验收期或质保期内，如果标的物的数量、规格、质量或性能与合同和投标文件不符，或证实是有缺陷的，包括潜在的缺陷或使用不符合要求的材料等，以及出现某种或某部件出现经常性故障，供应商</w:t>
      </w:r>
      <w:r>
        <w:rPr>
          <w:rFonts w:hint="eastAsia" w:ascii="仿宋" w:hAnsi="仿宋" w:eastAsia="仿宋" w:cs="仿宋"/>
          <w:color w:val="auto"/>
          <w:kern w:val="2"/>
          <w:sz w:val="28"/>
          <w:szCs w:val="28"/>
          <w:highlight w:val="none"/>
          <w:lang w:val="en-US" w:eastAsia="zh-CN" w:bidi="ar-SA"/>
        </w:rPr>
        <w:t>应提供维修、更换或退货等服务，其产生的一切费用（含货物、人工、运输费等）由乙方承担。货物更换必须是等于或优于本合同要求的</w:t>
      </w:r>
      <w:r>
        <w:rPr>
          <w:rFonts w:hint="eastAsia" w:ascii="仿宋" w:hAnsi="仿宋" w:eastAsia="仿宋" w:cs="仿宋"/>
          <w:color w:val="auto"/>
          <w:sz w:val="28"/>
          <w:szCs w:val="28"/>
          <w:highlight w:val="none"/>
          <w:lang w:val="en-US" w:eastAsia="zh-CN"/>
        </w:rPr>
        <w:t>。</w:t>
      </w:r>
      <w:r>
        <w:rPr>
          <w:rFonts w:hint="eastAsia" w:ascii="仿宋" w:hAnsi="仿宋" w:eastAsia="仿宋" w:cs="仿宋"/>
          <w:b w:val="0"/>
          <w:bCs/>
          <w:color w:val="auto"/>
          <w:sz w:val="28"/>
          <w:szCs w:val="28"/>
          <w:u w:val="none"/>
          <w:lang w:val="en-US" w:eastAsia="zh-CN"/>
        </w:rPr>
        <w:t>乙方应在双方协商的时间内完成维修或更换有缺陷的货物</w:t>
      </w:r>
      <w:r>
        <w:rPr>
          <w:rFonts w:hint="eastAsia" w:ascii="仿宋" w:hAnsi="仿宋" w:eastAsia="仿宋" w:cs="仿宋"/>
          <w:b w:val="0"/>
          <w:bCs/>
          <w:sz w:val="28"/>
          <w:szCs w:val="28"/>
          <w:u w:val="none"/>
          <w:lang w:val="en-US" w:eastAsia="zh-CN"/>
        </w:rPr>
        <w:t>或部件，否则视为乙方违约</w:t>
      </w:r>
      <w:r>
        <w:rPr>
          <w:rFonts w:hint="eastAsia" w:ascii="仿宋" w:hAnsi="仿宋" w:eastAsia="仿宋" w:cs="仿宋"/>
          <w:color w:val="auto"/>
          <w:kern w:val="2"/>
          <w:sz w:val="28"/>
          <w:szCs w:val="28"/>
          <w:lang w:val="en-US" w:eastAsia="zh-CN" w:bidi="ar-SA"/>
        </w:rPr>
        <w:t>。</w:t>
      </w:r>
    </w:p>
    <w:p w14:paraId="6B1429A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3、质保范围：含整机所有部件（包含附件和第三方设备），质保期内标的物出现故障或质量问题，供应商负责维修或者更换，涉及的维修、产品更换、人工费用等一切费用包含在本项目报价中。</w:t>
      </w:r>
    </w:p>
    <w:p w14:paraId="7107B5B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4、标的物在质保期内出现质量问题，供应商应将有质量问题的标的物更换，更换的标的物必须是等于或优于本文件要求的。在双方协商的时间内不能更换的由供应商提供备选方案，供应商怠于或不履行或瑕疵履行售后义务的或更换的标的物仍存在问题的，采购人将采取必要的补救措施（采购人自行更换或委托第三方替代供应商更换），其产生的因处理标的物问题的所有费用及风险由供应商承担，同时视为供应商违约，采购人要求供应商承担违约责任。</w:t>
      </w:r>
    </w:p>
    <w:p w14:paraId="2351AFB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（六）违约责任</w:t>
      </w:r>
    </w:p>
    <w:p w14:paraId="6A21D29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1、供应商必须严格按照国家相关法律法规和本文件要求及供应商提交的响应文件约定履行合同，按时全面履行本项目的各项义务，供应商不履行本项目义务或瑕疵履行本项目义务或延迟履行本项目义务或履行合同义务不符合合同约定的，则成交供应商违约。</w:t>
      </w:r>
    </w:p>
    <w:p w14:paraId="2F3042DD">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根据《中华人民共和国民法典》合同编的法律规定，采购人有权解除合同，并要求成交供应商承担相应违约责任并支付相应金额的违约金。采购人有权直接从成交供应商的合同货款中扣除违约金，成交供应商因违约行为偿付的违约金不足以弥补采购人损失的，还应按采购人损失尚未弥补的部分，支付赔偿金全额赔偿采购人损失。</w:t>
      </w:r>
    </w:p>
    <w:p w14:paraId="503E0A7A">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有下列情形之一行为视为供应商违约，采购人有权按照以下条款要求成交供应商承担违约金及违约责任：</w:t>
      </w:r>
    </w:p>
    <w:p w14:paraId="0C191B90">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成交供应商根本违约的违约责任。合同履行期限内，成交供应商明确表示或者以自己的行为表明不能履行本项目合同的主要义务，或提供假冒伪劣、以次充好的产品等，致使合同的目的不能实现的，则成交供应商构成根本违约。成交供应商应向采购人支付合同总价款20%的违约金，同时采购人有权解除合同。违约金由采购人直接从供应商合同款项中扣除。</w:t>
      </w:r>
    </w:p>
    <w:p w14:paraId="6CAF9FEA">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（2）成交供应商延迟履约的违约责任。</w:t>
      </w:r>
    </w:p>
    <w:p w14:paraId="7D61CC32">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成交供应商提供的货物或服务未按合同约定时间达成的，则成交供应商构成延迟履约。供应商延迟履约的，除仍需按照本合同规定的时间、地点交货和提供相关服务外，还应向采购人偿付逾期交货部分货款总额的</w:t>
      </w:r>
      <w:r>
        <w:rPr>
          <w:rFonts w:hint="eastAsia" w:ascii="仿宋" w:hAnsi="仿宋" w:eastAsia="仿宋" w:cs="仿宋"/>
          <w:color w:val="FF0000"/>
          <w:sz w:val="28"/>
          <w:szCs w:val="28"/>
          <w:lang w:val="en-US" w:eastAsia="zh-CN"/>
        </w:rPr>
        <w:t>万分之五/天</w:t>
      </w:r>
      <w:r>
        <w:rPr>
          <w:rFonts w:hint="eastAsia" w:ascii="仿宋" w:hAnsi="仿宋" w:eastAsia="仿宋" w:cs="仿宋"/>
          <w:color w:val="auto"/>
          <w:sz w:val="28"/>
          <w:szCs w:val="28"/>
          <w:lang w:val="en-US" w:eastAsia="zh-CN"/>
        </w:rPr>
        <w:t>的违约金；逾期交货超过</w:t>
      </w:r>
      <w:r>
        <w:rPr>
          <w:rFonts w:hint="eastAsia" w:ascii="仿宋" w:hAnsi="仿宋" w:eastAsia="仿宋" w:cs="仿宋"/>
          <w:color w:val="FF0000"/>
          <w:sz w:val="28"/>
          <w:szCs w:val="28"/>
          <w:lang w:val="en-US" w:eastAsia="zh-CN"/>
        </w:rPr>
        <w:t>60天</w:t>
      </w:r>
      <w:r>
        <w:rPr>
          <w:rFonts w:hint="eastAsia" w:ascii="仿宋" w:hAnsi="仿宋" w:eastAsia="仿宋" w:cs="仿宋"/>
          <w:color w:val="auto"/>
          <w:sz w:val="28"/>
          <w:szCs w:val="28"/>
          <w:lang w:val="en-US" w:eastAsia="zh-CN"/>
        </w:rPr>
        <w:t>，供应商应向采购人缴纳合同总价款20%的违约金，同时采购人有权解除合同。违约金由采购人直接从供应商合同款项中扣除。</w:t>
      </w:r>
    </w:p>
    <w:p w14:paraId="3C71D20A">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在履行合同过程中，如果供应商遇到可能影响按时交货和提供服务的情形时，应及时以书面形式将迟延的事实、可能迟延的期限和理由通知采购人，采购人在收到供应商通知后，应尽快对情况进行评价，并确定是否同意延长交货时间或延期提供服务。采购人同意延长交货时间或延期提供服务的，供应商不承担延迟履约责任。</w:t>
      </w:r>
    </w:p>
    <w:p w14:paraId="784C11A3">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供应商质量瑕疵履约。供应商所提供的标的物不符合合同约定的质量标准或存在产品质量缺陷或服务瑕疵违约，与本合同要求不符的，供应商应承担及时修理、重作、更换、退货、减少价款或者报酬等违约责任，供应商应向采购人缴纳合同总价款</w:t>
      </w:r>
      <w:r>
        <w:rPr>
          <w:rFonts w:hint="eastAsia" w:ascii="仿宋" w:hAnsi="仿宋" w:eastAsia="仿宋" w:cs="仿宋"/>
          <w:color w:val="FF0000"/>
          <w:sz w:val="28"/>
          <w:szCs w:val="28"/>
          <w:lang w:val="en-US" w:eastAsia="zh-CN"/>
        </w:rPr>
        <w:t>20%</w:t>
      </w:r>
      <w:r>
        <w:rPr>
          <w:rFonts w:hint="eastAsia" w:ascii="仿宋" w:hAnsi="仿宋" w:eastAsia="仿宋" w:cs="仿宋"/>
          <w:color w:val="auto"/>
          <w:sz w:val="28"/>
          <w:szCs w:val="28"/>
          <w:lang w:val="en-US" w:eastAsia="zh-CN"/>
        </w:rPr>
        <w:t>的违约金，同时采购人有权解除合同。</w:t>
      </w:r>
    </w:p>
    <w:p w14:paraId="4319C809">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（4）如任何第三方经法院（或仲裁机构）裁决有权对供应商交付标的物主张权利或国家机关依法对标的物进行没收查处的，供应商除应向采购人返还已收款项外，还应按合同总价款</w:t>
      </w:r>
      <w:r>
        <w:rPr>
          <w:rFonts w:hint="eastAsia" w:ascii="仿宋" w:hAnsi="仿宋" w:eastAsia="仿宋" w:cs="仿宋"/>
          <w:color w:val="FF0000"/>
          <w:sz w:val="28"/>
          <w:szCs w:val="28"/>
          <w:lang w:val="en-US" w:eastAsia="zh-CN"/>
        </w:rPr>
        <w:t>20%</w:t>
      </w:r>
      <w:r>
        <w:rPr>
          <w:rFonts w:hint="eastAsia" w:ascii="仿宋" w:hAnsi="仿宋" w:eastAsia="仿宋" w:cs="仿宋"/>
          <w:color w:val="auto"/>
          <w:sz w:val="28"/>
          <w:szCs w:val="28"/>
          <w:lang w:val="en-US" w:eastAsia="zh-CN"/>
        </w:rPr>
        <w:t>向采购人支付违约金并赔偿因此给采购人造成的一切损失。</w:t>
      </w:r>
    </w:p>
    <w:p w14:paraId="76E42125">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（5）供应商偿付的违约金不足以弥补采购人损失的，还应按采购人损失尚未弥补的部分支付赔偿金给采购人。</w:t>
      </w:r>
    </w:p>
    <w:p w14:paraId="77705B3E">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（6）分包、转包的违约责任。本合同不允许供应商将项目分包、转包给任何第三方，否则采购人可以解除合同，并可要求供应商向采购人缴纳合同金额</w:t>
      </w:r>
      <w:r>
        <w:rPr>
          <w:rFonts w:hint="eastAsia" w:ascii="仿宋" w:hAnsi="仿宋" w:eastAsia="仿宋" w:cs="仿宋"/>
          <w:color w:val="FF0000"/>
          <w:sz w:val="28"/>
          <w:szCs w:val="28"/>
          <w:lang w:val="en-US" w:eastAsia="zh-CN"/>
        </w:rPr>
        <w:t>20%</w:t>
      </w:r>
      <w:r>
        <w:rPr>
          <w:rFonts w:hint="eastAsia" w:ascii="仿宋" w:hAnsi="仿宋" w:eastAsia="仿宋" w:cs="仿宋"/>
          <w:color w:val="auto"/>
          <w:sz w:val="28"/>
          <w:szCs w:val="28"/>
          <w:lang w:val="en-US" w:eastAsia="zh-CN"/>
        </w:rPr>
        <w:t>的违约金。</w:t>
      </w:r>
    </w:p>
    <w:p w14:paraId="01291110">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r>
        <w:rPr>
          <w:rFonts w:hint="eastAsia" w:ascii="仿宋" w:hAnsi="仿宋" w:eastAsia="仿宋" w:cs="仿宋"/>
          <w:kern w:val="2"/>
          <w:sz w:val="28"/>
          <w:szCs w:val="28"/>
          <w:lang w:val="en-US" w:eastAsia="zh-CN" w:bidi="ar-SA"/>
        </w:rPr>
        <w:t>供应商须遵守采购人规定的院内各项制度和要求，并在指定的区域内进行作业，供应商应做好各项安全保障工作和预案，做好员工安全教育工作，严格执行国家相关法律法规、安全规章制度，采取有效的安全措施，确保安全履行合同。合同履行过程中由供应商及员工原因造成的一切安全事故、人身伤亡、经济损失均由供应商自行负责承担，其责任与采购人无关。若供应商造成采购人损失的，包括但不限于采购人本身的财产损失或人身伤害或由此而导致的采购人对任何第三方的法律责任等，供应商对此均应承担全部的赔偿责任和法律</w:t>
      </w:r>
      <w:r>
        <w:rPr>
          <w:rFonts w:hint="eastAsia" w:ascii="仿宋" w:hAnsi="仿宋" w:eastAsia="仿宋" w:cs="仿宋"/>
          <w:color w:val="auto"/>
          <w:sz w:val="28"/>
          <w:szCs w:val="28"/>
          <w:lang w:val="en-US" w:eastAsia="zh-CN"/>
        </w:rPr>
        <w:t>责任。</w:t>
      </w:r>
    </w:p>
    <w:p w14:paraId="7D25C3E2">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（七）标的物包装、运输要求</w:t>
      </w:r>
    </w:p>
    <w:p w14:paraId="2A4CB4CB">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  1、供应商须提供全新的标的物，符合国家相关质量标准、技术标准、安全认证和合同要求，且应保证标的物是全新、未使用过的原厂原包装合格正品，标的物表面无划伤、无碰撞痕迹，无损坏。标的物包装应干净、结实、无破损、封口严密、方便储存、运输和使用。包装上必须标明品名、规格、生产厂家、出厂日期或质保期。标的物为医疗器械的应符合《医疗器械说明书和标签管理规定》要求，特别是进口产品一定要有中文标识。中文标识至少应包括：产品名称、型号、规格、有效期、医疗器械注册证编号或者备案凭证编号、注册人（代理人）或者生产企业的名称、住所、生产地址、联系方式及生产许可证编号等。</w:t>
      </w:r>
    </w:p>
    <w:p w14:paraId="5DEFF1AE">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供应商保证所提供的标的物在装卸、运输和仓储过程中有足够的包装保护，满足远距离运输、防潮、防震、防锈和防野蛮装卸等要求，防止标的物受潮、变质、受到冲撞以及其他不可预见的损坏，符合环保和国家强制要求。供应商提供标的物运输过程中造成标的物泄露、损坏、灭失等，造成的一切经济损失由供应商自行承担。发生破损、受潮、容量不足、疑似瑕疵品等情况，采购人有权拒收标的物。</w:t>
      </w:r>
    </w:p>
    <w:p w14:paraId="7F4C7798">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对运输、存储条件有特殊要求的货物（如冷链管理的医疗器械等）需按照说明书和标签标示要求进行运输与贮存，并做好相关记录。需单独包装、且应在外包装显著位置说明运输及存储条件，以便医院收货后能按要求保存或迅速移交科室存放，否则由此造成的一切损失由乙方承担。冷链管理医疗器械根据《医疗器械冷链（运输、贮存）管理指南》（2016第154号）的相关要求执行。</w:t>
      </w:r>
    </w:p>
    <w:p w14:paraId="0B33B659">
      <w:pPr>
        <w:pStyle w:val="3"/>
        <w:keepNext w:val="0"/>
        <w:keepLines w:val="0"/>
        <w:pageBreakBefore w:val="0"/>
        <w:widowControl w:val="0"/>
        <w:kinsoku/>
        <w:wordWrap/>
        <w:overflowPunct/>
        <w:topLinePunct w:val="0"/>
        <w:autoSpaceDE/>
        <w:autoSpaceDN/>
        <w:bidi w:val="0"/>
        <w:adjustRightInd/>
        <w:snapToGrid/>
        <w:spacing w:after="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4、设备每一个包装箱内应附详细装箱清单。耗材试剂每批次货物应附随货同行清单，清单按合同要求制作。</w:t>
      </w:r>
    </w:p>
    <w:p w14:paraId="77609839">
      <w:pPr>
        <w:pageBreakBefore w:val="0"/>
        <w:numPr>
          <w:ilvl w:val="0"/>
          <w:numId w:val="0"/>
        </w:numPr>
        <w:kinsoku/>
        <w:wordWrap/>
        <w:overflowPunct/>
        <w:topLinePunct w:val="0"/>
        <w:autoSpaceDE/>
        <w:autoSpaceDN/>
        <w:bidi w:val="0"/>
        <w:adjustRightInd/>
        <w:snapToGrid/>
        <w:spacing w:beforeLines="50" w:afterLines="50" w:line="560" w:lineRule="exact"/>
        <w:ind w:firstLine="562" w:firstLineChars="200"/>
        <w:outlineLvl w:val="1"/>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val="en-US" w:eastAsia="zh-CN"/>
        </w:rPr>
        <w:t>五、其他要求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w:t>
      </w:r>
      <w:r>
        <w:rPr>
          <w:rFonts w:hint="eastAsia" w:ascii="仿宋" w:hAnsi="仿宋" w:eastAsia="仿宋" w:cs="仿宋"/>
          <w:b/>
          <w:bCs/>
          <w:color w:val="auto"/>
          <w:sz w:val="28"/>
          <w:szCs w:val="28"/>
          <w:lang w:eastAsia="zh-CN"/>
        </w:rPr>
        <w:t>技术、服务及其他要求应答表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7694A6B7">
      <w:pPr>
        <w:pageBreakBefore w:val="0"/>
        <w:numPr>
          <w:ilvl w:val="0"/>
          <w:numId w:val="0"/>
        </w:numPr>
        <w:kinsoku/>
        <w:wordWrap/>
        <w:overflowPunct/>
        <w:topLinePunct w:val="0"/>
        <w:autoSpaceDE/>
        <w:autoSpaceDN/>
        <w:bidi w:val="0"/>
        <w:adjustRightInd/>
        <w:snapToGrid/>
        <w:spacing w:beforeLines="50" w:afterLines="50" w:line="560" w:lineRule="exact"/>
        <w:ind w:firstLine="560" w:firstLineChars="200"/>
        <w:outlineLvl w:val="1"/>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无</w:t>
      </w:r>
    </w:p>
    <w:p w14:paraId="5B81340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660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360" w:after="360" w:line="400" w:lineRule="exact"/>
      <w:ind w:firstLine="2564" w:firstLineChars="798"/>
      <w:jc w:val="center"/>
      <w:outlineLvl w:val="0"/>
    </w:pPr>
    <w:rPr>
      <w:rFonts w:ascii="黑体" w:hAnsi="黑体" w:eastAsia="黑体"/>
      <w:b/>
      <w:kern w:val="44"/>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Subtitle"/>
    <w:basedOn w:val="1"/>
    <w:next w:val="1"/>
    <w:qFormat/>
    <w:uiPriority w:val="0"/>
    <w:pPr>
      <w:spacing w:before="240" w:after="60" w:line="312" w:lineRule="auto"/>
      <w:jc w:val="center"/>
      <w:outlineLvl w:val="1"/>
    </w:pPr>
    <w:rPr>
      <w:rFonts w:ascii="Cambria" w:hAnsi="Cambria"/>
      <w:b/>
      <w:bCs/>
      <w:color w:val="000000"/>
      <w:kern w:val="28"/>
      <w:sz w:val="32"/>
      <w:szCs w:val="32"/>
    </w:rPr>
  </w:style>
  <w:style w:type="paragraph" w:styleId="5">
    <w:name w:val="Normal (Web)"/>
    <w:basedOn w:val="1"/>
    <w:unhideWhenUsed/>
    <w:qFormat/>
    <w:uiPriority w:val="0"/>
    <w:pPr>
      <w:widowControl/>
      <w:spacing w:before="100" w:beforeAutospacing="1" w:after="100" w:afterAutospacing="1"/>
      <w:jc w:val="left"/>
    </w:pPr>
    <w:rPr>
      <w:rFonts w:ascii="宋体" w:hAnsi="宋体"/>
      <w:kern w:val="0"/>
      <w:sz w:val="24"/>
    </w:rPr>
  </w:style>
  <w:style w:type="paragraph" w:styleId="8">
    <w:name w:val="List Paragraph"/>
    <w:basedOn w:val="1"/>
    <w:autoRedefine/>
    <w:qFormat/>
    <w:uiPriority w:val="0"/>
    <w:pPr>
      <w:ind w:firstLine="420" w:firstLineChars="200"/>
    </w:pPr>
    <w:rPr>
      <w:szCs w:val="24"/>
    </w:rPr>
  </w:style>
  <w:style w:type="paragraph" w:customStyle="1" w:styleId="9">
    <w:name w:val="null3"/>
    <w:hidden/>
    <w:qFormat/>
    <w:uiPriority w:val="0"/>
    <w:rPr>
      <w:rFonts w:hint="eastAsia" w:asciiTheme="minorHAnsi" w:hAnsiTheme="minorHAnsi" w:eastAsiaTheme="minorEastAsia" w:cstheme="minorBidi"/>
      <w:lang w:val="en-US" w:eastAsia="zh-Hans"/>
    </w:rPr>
  </w:style>
  <w:style w:type="paragraph" w:customStyle="1" w:styleId="10">
    <w:name w:val="参数正文"/>
    <w:basedOn w:val="1"/>
    <w:qFormat/>
    <w:uiPriority w:val="0"/>
    <w:rPr>
      <w:rFonts w:ascii="宋体" w:hAnsi="宋体"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2026-07-29T02:35:32Z</dcterms:created>
  <dc:creator>Administrator</dc:creator>
  <cp:lastModifiedBy>杨渊</cp:lastModifiedBy>
  <dcterms:modified xsi:type="dcterms:W3CDTF">2026-07-29T02:35:53Z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eyJoZGlkIjoiY2Y2MTBmZGIzOTYwMzFkMDI1MjVlNDdhYjY3NDk1ZTAiLCJ1c2VySWQiOiIyMzM3NTg3OTYifQ==</vt:lpwstr>
  </property>
  <property fmtid="{D5CDD505-2E9C-101B-9397-08002B2CF9AE}" pid="4" name="ICV">
    <vt:lpwstr>FBA2B803CE134BA188CB13FDCA941226_12</vt:lpwstr>
  </property>
</Properties>
</file>