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350864514"/>
      <w:bookmarkStart w:id="1" w:name="_Toc193105917"/>
      <w:bookmarkStart w:id="2" w:name="_Toc193106063"/>
      <w:bookmarkStart w:id="3" w:name="_Toc193106174"/>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）【2026-01-04-05】</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大竹县人民医院国有固定资产报废处理项目（五次）</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六月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（竞价）【2026-01-04-05】</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大竹县人民医院国有固定资产报废处理项目（五次）</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本公告文件发布之日起后</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17</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22</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u w:val="single"/>
          <w:lang w:val="en-US" w:eastAsia="zh-CN"/>
        </w:rPr>
        <w:t>截止</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w:t>
      </w:r>
      <w:r>
        <w:rPr>
          <w:rFonts w:hint="eastAsia" w:ascii="仿宋" w:hAnsi="仿宋" w:eastAsia="仿宋" w:cs="仿宋"/>
          <w:color w:val="auto"/>
          <w:sz w:val="28"/>
          <w:szCs w:val="28"/>
          <w:lang w:eastAsia="zh-CN"/>
        </w:rPr>
        <w:t>间为2026年</w:t>
      </w:r>
      <w:r>
        <w:rPr>
          <w:rFonts w:hint="eastAsia" w:ascii="仿宋" w:hAnsi="仿宋" w:eastAsia="仿宋" w:cs="仿宋"/>
          <w:color w:val="auto"/>
          <w:sz w:val="28"/>
          <w:szCs w:val="28"/>
          <w:lang w:val="en-US" w:eastAsia="zh-CN"/>
        </w:rPr>
        <w:t>06</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r>
        <w:rPr>
          <w:rFonts w:hint="eastAsia" w:ascii="仿宋" w:hAnsi="仿宋" w:eastAsia="仿宋" w:cs="仿宋"/>
          <w:color w:val="auto"/>
          <w:sz w:val="28"/>
          <w:szCs w:val="28"/>
          <w:lang w:val="en-US" w:eastAsia="zh-CN"/>
        </w:rPr>
        <w:t>大竹县人民医院总务科会议室</w:t>
      </w:r>
      <w:r>
        <w:rPr>
          <w:rFonts w:hint="eastAsia" w:ascii="仿宋" w:hAnsi="仿宋" w:eastAsia="仿宋" w:cs="仿宋"/>
          <w:color w:val="auto"/>
          <w:sz w:val="28"/>
          <w:szCs w:val="28"/>
        </w:rPr>
        <w:t>）。</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5918"/>
      <w:bookmarkStart w:id="5" w:name="_Toc193106064"/>
      <w:bookmarkStart w:id="6" w:name="_Toc350864515"/>
      <w:bookmarkStart w:id="7" w:name="_Toc193106175"/>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竹医总务（竞价）【2026-01-04-05】</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大竹县人民医院国有固定资产报废处理项目（五次）</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193105919"/>
      <w:bookmarkStart w:id="11" w:name="_Toc192318461"/>
      <w:bookmarkStart w:id="12" w:name="_Toc192318381"/>
      <w:bookmarkStart w:id="13" w:name="_Toc193106176"/>
      <w:bookmarkStart w:id="14" w:name="_Toc193106065"/>
      <w:bookmarkStart w:id="15" w:name="_Toc192318708"/>
      <w:bookmarkStart w:id="16" w:name="_Toc350864517"/>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1"/>
      <w:bookmarkStart w:id="20" w:name="OLE_LINK30"/>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竞价资产的用途必须根据资产现状按照国家规定合法经营及处理，不得用于经营黄、赌、毒及违法行业，不得用于经营影响周边生活秩序、造成环境污染的项目等。</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8"/>
      <w:bookmarkStart w:id="22" w:name="OLE_LINK9"/>
      <w:bookmarkStart w:id="23" w:name="OLE_LINK10"/>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五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w:t>
      </w:r>
      <w:bookmarkStart w:id="24" w:name="_GoBack"/>
      <w:r>
        <w:rPr>
          <w:rFonts w:hint="eastAsia" w:ascii="仿宋" w:hAnsi="仿宋" w:eastAsia="仿宋" w:cs="仿宋"/>
          <w:color w:val="auto"/>
          <w:kern w:val="2"/>
          <w:sz w:val="28"/>
          <w:szCs w:val="28"/>
          <w:lang w:val="en-US" w:eastAsia="zh-CN" w:bidi="ar-SA"/>
        </w:rPr>
        <w:t>日</w:t>
      </w:r>
      <w:bookmarkEnd w:id="24"/>
      <w:r>
        <w:rPr>
          <w:rFonts w:hint="eastAsia" w:ascii="仿宋" w:hAnsi="仿宋" w:eastAsia="仿宋" w:cs="仿宋"/>
          <w:color w:val="auto"/>
          <w:kern w:val="2"/>
          <w:sz w:val="28"/>
          <w:szCs w:val="28"/>
          <w:lang w:val="en-US" w:eastAsia="zh-CN" w:bidi="ar-SA"/>
        </w:rPr>
        <w:t>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大竹县人民医院国有固定资产报废处理项目（五次）</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CE8009-B430-4C85-8DC7-8BD9825B3D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9B5D45FD-A83D-46D1-8A5E-FE12B52AAEB1}"/>
  </w:font>
  <w:font w:name="仿宋_GB2312">
    <w:panose1 w:val="02010609030101010101"/>
    <w:charset w:val="86"/>
    <w:family w:val="modern"/>
    <w:pitch w:val="default"/>
    <w:sig w:usb0="00000001" w:usb1="080E0000" w:usb2="00000000" w:usb3="00000000" w:csb0="00040000" w:csb1="00000000"/>
    <w:embedRegular r:id="rId3" w:fontKey="{2269C1F2-E6CD-4EF7-AF52-6B11C985BE06}"/>
  </w:font>
  <w:font w:name="微软雅黑">
    <w:panose1 w:val="020B0503020204020204"/>
    <w:charset w:val="86"/>
    <w:family w:val="swiss"/>
    <w:pitch w:val="default"/>
    <w:sig w:usb0="80000287" w:usb1="2ACF3C50" w:usb2="00000016" w:usb3="00000000" w:csb0="0004001F" w:csb1="00000000"/>
    <w:embedRegular r:id="rId4" w:fontKey="{82E18A23-2EB1-4F5F-BC5D-B3276A816BB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054239B8"/>
    <w:rsid w:val="05740A2B"/>
    <w:rsid w:val="07AB3B7E"/>
    <w:rsid w:val="123F1617"/>
    <w:rsid w:val="160F75F4"/>
    <w:rsid w:val="1A1F73ED"/>
    <w:rsid w:val="1CF2284B"/>
    <w:rsid w:val="204F7E90"/>
    <w:rsid w:val="20703BFF"/>
    <w:rsid w:val="22E072BD"/>
    <w:rsid w:val="23674554"/>
    <w:rsid w:val="24A304EF"/>
    <w:rsid w:val="2BD75F21"/>
    <w:rsid w:val="2C1D47A1"/>
    <w:rsid w:val="2C310575"/>
    <w:rsid w:val="2CFB12A7"/>
    <w:rsid w:val="2DE10DCF"/>
    <w:rsid w:val="35905287"/>
    <w:rsid w:val="3B1C4E01"/>
    <w:rsid w:val="3E2219FE"/>
    <w:rsid w:val="431D0FCC"/>
    <w:rsid w:val="43B37EA1"/>
    <w:rsid w:val="43EB1D43"/>
    <w:rsid w:val="440F453C"/>
    <w:rsid w:val="46730CD5"/>
    <w:rsid w:val="48383806"/>
    <w:rsid w:val="4B9A12EE"/>
    <w:rsid w:val="4EE90F7F"/>
    <w:rsid w:val="4EEF71AE"/>
    <w:rsid w:val="4EF322D7"/>
    <w:rsid w:val="4F4E4E0F"/>
    <w:rsid w:val="51F63B34"/>
    <w:rsid w:val="590429E2"/>
    <w:rsid w:val="5975743C"/>
    <w:rsid w:val="5CFC6AF2"/>
    <w:rsid w:val="5D2312DA"/>
    <w:rsid w:val="5E1649CA"/>
    <w:rsid w:val="61934CA4"/>
    <w:rsid w:val="63EC41D6"/>
    <w:rsid w:val="665E6EA3"/>
    <w:rsid w:val="67F964EC"/>
    <w:rsid w:val="6F411E43"/>
    <w:rsid w:val="70C40F7D"/>
    <w:rsid w:val="739D7397"/>
    <w:rsid w:val="74010078"/>
    <w:rsid w:val="75167E05"/>
    <w:rsid w:val="7724658D"/>
    <w:rsid w:val="77AA022C"/>
    <w:rsid w:val="79A82FCF"/>
    <w:rsid w:val="7C2808E1"/>
    <w:rsid w:val="7F9E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2031</Words>
  <Characters>2208</Characters>
  <Paragraphs>673</Paragraphs>
  <TotalTime>247</TotalTime>
  <ScaleCrop>false</ScaleCrop>
  <LinksUpToDate>false</LinksUpToDate>
  <CharactersWithSpaces>2604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2026-06-17T00:36:41Z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