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C1BB0">
      <w:pPr>
        <w:pStyle w:val="9"/>
        <w:spacing w:line="560" w:lineRule="exact"/>
        <w:ind w:firstLine="562"/>
        <w:jc w:val="center"/>
        <w:rPr>
          <w:rFonts w:hint="default" w:ascii="仿宋" w:hAnsi="仿宋" w:eastAsia="仿宋" w:cs="仿宋"/>
          <w:b/>
          <w:bCs w:val="0"/>
          <w:kern w:val="2"/>
          <w:sz w:val="36"/>
          <w:szCs w:val="36"/>
          <w:lang w:val="en-US" w:eastAsia="zh-CN" w:bidi="ar-SA"/>
        </w:rPr>
      </w:pPr>
      <w:bookmarkStart w:id="1" w:name="_GoBack"/>
      <w:r>
        <w:rPr>
          <w:rFonts w:hint="eastAsia" w:ascii="仿宋" w:hAnsi="仿宋" w:eastAsia="仿宋" w:cs="仿宋"/>
          <w:b/>
          <w:bCs w:val="0"/>
          <w:kern w:val="2"/>
          <w:sz w:val="36"/>
          <w:szCs w:val="36"/>
          <w:lang w:val="en-US" w:eastAsia="zh-CN" w:bidi="ar-SA"/>
        </w:rPr>
        <w:t>GE16排CT球管采购项目采购需求</w:t>
      </w:r>
    </w:p>
    <w:bookmarkEnd w:id="1"/>
    <w:p w14:paraId="6BA624E3">
      <w:pPr>
        <w:pStyle w:val="2"/>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GE16排CT球管损坏，需购买球管进行更换。</w:t>
      </w:r>
    </w:p>
    <w:p w14:paraId="090C3D91">
      <w:pPr>
        <w:pageBreakBefore w:val="0"/>
        <w:numPr>
          <w:ilvl w:val="0"/>
          <w:numId w:val="0"/>
        </w:numPr>
        <w:kinsoku/>
        <w:wordWrap/>
        <w:overflowPunct/>
        <w:topLinePunct w:val="0"/>
        <w:autoSpaceDE/>
        <w:autoSpaceDN/>
        <w:bidi w:val="0"/>
        <w:adjustRightInd/>
        <w:snapToGrid/>
        <w:spacing w:beforeLines="50" w:afterLines="50" w:line="520" w:lineRule="atLeast"/>
        <w:ind w:firstLine="562" w:firstLineChars="20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8"/>
        <w:keepNext w:val="0"/>
        <w:keepLines w:val="0"/>
        <w:pageBreakBefore w:val="0"/>
        <w:widowControl/>
        <w:kinsoku/>
        <w:wordWrap/>
        <w:overflowPunct/>
        <w:topLinePunct w:val="0"/>
        <w:autoSpaceDE/>
        <w:autoSpaceDN/>
        <w:bidi w:val="0"/>
        <w:adjustRightInd/>
        <w:snapToGrid/>
        <w:spacing w:line="520" w:lineRule="atLeas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0F88214">
      <w:pPr>
        <w:pStyle w:val="8"/>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175000.00</w:t>
      </w:r>
    </w:p>
    <w:p w14:paraId="0EBA0B39">
      <w:pPr>
        <w:pStyle w:val="8"/>
        <w:keepNext w:val="0"/>
        <w:keepLines w:val="0"/>
        <w:pageBreakBefore w:val="0"/>
        <w:kinsoku/>
        <w:wordWrap/>
        <w:overflowPunct/>
        <w:topLinePunct w:val="0"/>
        <w:autoSpaceDE/>
        <w:autoSpaceDN/>
        <w:bidi w:val="0"/>
        <w:adjustRightInd/>
        <w:snapToGrid/>
        <w:spacing w:line="520" w:lineRule="atLeas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175000.00</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21"/>
        <w:gridCol w:w="1701"/>
      </w:tblGrid>
      <w:tr w14:paraId="0B6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14:paraId="1C15AB4A">
            <w:pPr>
              <w:keepNext w:val="0"/>
              <w:keepLines w:val="0"/>
              <w:pageBreakBefore w:val="0"/>
              <w:kinsoku/>
              <w:wordWrap/>
              <w:overflowPunct/>
              <w:topLinePunct w:val="0"/>
              <w:autoSpaceDE/>
              <w:autoSpaceDN/>
              <w:bidi w:val="0"/>
              <w:adjustRightInd/>
              <w:snapToGrid/>
              <w:spacing w:line="520" w:lineRule="atLeast"/>
              <w:jc w:val="center"/>
              <w:textAlignment w:val="auto"/>
              <w:rPr>
                <w:rFonts w:ascii="仿宋" w:hAnsi="仿宋" w:eastAsia="仿宋" w:cs="宋体"/>
                <w:kern w:val="0"/>
                <w:sz w:val="24"/>
              </w:rPr>
            </w:pPr>
            <w:r>
              <w:rPr>
                <w:rFonts w:hint="eastAsia" w:ascii="仿宋" w:hAnsi="仿宋" w:eastAsia="仿宋" w:cs="宋体"/>
                <w:kern w:val="0"/>
                <w:sz w:val="24"/>
              </w:rPr>
              <w:t>项目内容</w:t>
            </w:r>
          </w:p>
        </w:tc>
        <w:tc>
          <w:tcPr>
            <w:tcW w:w="6521" w:type="dxa"/>
            <w:vAlign w:val="center"/>
          </w:tcPr>
          <w:p w14:paraId="0B6977E4">
            <w:pPr>
              <w:keepNext w:val="0"/>
              <w:keepLines w:val="0"/>
              <w:pageBreakBefore w:val="0"/>
              <w:kinsoku/>
              <w:wordWrap/>
              <w:overflowPunct/>
              <w:topLinePunct w:val="0"/>
              <w:autoSpaceDE/>
              <w:autoSpaceDN/>
              <w:bidi w:val="0"/>
              <w:adjustRightInd/>
              <w:snapToGrid/>
              <w:spacing w:line="520" w:lineRule="atLeast"/>
              <w:jc w:val="center"/>
              <w:textAlignment w:val="auto"/>
              <w:rPr>
                <w:rFonts w:ascii="仿宋" w:hAnsi="仿宋" w:eastAsia="仿宋" w:cs="宋体"/>
                <w:kern w:val="0"/>
                <w:sz w:val="24"/>
              </w:rPr>
            </w:pPr>
            <w:r>
              <w:rPr>
                <w:rFonts w:hint="eastAsia" w:ascii="仿宋" w:hAnsi="仿宋" w:eastAsia="仿宋" w:cs="宋体"/>
                <w:kern w:val="0"/>
                <w:sz w:val="24"/>
              </w:rPr>
              <w:t>技术参数和配置要求</w:t>
            </w:r>
          </w:p>
        </w:tc>
        <w:tc>
          <w:tcPr>
            <w:tcW w:w="1701" w:type="dxa"/>
            <w:vAlign w:val="center"/>
          </w:tcPr>
          <w:p w14:paraId="3534745F">
            <w:pPr>
              <w:keepNext w:val="0"/>
              <w:keepLines w:val="0"/>
              <w:pageBreakBefore w:val="0"/>
              <w:kinsoku/>
              <w:wordWrap/>
              <w:overflowPunct/>
              <w:topLinePunct w:val="0"/>
              <w:autoSpaceDE/>
              <w:autoSpaceDN/>
              <w:bidi w:val="0"/>
              <w:adjustRightInd/>
              <w:snapToGrid/>
              <w:spacing w:line="520" w:lineRule="atLeast"/>
              <w:jc w:val="center"/>
              <w:textAlignment w:val="auto"/>
              <w:rPr>
                <w:rFonts w:ascii="仿宋" w:hAnsi="仿宋" w:eastAsia="仿宋"/>
                <w:sz w:val="24"/>
              </w:rPr>
            </w:pPr>
            <w:r>
              <w:rPr>
                <w:rFonts w:hint="eastAsia" w:ascii="仿宋" w:hAnsi="仿宋" w:eastAsia="仿宋" w:cs="宋体"/>
                <w:kern w:val="0"/>
                <w:sz w:val="24"/>
              </w:rPr>
              <w:t>备注</w:t>
            </w:r>
          </w:p>
        </w:tc>
      </w:tr>
      <w:tr w14:paraId="574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8" w:type="dxa"/>
            <w:vAlign w:val="center"/>
          </w:tcPr>
          <w:p w14:paraId="5D51FD7A">
            <w:pPr>
              <w:keepNext w:val="0"/>
              <w:keepLines w:val="0"/>
              <w:pageBreakBefore w:val="0"/>
              <w:kinsoku/>
              <w:wordWrap/>
              <w:overflowPunct/>
              <w:topLinePunct w:val="0"/>
              <w:autoSpaceDE/>
              <w:autoSpaceDN/>
              <w:bidi w:val="0"/>
              <w:adjustRightInd/>
              <w:snapToGrid/>
              <w:spacing w:line="520" w:lineRule="atLeast"/>
              <w:jc w:val="center"/>
              <w:textAlignment w:val="auto"/>
              <w:rPr>
                <w:rFonts w:ascii="仿宋" w:hAnsi="仿宋" w:eastAsia="仿宋" w:cs="宋体"/>
                <w:kern w:val="0"/>
                <w:sz w:val="24"/>
              </w:rPr>
            </w:pPr>
            <w:r>
              <w:rPr>
                <w:rFonts w:hint="eastAsia" w:ascii="仿宋" w:hAnsi="仿宋" w:eastAsia="仿宋" w:cs="宋体"/>
                <w:kern w:val="0"/>
                <w:sz w:val="24"/>
              </w:rPr>
              <w:t>设备名称</w:t>
            </w:r>
          </w:p>
        </w:tc>
        <w:tc>
          <w:tcPr>
            <w:tcW w:w="6521" w:type="dxa"/>
            <w:vAlign w:val="center"/>
          </w:tcPr>
          <w:p w14:paraId="4EC0A517">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 w:hAnsi="仿宋" w:eastAsia="仿宋"/>
                <w:sz w:val="24"/>
                <w:szCs w:val="40"/>
              </w:rPr>
            </w:pPr>
            <w:r>
              <w:rPr>
                <w:rFonts w:hint="eastAsia" w:ascii="仿宋" w:hAnsi="仿宋" w:eastAsia="仿宋" w:cs="仿宋"/>
                <w:i w:val="0"/>
                <w:iCs w:val="0"/>
                <w:caps w:val="0"/>
                <w:color w:val="auto"/>
                <w:spacing w:val="0"/>
                <w:kern w:val="0"/>
                <w:sz w:val="24"/>
                <w:szCs w:val="24"/>
                <w:shd w:val="clear" w:fill="FFFFFF"/>
                <w:lang w:val="en-US" w:eastAsia="zh-CN" w:bidi="ar"/>
              </w:rPr>
              <w:t>GE16排CT（BrightSpeed Elite Select）球管</w:t>
            </w:r>
          </w:p>
        </w:tc>
        <w:tc>
          <w:tcPr>
            <w:tcW w:w="1701" w:type="dxa"/>
            <w:vAlign w:val="center"/>
          </w:tcPr>
          <w:p w14:paraId="34FA4D37">
            <w:pPr>
              <w:pageBreakBefore w:val="0"/>
              <w:kinsoku/>
              <w:wordWrap/>
              <w:overflowPunct/>
              <w:topLinePunct w:val="0"/>
              <w:autoSpaceDE/>
              <w:autoSpaceDN/>
              <w:bidi w:val="0"/>
              <w:spacing w:line="520" w:lineRule="atLeast"/>
              <w:jc w:val="center"/>
              <w:textAlignment w:val="auto"/>
              <w:rPr>
                <w:rFonts w:ascii="仿宋" w:hAnsi="仿宋" w:eastAsia="仿宋"/>
                <w:sz w:val="24"/>
              </w:rPr>
            </w:pPr>
          </w:p>
        </w:tc>
      </w:tr>
      <w:tr w14:paraId="3D5A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248A3032">
            <w:pPr>
              <w:keepNext w:val="0"/>
              <w:keepLines w:val="0"/>
              <w:pageBreakBefore w:val="0"/>
              <w:kinsoku/>
              <w:wordWrap/>
              <w:overflowPunct/>
              <w:topLinePunct w:val="0"/>
              <w:autoSpaceDE/>
              <w:autoSpaceDN/>
              <w:bidi w:val="0"/>
              <w:adjustRightInd/>
              <w:snapToGrid/>
              <w:spacing w:line="520" w:lineRule="atLeast"/>
              <w:jc w:val="center"/>
              <w:textAlignment w:val="auto"/>
              <w:rPr>
                <w:rFonts w:ascii="仿宋" w:hAnsi="仿宋" w:eastAsia="仿宋" w:cs="宋体"/>
                <w:kern w:val="0"/>
                <w:sz w:val="24"/>
              </w:rPr>
            </w:pPr>
            <w:r>
              <w:rPr>
                <w:rFonts w:hint="eastAsia" w:ascii="仿宋" w:hAnsi="仿宋" w:eastAsia="仿宋" w:cs="宋体"/>
                <w:kern w:val="0"/>
                <w:sz w:val="24"/>
              </w:rPr>
              <w:t>设备数量</w:t>
            </w:r>
          </w:p>
        </w:tc>
        <w:tc>
          <w:tcPr>
            <w:tcW w:w="6521" w:type="dxa"/>
            <w:vAlign w:val="center"/>
          </w:tcPr>
          <w:p w14:paraId="1A139166">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lang w:val="en-US" w:eastAsia="zh-CN"/>
              </w:rPr>
              <w:t>1支</w:t>
            </w:r>
          </w:p>
        </w:tc>
        <w:tc>
          <w:tcPr>
            <w:tcW w:w="1701" w:type="dxa"/>
            <w:vAlign w:val="center"/>
          </w:tcPr>
          <w:p w14:paraId="39871069">
            <w:pPr>
              <w:pageBreakBefore w:val="0"/>
              <w:kinsoku/>
              <w:wordWrap/>
              <w:overflowPunct/>
              <w:topLinePunct w:val="0"/>
              <w:autoSpaceDE/>
              <w:autoSpaceDN/>
              <w:bidi w:val="0"/>
              <w:spacing w:line="520" w:lineRule="atLeast"/>
              <w:jc w:val="center"/>
              <w:textAlignment w:val="auto"/>
              <w:rPr>
                <w:rFonts w:ascii="仿宋" w:hAnsi="仿宋" w:eastAsia="仿宋"/>
                <w:sz w:val="24"/>
              </w:rPr>
            </w:pPr>
          </w:p>
        </w:tc>
      </w:tr>
      <w:tr w14:paraId="421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18" w:type="dxa"/>
            <w:vAlign w:val="center"/>
          </w:tcPr>
          <w:p w14:paraId="651090D6">
            <w:pPr>
              <w:keepNext w:val="0"/>
              <w:keepLines w:val="0"/>
              <w:pageBreakBefore w:val="0"/>
              <w:kinsoku/>
              <w:wordWrap/>
              <w:overflowPunct/>
              <w:topLinePunct w:val="0"/>
              <w:autoSpaceDE/>
              <w:autoSpaceDN/>
              <w:bidi w:val="0"/>
              <w:adjustRightInd/>
              <w:snapToGrid/>
              <w:spacing w:line="520" w:lineRule="atLeast"/>
              <w:jc w:val="center"/>
              <w:textAlignment w:val="auto"/>
              <w:rPr>
                <w:rFonts w:ascii="仿宋" w:hAnsi="仿宋" w:eastAsia="仿宋" w:cs="宋体"/>
                <w:kern w:val="0"/>
                <w:sz w:val="24"/>
              </w:rPr>
            </w:pPr>
            <w:r>
              <w:rPr>
                <w:rFonts w:hint="eastAsia" w:ascii="仿宋" w:hAnsi="仿宋" w:eastAsia="仿宋" w:cs="宋体"/>
                <w:kern w:val="0"/>
                <w:sz w:val="24"/>
              </w:rPr>
              <w:t>用途</w:t>
            </w:r>
          </w:p>
        </w:tc>
        <w:tc>
          <w:tcPr>
            <w:tcW w:w="6521" w:type="dxa"/>
            <w:vAlign w:val="center"/>
          </w:tcPr>
          <w:p w14:paraId="7985E991">
            <w:pPr>
              <w:keepNext w:val="0"/>
              <w:keepLines w:val="0"/>
              <w:pageBreakBefore w:val="0"/>
              <w:widowControl/>
              <w:kinsoku/>
              <w:wordWrap/>
              <w:overflowPunct/>
              <w:topLinePunct w:val="0"/>
              <w:autoSpaceDE/>
              <w:autoSpaceDN/>
              <w:bidi w:val="0"/>
              <w:adjustRightInd/>
              <w:snapToGrid/>
              <w:spacing w:line="520" w:lineRule="atLeast"/>
              <w:jc w:val="left"/>
              <w:textAlignment w:val="auto"/>
              <w:rPr>
                <w:rFonts w:hint="eastAsia" w:ascii="仿宋" w:hAnsi="仿宋" w:eastAsia="仿宋" w:cs="宋体"/>
                <w:kern w:val="0"/>
                <w:sz w:val="24"/>
                <w:lang w:eastAsia="zh-CN"/>
              </w:rPr>
            </w:pPr>
            <w:r>
              <w:rPr>
                <w:rFonts w:hint="eastAsia" w:ascii="仿宋" w:hAnsi="仿宋" w:eastAsia="仿宋" w:cs="仿宋"/>
                <w:color w:val="auto"/>
                <w:sz w:val="24"/>
                <w:szCs w:val="24"/>
                <w:vertAlign w:val="baseline"/>
                <w:lang w:eastAsia="zh-CN"/>
              </w:rPr>
              <w:t>用于</w:t>
            </w:r>
            <w:r>
              <w:rPr>
                <w:rFonts w:hint="eastAsia" w:ascii="仿宋" w:hAnsi="仿宋" w:eastAsia="仿宋" w:cs="仿宋"/>
                <w:i w:val="0"/>
                <w:iCs w:val="0"/>
                <w:caps w:val="0"/>
                <w:color w:val="333333"/>
                <w:spacing w:val="0"/>
                <w:kern w:val="0"/>
                <w:sz w:val="24"/>
                <w:szCs w:val="24"/>
                <w:shd w:val="clear" w:fill="FFFFFF"/>
                <w:lang w:val="en-US" w:eastAsia="zh-CN" w:bidi="ar"/>
              </w:rPr>
              <w:t>我院现使用GE16排CT（BrightSpeed Elite Select）</w:t>
            </w:r>
          </w:p>
        </w:tc>
        <w:tc>
          <w:tcPr>
            <w:tcW w:w="1701" w:type="dxa"/>
            <w:vAlign w:val="center"/>
          </w:tcPr>
          <w:p w14:paraId="643DD98F">
            <w:pPr>
              <w:pageBreakBefore w:val="0"/>
              <w:kinsoku/>
              <w:wordWrap/>
              <w:overflowPunct/>
              <w:topLinePunct w:val="0"/>
              <w:autoSpaceDE/>
              <w:autoSpaceDN/>
              <w:bidi w:val="0"/>
              <w:spacing w:line="520" w:lineRule="atLeast"/>
              <w:jc w:val="center"/>
              <w:textAlignment w:val="auto"/>
              <w:rPr>
                <w:rFonts w:ascii="仿宋" w:hAnsi="仿宋" w:eastAsia="仿宋"/>
                <w:kern w:val="0"/>
                <w:sz w:val="24"/>
              </w:rPr>
            </w:pPr>
          </w:p>
        </w:tc>
      </w:tr>
      <w:tr w14:paraId="218D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jc w:val="center"/>
        </w:trPr>
        <w:tc>
          <w:tcPr>
            <w:tcW w:w="1418" w:type="dxa"/>
            <w:vAlign w:val="center"/>
          </w:tcPr>
          <w:p w14:paraId="638528CF">
            <w:pPr>
              <w:pageBreakBefore w:val="0"/>
              <w:kinsoku/>
              <w:wordWrap/>
              <w:overflowPunct/>
              <w:topLinePunct w:val="0"/>
              <w:autoSpaceDE/>
              <w:autoSpaceDN/>
              <w:bidi w:val="0"/>
              <w:spacing w:line="520" w:lineRule="atLeast"/>
              <w:jc w:val="center"/>
              <w:textAlignment w:val="auto"/>
              <w:rPr>
                <w:rFonts w:ascii="仿宋" w:hAnsi="仿宋" w:eastAsia="仿宋" w:cs="宋体"/>
                <w:kern w:val="0"/>
                <w:sz w:val="24"/>
              </w:rPr>
            </w:pPr>
            <w:r>
              <w:rPr>
                <w:rFonts w:hint="eastAsia" w:ascii="仿宋" w:hAnsi="仿宋" w:eastAsia="仿宋" w:cs="宋体"/>
                <w:kern w:val="0"/>
                <w:sz w:val="24"/>
              </w:rPr>
              <w:t>技术参数</w:t>
            </w:r>
          </w:p>
        </w:tc>
        <w:tc>
          <w:tcPr>
            <w:tcW w:w="6521" w:type="dxa"/>
            <w:vAlign w:val="center"/>
          </w:tcPr>
          <w:p w14:paraId="53467640">
            <w:pPr>
              <w:keepNext w:val="0"/>
              <w:keepLines w:val="0"/>
              <w:pageBreakBefore w:val="0"/>
              <w:widowControl w:val="0"/>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适</w:t>
            </w:r>
            <w:r>
              <w:rPr>
                <w:rFonts w:hint="eastAsia" w:ascii="仿宋" w:hAnsi="仿宋" w:eastAsia="仿宋" w:cs="宋体"/>
                <w:kern w:val="0"/>
                <w:sz w:val="24"/>
              </w:rPr>
              <w:t>用于</w:t>
            </w:r>
            <w:r>
              <w:rPr>
                <w:rFonts w:hint="eastAsia" w:ascii="仿宋" w:hAnsi="仿宋" w:eastAsia="仿宋" w:cs="宋体"/>
                <w:kern w:val="0"/>
                <w:sz w:val="24"/>
                <w:lang w:val="en-US" w:eastAsia="zh-CN"/>
              </w:rPr>
              <w:t>GE BrightSpeed Elite Select CT；</w:t>
            </w:r>
          </w:p>
          <w:p w14:paraId="45E5B07C">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eastAsia="zh-CN"/>
              </w:rPr>
              <w:t>阳极热容量≥</w:t>
            </w:r>
            <w:r>
              <w:rPr>
                <w:rFonts w:hint="eastAsia" w:ascii="仿宋" w:hAnsi="仿宋" w:eastAsia="仿宋" w:cs="宋体"/>
                <w:kern w:val="0"/>
                <w:sz w:val="24"/>
                <w:lang w:val="en-US" w:eastAsia="zh-CN"/>
              </w:rPr>
              <w:t>3.5MHU；</w:t>
            </w:r>
          </w:p>
          <w:p w14:paraId="13DAB68F">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eastAsia="zh-CN"/>
              </w:rPr>
              <w:t>管套热容量≥</w:t>
            </w:r>
            <w:r>
              <w:rPr>
                <w:rFonts w:hint="eastAsia" w:ascii="仿宋" w:hAnsi="仿宋" w:eastAsia="仿宋" w:cs="宋体"/>
                <w:kern w:val="0"/>
                <w:sz w:val="24"/>
                <w:lang w:val="en-US" w:eastAsia="zh-CN"/>
              </w:rPr>
              <w:t>3.5MHU；</w:t>
            </w:r>
          </w:p>
          <w:p w14:paraId="0501DF3E">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焦点数量</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2个；</w:t>
            </w:r>
          </w:p>
          <w:p w14:paraId="51C38DC1">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小焦点尺寸≤0.9mm×0.5mm；</w:t>
            </w:r>
          </w:p>
          <w:p w14:paraId="4D3CF8EF">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大焦点尺寸</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1.1mm×1.0mm；</w:t>
            </w:r>
          </w:p>
          <w:p w14:paraId="5CE481A3">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最大管电压</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140KV；</w:t>
            </w:r>
          </w:p>
          <w:p w14:paraId="31D50D78">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最大管电流≥440mA；</w:t>
            </w:r>
          </w:p>
          <w:p w14:paraId="087F2B1A">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szCs w:val="22"/>
                <w:lang w:val="en-US" w:eastAsia="zh-CN" w:bidi="ar-SA"/>
              </w:rPr>
            </w:pPr>
            <w:r>
              <w:rPr>
                <w:rFonts w:hint="eastAsia" w:ascii="仿宋" w:hAnsi="仿宋" w:eastAsia="仿宋" w:cs="宋体"/>
                <w:kern w:val="0"/>
                <w:sz w:val="24"/>
                <w:lang w:val="en-US" w:eastAsia="zh-CN"/>
              </w:rPr>
              <w:t>阳极靶面角度≥7°；</w:t>
            </w:r>
          </w:p>
          <w:p w14:paraId="34FCD6A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beforeAutospacing="1" w:after="100" w:afterAutospacing="1" w:line="360" w:lineRule="auto"/>
              <w:contextualSpacing/>
              <w:jc w:val="both"/>
              <w:textAlignment w:val="auto"/>
              <w:rPr>
                <w:rFonts w:hint="eastAsia" w:ascii="仿宋" w:hAnsi="仿宋" w:eastAsia="仿宋" w:cs="宋体"/>
                <w:kern w:val="0"/>
                <w:sz w:val="24"/>
                <w:szCs w:val="22"/>
                <w:lang w:val="en-US" w:eastAsia="zh-CN" w:bidi="ar-SA"/>
              </w:rPr>
            </w:pPr>
            <w:r>
              <w:rPr>
                <w:rFonts w:hint="eastAsia" w:ascii="仿宋" w:hAnsi="仿宋" w:eastAsia="仿宋" w:cs="宋体"/>
                <w:kern w:val="0"/>
                <w:sz w:val="24"/>
                <w:lang w:val="en-US" w:eastAsia="zh-CN"/>
              </w:rPr>
              <w:t>10、最大连续热耗散(W)≥3700。</w:t>
            </w:r>
          </w:p>
        </w:tc>
        <w:tc>
          <w:tcPr>
            <w:tcW w:w="1701" w:type="dxa"/>
            <w:vAlign w:val="center"/>
          </w:tcPr>
          <w:p w14:paraId="199F2038">
            <w:pPr>
              <w:pageBreakBefore w:val="0"/>
              <w:kinsoku/>
              <w:wordWrap/>
              <w:overflowPunct/>
              <w:topLinePunct w:val="0"/>
              <w:autoSpaceDE/>
              <w:autoSpaceDN/>
              <w:bidi w:val="0"/>
              <w:spacing w:line="520" w:lineRule="atLeast"/>
              <w:jc w:val="center"/>
              <w:textAlignment w:val="auto"/>
              <w:rPr>
                <w:rFonts w:ascii="仿宋" w:hAnsi="仿宋" w:eastAsia="仿宋"/>
                <w:kern w:val="0"/>
                <w:sz w:val="24"/>
              </w:rPr>
            </w:pPr>
          </w:p>
        </w:tc>
      </w:tr>
      <w:tr w14:paraId="1B6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418" w:type="dxa"/>
            <w:vAlign w:val="center"/>
          </w:tcPr>
          <w:p w14:paraId="67173D72">
            <w:pPr>
              <w:pageBreakBefore w:val="0"/>
              <w:kinsoku/>
              <w:wordWrap/>
              <w:overflowPunct/>
              <w:topLinePunct w:val="0"/>
              <w:autoSpaceDE/>
              <w:autoSpaceDN/>
              <w:bidi w:val="0"/>
              <w:spacing w:line="520" w:lineRule="atLeast"/>
              <w:jc w:val="center"/>
              <w:textAlignment w:val="auto"/>
              <w:rPr>
                <w:rFonts w:hint="eastAsia" w:ascii="仿宋" w:hAnsi="仿宋" w:eastAsia="仿宋" w:cs="宋体"/>
                <w:kern w:val="0"/>
                <w:sz w:val="24"/>
                <w:lang w:eastAsia="zh-CN"/>
              </w:rPr>
            </w:pPr>
            <w:r>
              <w:rPr>
                <w:rFonts w:hint="eastAsia" w:ascii="仿宋" w:hAnsi="仿宋" w:eastAsia="仿宋" w:cs="宋体"/>
                <w:kern w:val="0"/>
                <w:sz w:val="24"/>
                <w:lang w:eastAsia="zh-CN"/>
              </w:rPr>
              <w:t>配置清单</w:t>
            </w:r>
          </w:p>
        </w:tc>
        <w:tc>
          <w:tcPr>
            <w:tcW w:w="6521" w:type="dxa"/>
            <w:vAlign w:val="center"/>
          </w:tcPr>
          <w:p w14:paraId="4085144E">
            <w:pPr>
              <w:keepNext w:val="0"/>
              <w:keepLines w:val="0"/>
              <w:pageBreakBefore w:val="0"/>
              <w:widowControl/>
              <w:kinsoku/>
              <w:wordWrap/>
              <w:overflowPunct/>
              <w:topLinePunct w:val="0"/>
              <w:autoSpaceDE/>
              <w:autoSpaceDN/>
              <w:bidi w:val="0"/>
              <w:adjustRightInd/>
              <w:snapToGrid w:val="0"/>
              <w:spacing w:line="52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eastAsia" w:ascii="仿宋" w:hAnsi="仿宋" w:eastAsia="仿宋" w:cs="宋体"/>
                <w:kern w:val="0"/>
                <w:sz w:val="24"/>
                <w:lang w:val="en-US" w:eastAsia="zh-CN"/>
              </w:rPr>
              <w:t>球管1支。</w:t>
            </w:r>
          </w:p>
        </w:tc>
        <w:tc>
          <w:tcPr>
            <w:tcW w:w="1701" w:type="dxa"/>
          </w:tcPr>
          <w:p w14:paraId="35943D67">
            <w:pPr>
              <w:pageBreakBefore w:val="0"/>
              <w:kinsoku/>
              <w:wordWrap/>
              <w:overflowPunct/>
              <w:topLinePunct w:val="0"/>
              <w:autoSpaceDE/>
              <w:autoSpaceDN/>
              <w:bidi w:val="0"/>
              <w:spacing w:line="520" w:lineRule="atLeast"/>
              <w:jc w:val="center"/>
              <w:textAlignment w:val="auto"/>
              <w:rPr>
                <w:rFonts w:ascii="仿宋" w:hAnsi="仿宋" w:eastAsia="仿宋"/>
                <w:sz w:val="24"/>
              </w:rPr>
            </w:pPr>
          </w:p>
        </w:tc>
      </w:tr>
    </w:tbl>
    <w:p w14:paraId="246959E9">
      <w:pPr>
        <w:pageBreakBefore w:val="0"/>
        <w:numPr>
          <w:ilvl w:val="0"/>
          <w:numId w:val="0"/>
        </w:numPr>
        <w:kinsoku/>
        <w:wordWrap/>
        <w:overflowPunct/>
        <w:topLinePunct w:val="0"/>
        <w:autoSpaceDE/>
        <w:autoSpaceDN/>
        <w:bidi w:val="0"/>
        <w:adjustRightInd/>
        <w:snapToGrid/>
        <w:spacing w:beforeLines="50" w:afterLines="50" w:line="520" w:lineRule="atLeast"/>
        <w:ind w:firstLine="562" w:firstLineChars="200"/>
        <w:textAlignment w:val="auto"/>
        <w:outlineLvl w:val="1"/>
        <w:rPr>
          <w:rFonts w:hint="eastAsia" w:ascii="仿宋" w:hAnsi="仿宋" w:eastAsia="仿宋" w:cs="仿宋"/>
          <w:b/>
          <w:bCs/>
          <w:sz w:val="28"/>
          <w:szCs w:val="28"/>
          <w:lang w:val="en-US" w:eastAsia="zh-CN"/>
        </w:rPr>
      </w:pPr>
    </w:p>
    <w:p w14:paraId="44A9DF8A">
      <w:pPr>
        <w:pageBreakBefore w:val="0"/>
        <w:numPr>
          <w:ilvl w:val="0"/>
          <w:numId w:val="0"/>
        </w:numPr>
        <w:kinsoku/>
        <w:wordWrap/>
        <w:overflowPunct/>
        <w:topLinePunct w:val="0"/>
        <w:autoSpaceDE/>
        <w:autoSpaceDN/>
        <w:bidi w:val="0"/>
        <w:adjustRightInd/>
        <w:snapToGrid/>
        <w:spacing w:beforeLines="50" w:afterLines="50" w:line="520" w:lineRule="atLeast"/>
        <w:ind w:firstLine="562" w:firstLineChars="20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sz w:val="28"/>
          <w:szCs w:val="28"/>
          <w:lang w:val="en-US" w:eastAsia="zh-CN"/>
        </w:rPr>
        <w:t>三、服务要求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EB036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1、新球管到货后，需免费进行更换、调试及旧球管回收处理。</w:t>
      </w:r>
    </w:p>
    <w:p w14:paraId="4FE15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2、承诺因球管故障等原因，根据采购人要求，免费更换全新球管。（提供承诺函，格式自拟）</w:t>
      </w:r>
    </w:p>
    <w:p w14:paraId="6D98E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3、供应商提供设备操作（使用）培训。保证操作（使用）人员能熟练操作（使用），并对该设备能进行日常维护，如未达到，医院有权延后支付合同所约定款项。其费用包含在项目报价内。</w:t>
      </w:r>
    </w:p>
    <w:p w14:paraId="48935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4、供应商负责设备安装、调试，并提供1个月试运行期。试运行期届满，无任何质量问题供应商方可申请最终验收。其费用包含在项目报价内。</w:t>
      </w:r>
    </w:p>
    <w:p w14:paraId="6D3E3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、售后服务响应时间：供应商应在接到售后服务通知</w:t>
      </w:r>
      <w:r>
        <w:rPr>
          <w:rFonts w:hint="eastAsia" w:ascii="仿宋" w:hAnsi="仿宋" w:eastAsia="仿宋" w:cs="仿宋"/>
          <w:kern w:val="2"/>
          <w:sz w:val="28"/>
          <w:szCs w:val="28"/>
          <w:lang w:val="en-US" w:eastAsia="zh-CN" w:bidi="ar-SA"/>
        </w:rPr>
        <w:t>或故障电话</w:t>
      </w:r>
      <w:r>
        <w:rPr>
          <w:rFonts w:hint="default" w:ascii="仿宋" w:hAnsi="仿宋" w:eastAsia="仿宋" w:cs="仿宋"/>
          <w:kern w:val="2"/>
          <w:sz w:val="28"/>
          <w:szCs w:val="28"/>
          <w:lang w:val="en-US" w:eastAsia="zh-CN" w:bidi="ar-SA"/>
        </w:rPr>
        <w:t xml:space="preserve"> 12 小时内响应，48小时内到场维修。</w:t>
      </w:r>
    </w:p>
    <w:p w14:paraId="253C8672">
      <w:pPr>
        <w:pageBreakBefore w:val="0"/>
        <w:numPr>
          <w:ilvl w:val="0"/>
          <w:numId w:val="0"/>
        </w:numPr>
        <w:kinsoku/>
        <w:wordWrap/>
        <w:overflowPunct/>
        <w:topLinePunct w:val="0"/>
        <w:autoSpaceDE/>
        <w:autoSpaceDN/>
        <w:bidi w:val="0"/>
        <w:adjustRightInd/>
        <w:snapToGrid/>
        <w:spacing w:beforeLines="50" w:afterLines="50" w:line="520" w:lineRule="atLeast"/>
        <w:ind w:firstLine="562"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color w:val="auto"/>
          <w:sz w:val="28"/>
          <w:szCs w:val="28"/>
          <w:lang w:val="en-US" w:eastAsia="zh-CN"/>
        </w:rPr>
      </w:pPr>
      <w:r>
        <w:rPr>
          <w:rStyle w:val="7"/>
          <w:rFonts w:hint="eastAsia" w:ascii="仿宋" w:hAnsi="仿宋" w:eastAsia="仿宋" w:cs="仿宋"/>
          <w:b w:val="0"/>
          <w:bCs w:val="0"/>
          <w:i w:val="0"/>
          <w:iCs w:val="0"/>
          <w:caps w:val="0"/>
          <w:color w:val="222222"/>
          <w:spacing w:val="0"/>
          <w:sz w:val="28"/>
          <w:szCs w:val="28"/>
          <w:lang w:eastAsia="zh-CN"/>
        </w:rPr>
        <w:t>本项目合同履约期限为双方签字盖章生效之日起</w:t>
      </w:r>
      <w:r>
        <w:rPr>
          <w:rStyle w:val="7"/>
          <w:rFonts w:hint="eastAsia" w:ascii="仿宋" w:hAnsi="仿宋" w:eastAsia="仿宋" w:cs="仿宋"/>
          <w:b w:val="0"/>
          <w:bCs w:val="0"/>
          <w:i w:val="0"/>
          <w:iCs w:val="0"/>
          <w:caps w:val="0"/>
          <w:color w:val="222222"/>
          <w:spacing w:val="0"/>
          <w:sz w:val="28"/>
          <w:szCs w:val="28"/>
          <w:lang w:val="en-US" w:eastAsia="zh-CN"/>
        </w:rPr>
        <w:t>30日内</w:t>
      </w:r>
      <w:r>
        <w:rPr>
          <w:rStyle w:val="7"/>
          <w:rFonts w:hint="eastAsia" w:ascii="仿宋" w:hAnsi="仿宋" w:eastAsia="仿宋" w:cs="仿宋"/>
          <w:b w:val="0"/>
          <w:bCs w:val="0"/>
          <w:i w:val="0"/>
          <w:iCs w:val="0"/>
          <w:caps w:val="0"/>
          <w:color w:val="222222"/>
          <w:spacing w:val="0"/>
          <w:sz w:val="28"/>
          <w:szCs w:val="28"/>
          <w:lang w:eastAsia="zh-CN"/>
        </w:rPr>
        <w:t>，</w:t>
      </w:r>
      <w:r>
        <w:rPr>
          <w:rStyle w:val="7"/>
          <w:rFonts w:hint="eastAsia" w:ascii="仿宋" w:hAnsi="仿宋" w:eastAsia="仿宋" w:cs="仿宋"/>
          <w:b w:val="0"/>
          <w:bCs w:val="0"/>
          <w:i w:val="0"/>
          <w:iCs w:val="0"/>
          <w:caps w:val="0"/>
          <w:color w:val="222222"/>
          <w:spacing w:val="0"/>
          <w:sz w:val="28"/>
          <w:szCs w:val="28"/>
          <w:lang w:val="en-US" w:eastAsia="zh-CN"/>
        </w:rPr>
        <w:t>质保期满后</w:t>
      </w:r>
      <w:r>
        <w:rPr>
          <w:rStyle w:val="7"/>
          <w:rFonts w:hint="eastAsia" w:ascii="仿宋" w:hAnsi="仿宋" w:eastAsia="仿宋" w:cs="仿宋"/>
          <w:b w:val="0"/>
          <w:bCs w:val="0"/>
          <w:i w:val="0"/>
          <w:iCs w:val="0"/>
          <w:caps w:val="0"/>
          <w:color w:val="222222"/>
          <w:spacing w:val="0"/>
          <w:sz w:val="28"/>
          <w:szCs w:val="28"/>
          <w:lang w:eastAsia="zh-CN"/>
        </w:rPr>
        <w:t>合同自然终止。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（二）项目履行地点：四川省大竹县白塔街道青年路99号；大竹县人民医院放射科CT室。货物交付采购人之前，货物的损毁、灭失风险由供应商承担。</w:t>
      </w:r>
    </w:p>
    <w:p w14:paraId="3A653F79">
      <w:pPr>
        <w:pStyle w:val="9"/>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744DFC41">
      <w:pPr>
        <w:pStyle w:val="10"/>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设备安装调试完成，最终验收合格并交付使用，开具国家认可足额有效票据，达到付款条件起15日内，支付合同总金额的100%；</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6362D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2B98E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在合同生效后30日内，将货物交到采购人指定地点，并在7个工作日内完成安装调试验收合格交付使用(如由于采购人的原因造成延迟交付的，时间顺延)。成套设备交货时须提供产品质检部门的检测报告。（2）项目验收由采购人组织，按照《财政部关于进一步加强政府采购需求和履约验收管理的指导意见》（财库[2016]205号）、《政府采购需求管理办法》财库〔2021〕22号以及国家相关规定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5B7C7D8">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（六）质量保修范围和保修期</w:t>
      </w:r>
    </w:p>
    <w:p w14:paraId="162B8A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color w:val="FF0000"/>
          <w:sz w:val="28"/>
          <w:szCs w:val="28"/>
          <w:lang w:val="en-US" w:eastAsia="zh-CN"/>
        </w:rPr>
        <w:t>质保期为最终验收合格后≥壹年或使用20万秒次（以先到为准）</w:t>
      </w:r>
      <w:r>
        <w:rPr>
          <w:rFonts w:hint="eastAsia" w:ascii="仿宋" w:hAnsi="仿宋" w:eastAsia="仿宋" w:cs="仿宋"/>
          <w:sz w:val="28"/>
          <w:szCs w:val="28"/>
          <w:lang w:val="en-US" w:eastAsia="zh-CN"/>
        </w:rPr>
        <w:t>，保修范围为整套设备。质保期内货物质量出现问题，成交供应商应负责包修、包换、包退，费用由成交供应商负担。如需更换零配件，供应商应保证所更换的零配件与原设备相同规格和品质且是全新的零配件。质保期内如货物经供应商三次维修仍不能达到合同约定的质量标准，视作供应商未能按时交货，采购人有权退货并追究供应商的违约责任。</w:t>
      </w:r>
    </w:p>
    <w:p w14:paraId="5E6CA139">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2、质保期后，供应商承诺提供终身售后服务和硬件支持下的软件升级，维修仅收取零配件费用，不收上门费、服务费及差旅费等其他费用，具体运维服务费用由供方和需方协商解决。</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2000元，同时供应商经采购人催告后应继续按合同约定履行合同。合同履行期内3次延迟履约，则供应商应向采购人缴纳合同总价款20%的违约金，同时采购人有权解除合同。</w:t>
      </w:r>
    </w:p>
    <w:p w14:paraId="03177CE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2000元，合同履行期内供应商出现3次本款所列违约行为，供应商应向采购人支付合同总价款20%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297703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A56A"/>
    <w:multiLevelType w:val="singleLevel"/>
    <w:tmpl w:val="BA6AA56A"/>
    <w:lvl w:ilvl="0" w:tentative="0">
      <w:start w:val="2"/>
      <w:numFmt w:val="decimal"/>
      <w:suff w:val="nothing"/>
      <w:lvlText w:val="%1、"/>
      <w:lvlJc w:val="left"/>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B55BF"/>
    <w:rsid w:val="691B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styleId="9">
    <w:name w:val="List Paragraph"/>
    <w:basedOn w:val="1"/>
    <w:autoRedefine/>
    <w:qFormat/>
    <w:uiPriority w:val="0"/>
    <w:pPr>
      <w:ind w:firstLine="420" w:firstLineChars="200"/>
    </w:pPr>
    <w:rPr>
      <w:szCs w:val="24"/>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2026-06-16T03:58:00Z</dcterms:created>
  <dc:creator>周云霞</dc:creator>
  <cp:lastModifiedBy>周云霞</cp:lastModifiedBy>
  <dcterms:modified xsi:type="dcterms:W3CDTF">2026-06-16T04:00:32Z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DE3AEF61DE31434E89CDB7C8A32C6B3D_11</vt:lpwstr>
  </property>
  <property fmtid="{D5CDD505-2E9C-101B-9397-08002B2CF9AE}" pid="4" name="KSOTemplateDocerSaveRecord">
    <vt:lpwstr>eyJoZGlkIjoiYzlkMmZkYmE5MjIyMjVmOTNjMjM2NjBkYzIyMmEyMDUiLCJ1c2VySWQiOiIzNTI2ODc0MzAifQ==</vt:lpwstr>
  </property>
</Properties>
</file>