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7CF0">
      <w:pPr>
        <w:pStyle w:val="8"/>
        <w:numPr>
          <w:ilvl w:val="0"/>
          <w:numId w:val="0"/>
        </w:numPr>
        <w:spacing w:line="560" w:lineRule="exact"/>
        <w:jc w:val="center"/>
        <w:rPr>
          <w:rFonts w:hint="eastAsia" w:ascii="微软雅黑" w:hAnsi="微软雅黑" w:eastAsia="微软雅黑" w:cs="微软雅黑"/>
          <w:b/>
          <w:bCs w:val="0"/>
          <w:color w:val="auto"/>
          <w:kern w:val="2"/>
          <w:sz w:val="44"/>
          <w:szCs w:val="44"/>
          <w:highlight w:val="none"/>
          <w:lang w:val="en-US" w:eastAsia="zh-CN" w:bidi="ar-SA"/>
        </w:rPr>
      </w:pPr>
      <w:r>
        <w:rPr>
          <w:rFonts w:hint="eastAsia" w:ascii="微软雅黑" w:hAnsi="微软雅黑" w:eastAsia="微软雅黑" w:cs="微软雅黑"/>
          <w:b/>
          <w:bCs w:val="0"/>
          <w:color w:val="auto"/>
          <w:kern w:val="2"/>
          <w:sz w:val="44"/>
          <w:szCs w:val="44"/>
          <w:highlight w:val="none"/>
          <w:lang w:val="en-US" w:eastAsia="zh-CN" w:bidi="ar-SA"/>
        </w:rPr>
        <w:t>采购需求</w:t>
      </w:r>
    </w:p>
    <w:p w14:paraId="3B5F7446">
      <w:pPr>
        <w:pStyle w:val="3"/>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6866A67D">
      <w:pPr>
        <w:pStyle w:val="9"/>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6588560">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75000元。</w:t>
      </w:r>
    </w:p>
    <w:p w14:paraId="3D28F086">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75000元。</w:t>
      </w:r>
      <w:bookmarkStart w:id="0" w:name="_GoBack"/>
      <w:bookmarkEnd w:id="0"/>
    </w:p>
    <w:tbl>
      <w:tblPr>
        <w:tblStyle w:val="6"/>
        <w:tblW w:w="9493"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65"/>
        <w:gridCol w:w="1069"/>
        <w:gridCol w:w="1096"/>
        <w:gridCol w:w="2940"/>
        <w:gridCol w:w="1500"/>
      </w:tblGrid>
      <w:tr w14:paraId="1970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23" w:type="dxa"/>
            <w:noWrap w:val="0"/>
            <w:vAlign w:val="center"/>
          </w:tcPr>
          <w:p w14:paraId="76EC2F36">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1965" w:type="dxa"/>
            <w:noWrap w:val="0"/>
            <w:vAlign w:val="center"/>
          </w:tcPr>
          <w:p w14:paraId="252190D9">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标的名称</w:t>
            </w:r>
          </w:p>
        </w:tc>
        <w:tc>
          <w:tcPr>
            <w:tcW w:w="1069" w:type="dxa"/>
            <w:noWrap w:val="0"/>
            <w:vAlign w:val="center"/>
          </w:tcPr>
          <w:p w14:paraId="3B0AF94C">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1096" w:type="dxa"/>
            <w:noWrap w:val="0"/>
            <w:vAlign w:val="center"/>
          </w:tcPr>
          <w:p w14:paraId="27B9894F">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940" w:type="dxa"/>
            <w:noWrap w:val="0"/>
            <w:vAlign w:val="center"/>
          </w:tcPr>
          <w:p w14:paraId="01695C07">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tc>
        <w:tc>
          <w:tcPr>
            <w:tcW w:w="1500" w:type="dxa"/>
            <w:noWrap w:val="0"/>
            <w:vAlign w:val="center"/>
          </w:tcPr>
          <w:p w14:paraId="40E98980">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439E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23" w:type="dxa"/>
            <w:noWrap w:val="0"/>
            <w:vAlign w:val="center"/>
          </w:tcPr>
          <w:p w14:paraId="3F5E3629">
            <w:pPr>
              <w:pStyle w:val="3"/>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965" w:type="dxa"/>
            <w:noWrap w:val="0"/>
            <w:vAlign w:val="center"/>
          </w:tcPr>
          <w:p w14:paraId="466E389E">
            <w:pPr>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年度三级等保测评服务</w:t>
            </w:r>
          </w:p>
        </w:tc>
        <w:tc>
          <w:tcPr>
            <w:tcW w:w="1069" w:type="dxa"/>
            <w:noWrap w:val="0"/>
            <w:vAlign w:val="center"/>
          </w:tcPr>
          <w:p w14:paraId="0FFCC720">
            <w:pPr>
              <w:pStyle w:val="3"/>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96" w:type="dxa"/>
            <w:noWrap w:val="0"/>
            <w:vAlign w:val="center"/>
          </w:tcPr>
          <w:p w14:paraId="41121CDB">
            <w:pPr>
              <w:pStyle w:val="3"/>
              <w:jc w:val="center"/>
              <w:textAlignment w:val="baseline"/>
              <w:rPr>
                <w:rFonts w:hint="eastAsia" w:ascii="仿宋" w:hAnsi="仿宋" w:eastAsia="仿宋" w:cs="仿宋"/>
                <w:sz w:val="24"/>
                <w:szCs w:val="24"/>
              </w:rPr>
            </w:pPr>
            <w:r>
              <w:rPr>
                <w:rFonts w:hint="eastAsia" w:ascii="仿宋" w:hAnsi="仿宋" w:eastAsia="仿宋" w:cs="仿宋"/>
                <w:sz w:val="24"/>
                <w:szCs w:val="24"/>
              </w:rPr>
              <w:t>项</w:t>
            </w:r>
          </w:p>
        </w:tc>
        <w:tc>
          <w:tcPr>
            <w:tcW w:w="2940" w:type="dxa"/>
            <w:noWrap w:val="0"/>
            <w:vAlign w:val="center"/>
          </w:tcPr>
          <w:p w14:paraId="6C3C83B1">
            <w:pPr>
              <w:pStyle w:val="3"/>
              <w:jc w:val="center"/>
              <w:textAlignment w:val="baseline"/>
              <w:rPr>
                <w:rFonts w:hint="default" w:ascii="仿宋" w:hAnsi="仿宋" w:eastAsia="仿宋" w:cs="仿宋"/>
                <w:sz w:val="24"/>
                <w:szCs w:val="24"/>
                <w:lang w:val="en-US" w:eastAsia="zh-CN"/>
              </w:rPr>
            </w:pPr>
            <w:r>
              <w:rPr>
                <w:rFonts w:hint="eastAsia" w:ascii="仿宋" w:hAnsi="仿宋" w:eastAsia="仿宋" w:cs="仿宋"/>
                <w:bCs/>
                <w:color w:val="auto"/>
                <w:sz w:val="24"/>
                <w:szCs w:val="24"/>
                <w:lang w:val="en-US" w:eastAsia="zh-CN"/>
              </w:rPr>
              <w:t>实验室和医院信息综合管理系统、</w:t>
            </w:r>
            <w:r>
              <w:rPr>
                <w:rFonts w:hint="eastAsia" w:ascii="仿宋" w:hAnsi="仿宋" w:eastAsia="仿宋" w:cs="仿宋"/>
                <w:bCs/>
                <w:color w:val="auto"/>
                <w:sz w:val="24"/>
                <w:szCs w:val="24"/>
              </w:rPr>
              <w:t>PACS系统、EMR系统、数据交换平</w:t>
            </w:r>
            <w:r>
              <w:rPr>
                <w:rFonts w:hint="eastAsia" w:ascii="仿宋" w:hAnsi="仿宋" w:eastAsia="仿宋" w:cs="仿宋"/>
                <w:bCs/>
                <w:sz w:val="24"/>
                <w:szCs w:val="24"/>
              </w:rPr>
              <w:t>台系统</w:t>
            </w:r>
            <w:r>
              <w:rPr>
                <w:rFonts w:hint="eastAsia" w:ascii="仿宋" w:hAnsi="仿宋" w:eastAsia="仿宋" w:cs="仿宋"/>
                <w:sz w:val="24"/>
                <w:szCs w:val="24"/>
              </w:rPr>
              <w:t>及与完成采购人等级保护测评、备案工作相关的所有事项。</w:t>
            </w:r>
            <w:r>
              <w:rPr>
                <w:rFonts w:hint="eastAsia" w:ascii="仿宋" w:hAnsi="仿宋" w:eastAsia="仿宋" w:cs="仿宋"/>
                <w:sz w:val="24"/>
                <w:szCs w:val="24"/>
                <w:lang w:val="en-US" w:eastAsia="zh-CN"/>
              </w:rPr>
              <w:t>具体服务内容详见服务要求。</w:t>
            </w:r>
          </w:p>
        </w:tc>
        <w:tc>
          <w:tcPr>
            <w:tcW w:w="1500" w:type="dxa"/>
            <w:noWrap w:val="0"/>
            <w:vAlign w:val="center"/>
          </w:tcPr>
          <w:p w14:paraId="39BBF8FA">
            <w:pPr>
              <w:pStyle w:val="3"/>
              <w:jc w:val="center"/>
              <w:textAlignment w:val="baseline"/>
              <w:rPr>
                <w:rFonts w:hint="default" w:ascii="仿宋" w:hAnsi="仿宋" w:eastAsia="仿宋" w:cs="仿宋"/>
                <w:sz w:val="24"/>
                <w:szCs w:val="24"/>
                <w:lang w:val="en-US" w:eastAsia="zh-CN"/>
              </w:rPr>
            </w:pPr>
          </w:p>
        </w:tc>
      </w:tr>
    </w:tbl>
    <w:p w14:paraId="771259E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79D6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（一）供应商应负责采购人</w:t>
      </w:r>
      <w:r>
        <w:rPr>
          <w:rFonts w:hint="eastAsia" w:ascii="仿宋" w:hAnsi="仿宋" w:eastAsia="仿宋" w:cs="仿宋"/>
          <w:b w:val="0"/>
          <w:bCs w:val="0"/>
          <w:color w:val="auto"/>
          <w:sz w:val="28"/>
          <w:szCs w:val="28"/>
          <w:lang w:val="en-US" w:eastAsia="zh-CN"/>
        </w:rPr>
        <w:t>的实验室和医院信息综合管理系统、</w:t>
      </w:r>
      <w:r>
        <w:rPr>
          <w:rFonts w:hint="eastAsia" w:ascii="仿宋" w:hAnsi="仿宋" w:eastAsia="仿宋" w:cs="仿宋"/>
          <w:b w:val="0"/>
          <w:bCs w:val="0"/>
          <w:sz w:val="28"/>
          <w:szCs w:val="28"/>
          <w:lang w:val="en-US" w:eastAsia="zh-CN"/>
        </w:rPr>
        <w:t>PACS系统、EMR系统、数据交换平台系统的等级保护测评、备案工作相关的所有事项，工作内容包括不限于了解采购人需求，编制采购人的等级保护测评方案、实施进度、对接采购人上级主管部门、行政机关、第三方测评机构、组织行业专家进行定级评审、组织有资质单位进行安全等级保护测评、向公安行政部门（或等保测评备案有关的行政主管部门）办理安全等级保护备案手续等工作。</w:t>
      </w:r>
    </w:p>
    <w:p w14:paraId="2B21A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（二）供应商应全面梳理及汇总应代理采购人采购标的的全部工作需求并形成需求文档和实施计划。</w:t>
      </w:r>
    </w:p>
    <w:p w14:paraId="08E2B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供应商应在2026年12月31日前完成采购标的所有信息系统等级保护测评及备案工作，并取得有效的具有法律效力的安全等级保护测评报告及完成在达州市网络安全支队完成备案及在四川省公安厅系统报备工作。</w:t>
      </w:r>
    </w:p>
    <w:p w14:paraId="083EA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（四）供应商应负责测评及备案工作院内及与测评工作相关部门的所有协调工作，不得将部分环节工作转嫁给采购人的职能人员，占用采购人职能人员时间。</w:t>
      </w:r>
    </w:p>
    <w:p w14:paraId="6B66B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供应商成立工作小组并指定项目负责人，项目负责人应具有良好的职业道德、业务素质和责任意识。供应商在本项目合同履约期间，应提供不少于3人的服务团队，该服务团队在采购人处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询价文件要求的内容，由成交供应商自行补充人员，采购人不再额外支付费用。</w:t>
      </w:r>
    </w:p>
    <w:p w14:paraId="7AEEF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14:paraId="28D98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按照达州市网络安全支队要求，本项目需在2026年12月31日前完成测评系统的《安全等级保护测评报告》并完成备案。采购人在本询价文件中委托供应商代理完成该事项，供应商应在2026年12月31日前出具有效的安全等级保护测评成果资料并取得达州市公安局网安支队部门有效备案证明。</w:t>
      </w:r>
    </w:p>
    <w:p w14:paraId="190B3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（八）供应商提供的委托代理服务，必须符合以下标准：</w:t>
      </w:r>
    </w:p>
    <w:p w14:paraId="43033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1.《中华人民共和国网络安全法》；</w:t>
      </w:r>
    </w:p>
    <w:p w14:paraId="3521CD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2.《GB/T 22239-2019 信息安全技术 网络安全等级保护基本要求》；</w:t>
      </w:r>
    </w:p>
    <w:p w14:paraId="11680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3.《GB/T 22240-2020 信息安全技术 网络安全等级保护定级指南》；</w:t>
      </w:r>
    </w:p>
    <w:p w14:paraId="7B3CE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4.《GB/T 25058-2019 信息安全技术 信息系统安全等级保护实施指南》；</w:t>
      </w:r>
    </w:p>
    <w:p w14:paraId="690A3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5.《GB/T 25070-2019 信息安全技术 网络安全等级保护安全设计技术要求》；</w:t>
      </w:r>
    </w:p>
    <w:p w14:paraId="183244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6.《GB/T 28448-2019 信息安全技术 网络安全等级保护测评要求》；</w:t>
      </w:r>
    </w:p>
    <w:p w14:paraId="60D69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7.《GB/T 28449-2018 信息安全技术 网络安全等级保护测评过程指南》；</w:t>
      </w:r>
    </w:p>
    <w:p w14:paraId="254B5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8.《GB/T 31509-2015 信息安全技术 信息安全风险评估实施指南》；</w:t>
      </w:r>
    </w:p>
    <w:p w14:paraId="49E4FB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9.《GB/T 36627-2018 信息安全技术 网络安全等级保护测试评估技术指南》；</w:t>
      </w:r>
    </w:p>
    <w:p w14:paraId="613BF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10.与本项目相关国家最新标准、行业标准及三级甲等医院运行管理要求。</w:t>
      </w:r>
    </w:p>
    <w:p w14:paraId="64BD2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供应商参与本项目的所有人员，对工作中所涉的数据、资料及文件等负有保密义务，未经采购人同意，不得向第三方泄露，不得利用任何数据进行任何侵害采购人的行为，否则采购人有权追究供应商的责任。</w:t>
      </w:r>
    </w:p>
    <w:p w14:paraId="543BF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55867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一）成交供应商合同履约期间不服从采购人的监督管理，或造成安全事故，或受到行政机关处罚未及时整改，或服务质量不符合国家标准及三级甲等医院要求，或给采购人带来严重负面影响的视为成交供应商违约，采购人将立即解除合同，供应商给采购人造成其他损失的，还要向采购人进行全额赔偿。</w:t>
      </w:r>
    </w:p>
    <w:p w14:paraId="2E648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（十二）若供应商原因导致采购人受到行政机关处罚，所产生的罚款费用和法律责任由成交供应商全部承担，成交供应商要立刻整改，并对造成的损失进行赔偿。</w:t>
      </w:r>
    </w:p>
    <w:p w14:paraId="040DF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三）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所不拥有的知识产权，则在响应报价中必须包括合法获取该知识产权的相关费用。</w:t>
      </w:r>
    </w:p>
    <w:p w14:paraId="31FBB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（十四）三级等保测评技术和管理测评要求：</w:t>
      </w:r>
    </w:p>
    <w:p w14:paraId="1F37EC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技术安全性测评至少包括：安全物理环境、安全通信网络、安全区域边界、安全计算环境、安全管理中心。</w:t>
      </w:r>
    </w:p>
    <w:p w14:paraId="07EF3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管理安全测评至少包括：安全管理制度、安全管理机构、安全管理人员、安全建设管理、安全运维管理。</w:t>
      </w:r>
    </w:p>
    <w:p w14:paraId="2D115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1.安全物理环境</w:t>
      </w:r>
    </w:p>
    <w:p w14:paraId="0A578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（1）物理位置选择：至少通过访谈、检查机房的信息系统物理场所在位置上是否具有多方面（至少包含防雷、防风和防雨）的安全防范能力。</w:t>
      </w:r>
    </w:p>
    <w:p w14:paraId="09E68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（2）物理访问控制：至少通过访谈、检查主机房出入口、机房分区域情况的过程，测评信息系统在物理访问控制方面的安全防范能力。</w:t>
      </w:r>
    </w:p>
    <w:p w14:paraId="766D4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（3）防盗窃和防破坏：至少通过访谈、检查机房的主要设备、介质和防盗报警系统的过程，测评信息系统是否采取必要的措施预防设备、介质的丢失和被破坏。</w:t>
      </w:r>
    </w:p>
    <w:p w14:paraId="777D93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（4）防雷击：通过访谈、检查机房的设计/验收文档，测评信息系统是否采取相应的措施预防雷击。</w:t>
      </w:r>
    </w:p>
    <w:p w14:paraId="16046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（5）防火：至少通过访谈、检查机房的设计/验收文档，检查机房防火设备的过程，测评信息系统是否采取必要的措施防止火灾的发生。</w:t>
      </w:r>
    </w:p>
    <w:p w14:paraId="0B3EC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（6）防水和防潮：至少通过访谈、检查机房的除潮设备的过程，测评信息系统是否采取必要措施来防止水灾和机房潮湿。</w:t>
      </w:r>
    </w:p>
    <w:p w14:paraId="39295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（7）防静电：通过访谈、检查机房是否采取必要措施防止静电的产生。</w:t>
      </w:r>
    </w:p>
    <w:p w14:paraId="34AC3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（8）温湿度控制：通过访谈、检查机房温、湿度情况，是否采取必要措施对机房内的温湿度进行控制。</w:t>
      </w:r>
    </w:p>
    <w:p w14:paraId="6E7430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（9）电力供应：至少通过访谈、检查机房供电线路、设备的过程，是否具备提供电力供应的能力。</w:t>
      </w:r>
    </w:p>
    <w:p w14:paraId="54B18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（10）电磁防护：通过访谈、检查是否具备电磁防护能力。</w:t>
      </w:r>
    </w:p>
    <w:p w14:paraId="66B89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2.安全通信网络</w:t>
      </w:r>
    </w:p>
    <w:p w14:paraId="206DC3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网络架构：至少通过访谈、检查、测试网络拓扑情况、抽查核心交换机、接入交换机和接入路由器，测试系统访问路径和网络宽带分配情况的过程，测评分析网络架构与网段划分、隔离情况的合理性和有效性，以及通信线路、关键设备硬件冗余，系统可用性保证情况。</w:t>
      </w:r>
    </w:p>
    <w:p w14:paraId="75DB0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（2）通信传输：通过访谈、检查、测试通信传输过程的数据完整性和保密性保护情况。</w:t>
      </w:r>
    </w:p>
    <w:p w14:paraId="4960A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（3）可信验证：至少通过访谈、检查通信设备的系统引导、系统程序、重要配置参数和通信应用程序进行可信验证及应用程序的关键执行环节进行动态可信验证的保护情况。</w:t>
      </w:r>
    </w:p>
    <w:p w14:paraId="5BFC3B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3.安全区域边界</w:t>
      </w:r>
    </w:p>
    <w:p w14:paraId="21A36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（1）边界防护：通过访谈、检查、测试边界完整性检查设备，测评分析跨域边界的访问控制和数据流通过边界设备的控制措施，非法内联、外联、无线准入控制的监测、阻断的能力。</w:t>
      </w:r>
    </w:p>
    <w:p w14:paraId="08BFD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（2）访问控制：至少通过访谈、检查、测试网络访问控制设备策略部署，测试系统对外暴露安全漏洞情况的过程，测评分析对进出网络的数据流量控制以及基于应用协议和应用内容的访问控制能力。</w:t>
      </w:r>
    </w:p>
    <w:p w14:paraId="0FE67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入侵防范：通过访谈、检查、测试网络边界处、关键网络节点检测、防止或限制从内部和外部发起网络攻击行为的防护能力，以及网络行为分析、监测、报警能力，特别是新型网络攻击行为的分析，对攻击行为的检测是否涉及防范能力（至少包括：攻击源、攻击类型、攻击目标、攻击事件、入侵报警方面）。</w:t>
      </w:r>
    </w:p>
    <w:p w14:paraId="64C8F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（4）恶意代码和防垃圾邮件：通过访谈、检查、测试关键网络节点处对恶意代码、垃圾邮件进行检测、防护和清除、恶意代码防护机制的升级和更新维护的情况。</w:t>
      </w:r>
    </w:p>
    <w:p w14:paraId="2C753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（5）安全审计：至少通过访谈、检查网络边界、重要网络节点安全审计情况，测评分析信息系统审计配置和审计记录保护，审计内容的情况。</w:t>
      </w:r>
    </w:p>
    <w:p w14:paraId="69CF4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（6）可信验证：至少通过访谈、检查边界设备的系统引导、系统程序、重要配置参数和边界防护应用程序进行可信验证及应用程序的关键执行环节进行动态可信验证的保护情况。</w:t>
      </w:r>
    </w:p>
    <w:p w14:paraId="266EF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4.安全计算环境</w:t>
      </w:r>
    </w:p>
    <w:p w14:paraId="40EE4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（1）身份鉴别：通过访谈、检查、测试对登录的用户进行身份标识和鉴别，是否具有不易被冒用的特点，口令应有复杂度要求并定期更换，以及远程管理安全、双因素鉴别的内容。</w:t>
      </w:r>
    </w:p>
    <w:p w14:paraId="6C917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（2）访问控制：通过访谈、检查、测试是否启用访问控制功能，依据安全策略控制用户对资源的访问；是否根据管理用户的角色分配权限，实现管理用户的权限分离，仅授予管理用户所需的至少最小权限内容。</w:t>
      </w:r>
    </w:p>
    <w:p w14:paraId="0EAC8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（3）安全审计：通过访谈、检查安全审计范围及内容。</w:t>
      </w:r>
    </w:p>
    <w:p w14:paraId="66F75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入侵防范：通过访谈、检查、测试是否能够检测到对重要节点进行入侵的行为，能够记录入侵的源IP、攻击的类型、攻击的目的、攻击的时间，并在发生严重入侵事件时提供报警，是否遵循最小化安全装原则、系统服务、默认共享和高危端口、终端接入限制、数据有效性检验、已知漏洞防护的内容。</w:t>
      </w:r>
    </w:p>
    <w:p w14:paraId="47027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（5）恶意代码防范：通过访谈、检查、测试是否具有防恶意代码攻击的技术措施或主动免疫可信验证机制，能否及时识别入侵和病毒行为并将其有效阻断等内容。</w:t>
      </w:r>
    </w:p>
    <w:p w14:paraId="1A741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（6）可信验证：通过访谈、通过访谈安全员，检查计算设备（至少包含系统引导、系统程序、重要配置参数和应用程序）进行可信验证及应用程序的关键执行环节进行动态可信验证的保护情况。</w:t>
      </w:r>
    </w:p>
    <w:p w14:paraId="62EC9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（7）数据完整性：通过访谈、检查、测试重要数据在传输和存储过程中的完整性保护情况，至少包括鉴别数据、重要业务数据、重要审计数据、重要配置数据、重要视频数据和重要个人信息。</w:t>
      </w:r>
    </w:p>
    <w:p w14:paraId="040654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（8）数据保密性：通过访谈、检查、测试重要数据在传输和存储过程中的保密性保护情况，至少包括鉴别数据、重要业务数据、重要审计数据、重要配置数据、重要视频数据和重要个人信息。</w:t>
      </w:r>
    </w:p>
    <w:p w14:paraId="133A6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（9）数据备份恢复：通过访谈、检查、测试重要数据本地备份与恢复功能，异地实时备份功能，以及重要数据处理系统的热冗余和高可用性保证。</w:t>
      </w:r>
    </w:p>
    <w:p w14:paraId="291B2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（10）剩余信息保护：通过访谈、检查、测试边界信息在存储空间被释放或重新分配前是否有效清除，存有敏感数据的存储空间被释放或重新分配前是否有效清除。</w:t>
      </w:r>
    </w:p>
    <w:p w14:paraId="2C7DB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（11）个人信息保护：通过访谈、检查、测试是否仅采集和保存业务必须的用户个人信息，对用户个人信息的访问和使用。</w:t>
      </w:r>
    </w:p>
    <w:p w14:paraId="4755A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5.安全管理中心</w:t>
      </w:r>
    </w:p>
    <w:p w14:paraId="343CE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（1）系统管理：通过访谈、检查、测试对系统管理员身份鉴别、命令或操作管理、操作审计，以及是否通过系统管理对系统资源和运行进行配置、控制和管理。</w:t>
      </w:r>
    </w:p>
    <w:p w14:paraId="4DE79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（2）审计管理：通过访谈、检查、测试对审计管理员身份鉴别、命令或操作管理、操作审计，以及是否通过审计管理员对审计策略、审计记录进行分析、处理。</w:t>
      </w:r>
    </w:p>
    <w:p w14:paraId="59A49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（3）安全管理：通过访谈、检查、测试对安全管理员身份鉴别、命令或操作管理、操作审计，以及是否通过安全管理员对安全策略、参数进行配置。</w:t>
      </w:r>
    </w:p>
    <w:p w14:paraId="109E4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集中管控：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w:t>
      </w:r>
    </w:p>
    <w:p w14:paraId="43BAA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6.安全管理制度</w:t>
      </w:r>
    </w:p>
    <w:p w14:paraId="720DC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（1）安全策略：通过访谈、检查网络安全工作的总体方针及安全策略是否全面、完善。</w:t>
      </w:r>
    </w:p>
    <w:p w14:paraId="5EA98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（2）管理制度：通过访谈、检查管理制度的制定和发布过程是否遵循流程。</w:t>
      </w:r>
    </w:p>
    <w:p w14:paraId="1D9B4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（3）制度和发布：通过访谈、检查管理制度定期评审和修订情况。</w:t>
      </w:r>
    </w:p>
    <w:p w14:paraId="6F891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（4）评审和修订：通过访谈、检查管理制度在内容覆盖上是否全面、完善。</w:t>
      </w:r>
    </w:p>
    <w:p w14:paraId="584B9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7.安全管理机构</w:t>
      </w:r>
    </w:p>
    <w:p w14:paraId="2038ED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（1）岗位设置：通过访谈、检查安全主管部门设置情况以及各岗位设置和岗位职责情况。</w:t>
      </w:r>
    </w:p>
    <w:p w14:paraId="1EC44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（2）人员配备：通过访谈、检查各个岗位人员配备情况。</w:t>
      </w:r>
    </w:p>
    <w:p w14:paraId="6575F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（3）授权和审批：通过访谈、检查对关键活动的授权和审批情况。</w:t>
      </w:r>
    </w:p>
    <w:p w14:paraId="2DFEA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（4）沟通和合作：通过访谈、检查内部部门间、与外部单位间的沟通与合作情况。</w:t>
      </w:r>
    </w:p>
    <w:p w14:paraId="77F37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（5）审核和检查：通过访谈、检查安全工作的审核和检查情况。</w:t>
      </w:r>
    </w:p>
    <w:p w14:paraId="5AEAA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8.安全管理人员</w:t>
      </w:r>
    </w:p>
    <w:p w14:paraId="710E9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（1）人员录用：通过访谈、检查录用人员时是否对人员提出要求以及是否对其进行各种审查和考核。</w:t>
      </w:r>
    </w:p>
    <w:p w14:paraId="0022E4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（2）人员离岗：通过访谈、检查人员离岗时是否按照手续办理。</w:t>
      </w:r>
    </w:p>
    <w:p w14:paraId="345BE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（3）安全意识教育和培训：通过访谈、检查是否对人员进行安全方面的教育和培训。</w:t>
      </w:r>
    </w:p>
    <w:p w14:paraId="2A111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（4）外部人员访问管理：通过访谈、检查对第三方人员访问（物理、逻辑）系统是否采取必要控制措施。</w:t>
      </w:r>
    </w:p>
    <w:p w14:paraId="61128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9.安全建设管理</w:t>
      </w:r>
    </w:p>
    <w:p w14:paraId="543AB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（1）定级和备案：通过访谈、检查是否按照一定要求确定系统的安全等级。</w:t>
      </w:r>
    </w:p>
    <w:p w14:paraId="1986E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（2）安全方案设计：通过访谈、检查整体的安全规划设计是否按照一定流程进行。</w:t>
      </w:r>
    </w:p>
    <w:p w14:paraId="6E4AF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（3）产品采购和使用：通过访谈、检查是否按照要求进行系统的产品采购。</w:t>
      </w:r>
    </w:p>
    <w:p w14:paraId="175A2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（4）自行软件开发：通过访谈、检查自行开发的软件是否采取必要的措施保证开发过程的安全性。</w:t>
      </w:r>
    </w:p>
    <w:p w14:paraId="717CF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（5）外包软件开发：通过访谈、检查外包开发的软件是否采取必要的措施保证开发过程的安全性和日后的维护工作能够正常开展。</w:t>
      </w:r>
    </w:p>
    <w:p w14:paraId="06426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（6）工程实施：通过访谈、检查建设的实施过程是否采取必要的措施使其在机构可控的范围内进行。</w:t>
      </w:r>
    </w:p>
    <w:p w14:paraId="67E3B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（7）测试验收：通过访谈、检查系统运行前是否对其进行测试验收工作。</w:t>
      </w:r>
    </w:p>
    <w:p w14:paraId="67C94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（8）系统交付：通过访谈、检查是否采取必要的措施对系统交付过程进行有效控制。</w:t>
      </w:r>
    </w:p>
    <w:p w14:paraId="3CB1A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（9）等级测评：通过访谈、检查等级测评、整改情况。</w:t>
      </w:r>
    </w:p>
    <w:p w14:paraId="099C72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（10）服务商选择：通过访谈、检查是否选择符合国家有关规定的安全服务单位进行相关的安全服务工作。</w:t>
      </w:r>
    </w:p>
    <w:p w14:paraId="16337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10.安全运维管理</w:t>
      </w:r>
    </w:p>
    <w:p w14:paraId="1070A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（1）环境管理：通过访谈、检查是否采取必要的措施对机房的出入控制以及办公环境的人员行为等方面进行安全管理。</w:t>
      </w:r>
    </w:p>
    <w:p w14:paraId="3CC8FC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（2）资产管理：通过访谈、检查是否采取必要的措施对系统的资产进行分类标识管理。</w:t>
      </w:r>
    </w:p>
    <w:p w14:paraId="47C90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（3）介质管理：通过访谈、检查是否采取必要的措施对介质存放环境、使用、维护和销毁等方面进行管理。</w:t>
      </w:r>
    </w:p>
    <w:p w14:paraId="7F6C0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（4）设备维护管理：通过访谈、检查是否采取必要的措施确保设备在使用、维护和销毁等过程安全。</w:t>
      </w:r>
    </w:p>
    <w:p w14:paraId="10F88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（5）漏洞和风险管理：通过访谈、检查安全漏洞和隐患识别、处理情况，以及是否定期开展安全测评以及安全问题的应对措施。</w:t>
      </w:r>
    </w:p>
    <w:p w14:paraId="62298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网络和系统安全管理：通过访谈、检查是否采取必要的措施对系统的安全配置、系统账户、漏洞扫描和审计日志进行有效的管理。是否采取必要的措施对网络的安全配置、网络用户权限和审计日志进行有效的管理，确保网络安全运行。</w:t>
      </w:r>
    </w:p>
    <w:p w14:paraId="659593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（7）恶意代码防范管理：通过访谈、检查是否采取必要的措施对恶意代码进行有效管理，确保系统具有恶意代码防范能力。</w:t>
      </w:r>
    </w:p>
    <w:p w14:paraId="47B880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（8）配置管理：通过访谈、检查基本配置信息管理情况。</w:t>
      </w:r>
    </w:p>
    <w:p w14:paraId="41858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（9）密码管理：通过访谈、检查是否能够确保信息系统中密码算法和密钥的使用符合国家密码管理规定。</w:t>
      </w:r>
    </w:p>
    <w:p w14:paraId="5E0DB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（10）变更管理：通过访谈、检查是否采取必要的措施对系统发生的变更进行有效管理。</w:t>
      </w:r>
    </w:p>
    <w:p w14:paraId="7239CF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（11）备份与恢复管理：通过访谈、检查是否采取必要的措施对重要业务信息，系统数据和系统软件进行备份，并确保必要时能够对这些数据有效地恢复。</w:t>
      </w:r>
    </w:p>
    <w:p w14:paraId="36017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（12）安全事件处置：通过访谈、检查是否采取必要的措施对安全事件进行等级划分和对安全事件的报告、处理过程进行有效的管理。</w:t>
      </w:r>
    </w:p>
    <w:p w14:paraId="74671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（13）应急预案管理：通过访谈、检查是否针对不同安全事件制定相应的应急预案，是否对应急预案展开培训、演练和审查。</w:t>
      </w:r>
    </w:p>
    <w:p w14:paraId="0DA631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（14）外包运维管理：通过访谈、检查外包运维服务商选择是否符合国家要求，外包运维保密、服务内容管理。</w:t>
      </w:r>
    </w:p>
    <w:p w14:paraId="4B639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11.安全扩展要求</w:t>
      </w:r>
    </w:p>
    <w:p w14:paraId="07CF80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按照所测评系统的具体情况选用云计算安全扩展要求、移动互联安全扩展要求、物联网安全扩展要求、工业控制系统安全扩展要求。</w:t>
      </w:r>
    </w:p>
    <w:p w14:paraId="0EDF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12.验证测试相关要求</w:t>
      </w:r>
    </w:p>
    <w:p w14:paraId="5A342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按照等级保护测评要求，测评过程中应配备必要的工具、仪器/设备对信息系统进行验证测试，采用的测评工具的生产商应为正规厂商，具有研发和服务能力，能够对产品进行持续更新并提供质量和安全保障。</w:t>
      </w:r>
    </w:p>
    <w:p w14:paraId="163FE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验证测试内容至少包括以下内：</w:t>
      </w:r>
    </w:p>
    <w:p w14:paraId="60568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12.1渗透测试</w:t>
      </w:r>
    </w:p>
    <w:p w14:paraId="2F92B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p w14:paraId="0A2CD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注入</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失效的身份认证</w:t>
      </w:r>
    </w:p>
    <w:p w14:paraId="01CA1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敏感信息泄露</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XML外部实体（XXE）</w:t>
      </w:r>
    </w:p>
    <w:p w14:paraId="74917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失效的访问控制</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安全配置错误</w:t>
      </w:r>
    </w:p>
    <w:p w14:paraId="7C175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跨站脚本（XSS）</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不安全的反序列化</w:t>
      </w:r>
    </w:p>
    <w:p w14:paraId="7A712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使用含有已知漏洞的组件</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不足的日志记录和监控</w:t>
      </w:r>
    </w:p>
    <w:p w14:paraId="23DE9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12.2性能测试</w:t>
      </w:r>
    </w:p>
    <w:p w14:paraId="5086F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过模拟手段对网络（包括丢包、时延、带宽等）、软件系统（包括负载、响应）、负载下硬件占用（包含CPU、内存）等进行全面的测评评估验证系统的可靠性、可用性，通过对测试结果的分析，给出相应的整改建议。</w:t>
      </w:r>
    </w:p>
    <w:p w14:paraId="0DDF7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12.3漏洞扫描</w:t>
      </w:r>
    </w:p>
    <w:p w14:paraId="61282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据相关标准、规范要求对重要信息系统的安全漏洞进行测评。分析总结系统中存在的主要安全漏洞，指出系统中可能被利用的安全漏洞、系统配置错误缺陷以及相应的安全加固意见、建议。</w:t>
      </w:r>
    </w:p>
    <w:p w14:paraId="06424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测评技术服务必须符合以下标准：</w:t>
      </w:r>
    </w:p>
    <w:p w14:paraId="05A3F0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1．《GB/T22239一2019信息安全技术网络安全等级保护基本要求》</w:t>
      </w:r>
    </w:p>
    <w:p w14:paraId="784C80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2．《GB/T25058一2019信息安全技术信息系统安全等级保护实施指南》</w:t>
      </w:r>
    </w:p>
    <w:p w14:paraId="0E018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3．《GB/T25070一2019信息安全技术网络安全等级保护安全设计技术要求》</w:t>
      </w:r>
    </w:p>
    <w:p w14:paraId="563A5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4．《GB/T28448一2019信息安全技术网络安全等级保护测评要求》</w:t>
      </w:r>
    </w:p>
    <w:p w14:paraId="6D9360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5．《GB/T22240一2020信息安全技术网络安全等级保护定级指南》</w:t>
      </w:r>
    </w:p>
    <w:p w14:paraId="4EAB8D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6．《GB/T28449一2018信息安全技术网络安全等级保护测评过程指南》</w:t>
      </w:r>
    </w:p>
    <w:p w14:paraId="22CA2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7．《GB/T31509一2015信息安全技术信息安全风险评估实施指南》</w:t>
      </w:r>
    </w:p>
    <w:p w14:paraId="15C99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8．《GB/T36627一2018信息安全技术网络安全等级保护测试评估技术指南》</w:t>
      </w:r>
    </w:p>
    <w:p w14:paraId="3D663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9．与本项目相关国家最新标准、行业标准及三级甲等医院运行管理要求。</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BE21C4">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（一）合同的履行</w:t>
      </w:r>
    </w:p>
    <w:p w14:paraId="05425228">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1、本项目合同履行期限为合同双方签字盖章生效之日起，</w:t>
      </w:r>
      <w:r>
        <w:rPr>
          <w:rFonts w:hint="eastAsia" w:ascii="仿宋" w:hAnsi="仿宋" w:eastAsia="仿宋" w:cs="仿宋"/>
          <w:color w:val="FF0000"/>
          <w:sz w:val="28"/>
          <w:szCs w:val="28"/>
          <w:lang w:val="en-US" w:eastAsia="zh-CN"/>
        </w:rPr>
        <w:t>2026年12月31日之前</w:t>
      </w:r>
      <w:r>
        <w:rPr>
          <w:rFonts w:hint="eastAsia" w:ascii="仿宋" w:hAnsi="仿宋" w:eastAsia="仿宋" w:cs="仿宋"/>
          <w:color w:val="auto"/>
          <w:sz w:val="28"/>
          <w:szCs w:val="28"/>
          <w:lang w:val="en-US" w:eastAsia="zh-CN"/>
        </w:rPr>
        <w:t>完成采购标的测评和备案。</w:t>
      </w:r>
    </w:p>
    <w:p w14:paraId="2D194713">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2、合同中止的约定：若国家行政管理部门根据相应法律法规，要求采购人解除本合同，即使本项目采购总金额未达到本项目总预算，本合同仍然立即终止。</w:t>
      </w:r>
    </w:p>
    <w:p w14:paraId="7FDD0FF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（二）项目履行地点：四川省达州市大竹县白塔街道青年路99号，大竹县人民医院院内指定地点。</w:t>
      </w:r>
    </w:p>
    <w:p w14:paraId="7E0884D6">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一次性付款。</w:t>
      </w:r>
    </w:p>
    <w:p w14:paraId="1002954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7FB1510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（1）采购人付款采用银行转账支付方式，采购人付款前，成交供应商必须出具有效的足额发票，否则采购人有权拒绝付款。</w:t>
      </w:r>
    </w:p>
    <w:p w14:paraId="3DD3BF4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与成交供应商双方签订合同生效后，成交供应商完成本项目全部服务内容，并向采购人交付合格、有效的成果后（包括不限于实验室和医院信息综合管理系统、PACS系统、EMR系统、数据交换平台系统及其子系统有效的安全等级保护测评成果资料，达州市网络安全支队有效的备案证明），项目经采购人履约验收合格后，采购人在收到成交供应商有效发票后60日内，一次性转账支付成交供应商合同成交金额。</w:t>
      </w:r>
    </w:p>
    <w:p w14:paraId="6D5AD3E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1781DF34">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1、验收交付标准：按国家相关法律法规、行业标准、技术规范；招标文件相关技术、服务要求、中标供应商投标文件相关响应内容；公安部门、达州市网络信息安全支队、达州市卫健委等部门关于实验室和医院信息综合管理系统、PACS系统、EMR系统、数据交换平台系统及其子系统安全等级保护测评及备案的相关要求；成交供应商的响应文件、双方合同的要求等组织验收，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6ACA9C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0018A05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（1）验收由采购人组织，供应商配合、协助提供验收所需资料及功能演示，按照本项目采购文件、响应文件以及合同约定进行验收。若未按照合同规定提供服务，采购人有权拒绝验收并支付费用。</w:t>
      </w:r>
    </w:p>
    <w:p w14:paraId="100F51C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（2）工程完工后，供应商提出书面收方之日起5个工作日内，采购人组织工作人员进行收方验收。</w:t>
      </w:r>
    </w:p>
    <w:p w14:paraId="01410E4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时如发现供应商提供的服务有不符合采购文件、响应文件及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0F9FFA94">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（六）违约责任</w:t>
      </w:r>
    </w:p>
    <w:p w14:paraId="695FA36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01DE12B8">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7D14E3E3">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09D63684">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成交供应商明确表示或者以自己的行为表明不履行本项目合同的主要义务，则成交供应商违约，成交供应商应向采购人支付合同总价款20%的违约金，同时采购人有权解除合同。违约金由采购人直接从供应商合同款项中扣除。</w:t>
      </w:r>
    </w:p>
    <w:p w14:paraId="7F540618">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（2）成交供应商提供的服务根本违约，如</w:t>
      </w:r>
      <w:r>
        <w:rPr>
          <w:rFonts w:hint="eastAsia" w:ascii="仿宋" w:hAnsi="仿宋" w:eastAsia="仿宋" w:cs="仿宋"/>
          <w:bCs/>
          <w:sz w:val="28"/>
          <w:szCs w:val="28"/>
        </w:rPr>
        <w:t>虚假响应中标</w:t>
      </w:r>
      <w:r>
        <w:rPr>
          <w:rFonts w:hint="eastAsia" w:ascii="仿宋" w:hAnsi="仿宋" w:eastAsia="仿宋" w:cs="仿宋"/>
          <w:color w:val="auto"/>
          <w:sz w:val="28"/>
          <w:szCs w:val="28"/>
          <w:lang w:val="en-US" w:eastAsia="zh-CN"/>
        </w:rPr>
        <w:t>等原因导致不能实现合同目的的，则供应商违约，成交供应商应向采购人缴纳合同总价款20%的违约金，同时采购人有权解除合同。违约金由采购人直接从供应商合同款项中扣除。</w:t>
      </w:r>
    </w:p>
    <w:p w14:paraId="68A0BE04">
      <w:pPr>
        <w:pStyle w:val="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（3）成交供应商延迟履约，即成交供应商应向采</w:t>
      </w:r>
      <w:r>
        <w:rPr>
          <w:rFonts w:hint="eastAsia" w:ascii="仿宋" w:hAnsi="仿宋" w:eastAsia="仿宋" w:cs="仿宋"/>
          <w:color w:val="auto"/>
          <w:sz w:val="28"/>
          <w:szCs w:val="28"/>
        </w:rPr>
        <w:t>购人提供的</w:t>
      </w:r>
      <w:r>
        <w:rPr>
          <w:rFonts w:hint="eastAsia" w:ascii="仿宋" w:hAnsi="仿宋" w:eastAsia="仿宋" w:cs="仿宋"/>
          <w:color w:val="auto"/>
          <w:sz w:val="28"/>
          <w:szCs w:val="28"/>
          <w:lang w:val="en-US" w:eastAsia="zh-CN"/>
        </w:rPr>
        <w:t>货物或</w:t>
      </w:r>
      <w:r>
        <w:rPr>
          <w:rFonts w:hint="eastAsia" w:ascii="仿宋" w:hAnsi="仿宋" w:eastAsia="仿宋" w:cs="仿宋"/>
          <w:color w:val="auto"/>
          <w:sz w:val="28"/>
          <w:szCs w:val="28"/>
        </w:rPr>
        <w:t>服务未按合同约定时间达成的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每有一次延迟履约行为，供应商需支付违约金500元给采购人，供应商一年累计达3次延迟履约行为，则供应商应另向采购人支付合同总价款10%的违约金，同时采购人有权解除合同。违约金由采购人直接从供应商当期合同款项中扣除。</w:t>
      </w:r>
      <w:r>
        <w:rPr>
          <w:rFonts w:hint="eastAsia" w:ascii="仿宋" w:hAnsi="仿宋" w:eastAsia="仿宋" w:cs="仿宋"/>
          <w:bCs/>
          <w:sz w:val="28"/>
          <w:szCs w:val="28"/>
        </w:rPr>
        <w:t>经采购人同意后，供应商更正瑕疵违约行为后，可以继续按合同约定履行合同。</w:t>
      </w:r>
    </w:p>
    <w:p w14:paraId="5EDBF6AB">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供应商有瑕疵履行本项目义务的行为，但不影响向采购人交付合格标的成果的，视为供应商瑕疵违约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根据供应商瑕疵违约情节轻重减少供应商报酬，每次扣除供应商报酬500元，供应商更正当次瑕疵违约行为后，可以继续按合同约定履行合同。供应商一年累计3次瑕疵违约行为，则供应商应另向采购人支付合同总价款</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%的违约金，同时采购人有权解除合同。</w:t>
      </w:r>
      <w:r>
        <w:rPr>
          <w:rFonts w:hint="eastAsia" w:ascii="仿宋" w:hAnsi="仿宋" w:eastAsia="仿宋" w:cs="仿宋"/>
          <w:color w:val="auto"/>
          <w:sz w:val="28"/>
          <w:szCs w:val="28"/>
          <w:lang w:val="en-US" w:eastAsia="zh-CN"/>
        </w:rPr>
        <w:t>违约金由采购人直接从供应商当期合同款项中扣除。</w:t>
      </w:r>
    </w:p>
    <w:p w14:paraId="560398F4">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须遵守采购人规定的院内各项制度和要求，并在指定的区域内进行作业，供应商应做好各项安全保障工作和预案，做好员工安全教育工作，严格执行国家相关法律法规、安全规章制度，采取有效的安全措施，确保安全履行合同。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r>
        <w:rPr>
          <w:rFonts w:hint="eastAsia" w:ascii="仿宋" w:hAnsi="仿宋" w:eastAsia="仿宋" w:cs="仿宋"/>
          <w:color w:val="auto"/>
          <w:sz w:val="28"/>
          <w:szCs w:val="28"/>
          <w:lang w:val="en-US" w:eastAsia="zh-CN"/>
        </w:rPr>
        <w:t>。</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AACC820">
      <w:pPr>
        <w:pStyle w:val="8"/>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p w14:paraId="5CCCF8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B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0"/>
    <w:pPr>
      <w:ind w:firstLine="42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2026-06-16T02:02:45Z</dcterms:created>
  <dc:creator>Administrator</dc:creator>
  <cp:lastModifiedBy>杨渊</cp:lastModifiedBy>
  <dcterms:modified xsi:type="dcterms:W3CDTF">2026-06-16T02:03:38Z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F97EDD1F3D194E7BA3A468639D00D532_12</vt:lpwstr>
  </property>
</Properties>
</file>