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6EB1">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大竹县人民医院层流净化系统过滤器</w:t>
      </w:r>
    </w:p>
    <w:p w14:paraId="52E4DB51">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院内自主采购项目</w:t>
      </w:r>
    </w:p>
    <w:p w14:paraId="7A9CC985">
      <w:pPr>
        <w:pStyle w:val="2"/>
        <w:rPr>
          <w:rFonts w:hint="eastAsia" w:ascii="方正公文小标宋" w:hAnsi="方正公文小标宋" w:eastAsia="方正公文小标宋" w:cs="方正公文小标宋"/>
          <w:color w:val="auto"/>
          <w:sz w:val="32"/>
          <w:szCs w:val="36"/>
          <w:lang w:val="en-US" w:eastAsia="zh-CN"/>
        </w:rPr>
      </w:pPr>
    </w:p>
    <w:p w14:paraId="090C3D9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p>
    <w:p w14:paraId="5744A361">
      <w:pPr>
        <w:pStyle w:val="25"/>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77719F86">
      <w:pPr>
        <w:pStyle w:val="25"/>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180000.00</w:t>
      </w:r>
    </w:p>
    <w:p w14:paraId="0EE90463">
      <w:pPr>
        <w:pStyle w:val="13"/>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本项目包含货物和技术支持服务，供应商应将合格货物按时配送到采购人院区内指定地点，同时根据采购人需要提供产品技术支持服务。</w:t>
      </w:r>
    </w:p>
    <w:tbl>
      <w:tblPr>
        <w:tblStyle w:val="9"/>
        <w:tblW w:w="5000" w:type="pct"/>
        <w:jc w:val="center"/>
        <w:tblLayout w:type="fixed"/>
        <w:tblCellMar>
          <w:top w:w="0" w:type="dxa"/>
          <w:left w:w="108" w:type="dxa"/>
          <w:bottom w:w="0" w:type="dxa"/>
          <w:right w:w="108" w:type="dxa"/>
        </w:tblCellMar>
      </w:tblPr>
      <w:tblGrid>
        <w:gridCol w:w="560"/>
        <w:gridCol w:w="1633"/>
        <w:gridCol w:w="1899"/>
        <w:gridCol w:w="863"/>
        <w:gridCol w:w="781"/>
        <w:gridCol w:w="1820"/>
        <w:gridCol w:w="2407"/>
      </w:tblGrid>
      <w:tr w14:paraId="2B277ACA">
        <w:tblPrEx>
          <w:tblCellMar>
            <w:top w:w="0" w:type="dxa"/>
            <w:left w:w="108" w:type="dxa"/>
            <w:bottom w:w="0" w:type="dxa"/>
            <w:right w:w="108" w:type="dxa"/>
          </w:tblCellMar>
        </w:tblPrEx>
        <w:trPr>
          <w:trHeight w:val="0" w:hRule="atLeast"/>
          <w:tblHeader/>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02B87F9">
            <w:pPr>
              <w:widowControl/>
              <w:snapToGrid w:val="0"/>
              <w:ind w:left="0" w:leftChars="0" w:right="0" w:rightChars="0" w:firstLine="0" w:firstLineChars="0"/>
              <w:jc w:val="center"/>
              <w:textAlignment w:val="center"/>
              <w:rPr>
                <w:rFonts w:ascii="宋体" w:hAnsi="宋体" w:eastAsia="宋体" w:cs="宋体"/>
                <w:b/>
                <w:color w:val="000000"/>
                <w:kern w:val="0"/>
                <w:sz w:val="24"/>
                <w:szCs w:val="22"/>
                <w:lang w:bidi="ar"/>
              </w:rPr>
            </w:pPr>
            <w:r>
              <w:rPr>
                <w:rFonts w:hint="eastAsia" w:ascii="宋体" w:hAnsi="宋体" w:eastAsia="宋体" w:cs="宋体"/>
                <w:b/>
                <w:color w:val="000000"/>
                <w:kern w:val="0"/>
                <w:sz w:val="24"/>
                <w:szCs w:val="22"/>
                <w:lang w:bidi="ar"/>
              </w:rPr>
              <w:t>品名</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5FD14EEC">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名称</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D5A716B">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规格（mm）</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B7B913D">
            <w:pPr>
              <w:widowControl/>
              <w:snapToGrid w:val="0"/>
              <w:ind w:left="0" w:leftChars="0" w:right="0" w:rightChars="0" w:firstLine="0" w:firstLineChars="0"/>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效率等级</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38C4E39">
            <w:pPr>
              <w:widowControl/>
              <w:snapToGrid w:val="0"/>
              <w:ind w:left="0" w:leftChars="0" w:right="0" w:rightChars="0" w:firstLine="0" w:firstLineChars="0"/>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计价单位</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17480AA5">
            <w:pPr>
              <w:widowControl/>
              <w:snapToGrid w:val="0"/>
              <w:ind w:left="0" w:leftChars="0" w:right="0" w:rightChars="0" w:firstLine="0" w:firstLineChars="0"/>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单价最高限价</w:t>
            </w:r>
          </w:p>
          <w:p w14:paraId="3727AF12">
            <w:pPr>
              <w:widowControl/>
              <w:snapToGrid w:val="0"/>
              <w:ind w:left="0" w:leftChars="0" w:right="0" w:rightChars="0" w:firstLine="0" w:firstLineChars="0"/>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（元）</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3E7E24FD">
            <w:pPr>
              <w:widowControl/>
              <w:tabs>
                <w:tab w:val="left" w:pos="250"/>
              </w:tabs>
              <w:snapToGrid w:val="0"/>
              <w:ind w:left="0" w:leftChars="0" w:right="0" w:rightChars="0" w:firstLine="0" w:firstLineChars="0"/>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val="en-US" w:eastAsia="zh-CN" w:bidi="ar"/>
              </w:rPr>
              <w:t>主要</w:t>
            </w:r>
            <w:r>
              <w:rPr>
                <w:rFonts w:hint="eastAsia" w:ascii="宋体" w:hAnsi="宋体" w:eastAsia="宋体" w:cs="宋体"/>
                <w:b/>
                <w:color w:val="000000"/>
                <w:kern w:val="0"/>
                <w:sz w:val="24"/>
                <w:lang w:bidi="ar"/>
              </w:rPr>
              <w:t>技术参数</w:t>
            </w:r>
          </w:p>
        </w:tc>
      </w:tr>
      <w:tr w14:paraId="6D86C11D">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auto" w:sz="4" w:space="0"/>
              <w:right w:val="single" w:color="000000" w:sz="4" w:space="0"/>
            </w:tcBorders>
            <w:noWrap/>
            <w:vAlign w:val="center"/>
          </w:tcPr>
          <w:p w14:paraId="702DABA7">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w:t>
            </w:r>
          </w:p>
        </w:tc>
        <w:tc>
          <w:tcPr>
            <w:tcW w:w="819" w:type="pct"/>
            <w:vMerge w:val="restart"/>
            <w:tcBorders>
              <w:top w:val="single" w:color="000000" w:sz="4" w:space="0"/>
              <w:left w:val="single" w:color="000000" w:sz="4" w:space="0"/>
              <w:right w:val="single" w:color="000000" w:sz="4" w:space="0"/>
            </w:tcBorders>
            <w:noWrap/>
            <w:vAlign w:val="center"/>
          </w:tcPr>
          <w:p w14:paraId="58FAF496">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中效过滤器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9A7A0D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300*300*400*3B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436AA56">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042FB3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D544394">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57.75</w:t>
            </w:r>
          </w:p>
        </w:tc>
        <w:tc>
          <w:tcPr>
            <w:tcW w:w="1207" w:type="pct"/>
            <w:vMerge w:val="restart"/>
            <w:tcBorders>
              <w:top w:val="single" w:color="000000" w:sz="4" w:space="0"/>
              <w:left w:val="single" w:color="000000" w:sz="4" w:space="0"/>
              <w:right w:val="single" w:color="000000" w:sz="4" w:space="0"/>
            </w:tcBorders>
            <w:noWrap/>
            <w:vAlign w:val="center"/>
          </w:tcPr>
          <w:p w14:paraId="1ABC0432">
            <w:pPr>
              <w:widowControl/>
              <w:tabs>
                <w:tab w:val="left" w:pos="223"/>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袋式；初阻力≤80Pa；</w:t>
            </w:r>
          </w:p>
        </w:tc>
      </w:tr>
      <w:tr w14:paraId="37DCA251">
        <w:tblPrEx>
          <w:tblCellMar>
            <w:top w:w="0" w:type="dxa"/>
            <w:left w:w="108" w:type="dxa"/>
            <w:bottom w:w="0" w:type="dxa"/>
            <w:right w:w="108" w:type="dxa"/>
          </w:tblCellMar>
        </w:tblPrEx>
        <w:trPr>
          <w:trHeight w:val="0" w:hRule="atLeast"/>
          <w:jc w:val="center"/>
        </w:trPr>
        <w:tc>
          <w:tcPr>
            <w:tcW w:w="281" w:type="pct"/>
            <w:tcBorders>
              <w:top w:val="single" w:color="auto" w:sz="4" w:space="0"/>
              <w:left w:val="single" w:color="000000" w:sz="4" w:space="0"/>
              <w:bottom w:val="single" w:color="000000" w:sz="4" w:space="0"/>
              <w:right w:val="single" w:color="000000" w:sz="4" w:space="0"/>
            </w:tcBorders>
            <w:noWrap/>
            <w:vAlign w:val="center"/>
          </w:tcPr>
          <w:p w14:paraId="315003B8">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w:t>
            </w:r>
          </w:p>
        </w:tc>
        <w:tc>
          <w:tcPr>
            <w:tcW w:w="819" w:type="pct"/>
            <w:vMerge w:val="continue"/>
            <w:tcBorders>
              <w:left w:val="single" w:color="000000" w:sz="4" w:space="0"/>
              <w:right w:val="single" w:color="000000" w:sz="4" w:space="0"/>
            </w:tcBorders>
            <w:noWrap/>
            <w:vAlign w:val="center"/>
          </w:tcPr>
          <w:p w14:paraId="24CE24F4">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06A890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300*600*400*3B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12BF982">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61B8F8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F3F4202">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63.25</w:t>
            </w:r>
          </w:p>
        </w:tc>
        <w:tc>
          <w:tcPr>
            <w:tcW w:w="1207" w:type="pct"/>
            <w:vMerge w:val="continue"/>
            <w:tcBorders>
              <w:left w:val="single" w:color="000000" w:sz="4" w:space="0"/>
              <w:right w:val="single" w:color="000000" w:sz="4" w:space="0"/>
            </w:tcBorders>
            <w:noWrap/>
            <w:vAlign w:val="center"/>
          </w:tcPr>
          <w:p w14:paraId="6F74B78B">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FD9E517">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77AA79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w:t>
            </w:r>
          </w:p>
        </w:tc>
        <w:tc>
          <w:tcPr>
            <w:tcW w:w="819" w:type="pct"/>
            <w:vMerge w:val="continue"/>
            <w:tcBorders>
              <w:left w:val="single" w:color="000000" w:sz="4" w:space="0"/>
              <w:right w:val="single" w:color="000000" w:sz="4" w:space="0"/>
            </w:tcBorders>
            <w:noWrap/>
            <w:vAlign w:val="center"/>
          </w:tcPr>
          <w:p w14:paraId="62752D14">
            <w:pPr>
              <w:snapToGrid w:val="0"/>
              <w:ind w:left="0" w:leftChars="0" w:right="0" w:rightChars="0" w:firstLine="0" w:firstLineChars="0"/>
              <w:jc w:val="center"/>
              <w:rPr>
                <w:rFonts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61EFC245">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350*650*400*3B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98E9631">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4284AF2">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999726C">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63.5</w:t>
            </w:r>
          </w:p>
        </w:tc>
        <w:tc>
          <w:tcPr>
            <w:tcW w:w="1207" w:type="pct"/>
            <w:vMerge w:val="continue"/>
            <w:tcBorders>
              <w:left w:val="single" w:color="000000" w:sz="4" w:space="0"/>
              <w:right w:val="single" w:color="000000" w:sz="4" w:space="0"/>
            </w:tcBorders>
            <w:noWrap/>
            <w:vAlign w:val="center"/>
          </w:tcPr>
          <w:p w14:paraId="6ACE66F8">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2050D252">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FA49DE3">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4</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78DD8793">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0B46E56">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350*650*400*3B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CFDE5A4">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7251A3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168A7A4C">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63.5</w:t>
            </w:r>
          </w:p>
        </w:tc>
        <w:tc>
          <w:tcPr>
            <w:tcW w:w="1207" w:type="pct"/>
            <w:vMerge w:val="continue"/>
            <w:tcBorders>
              <w:left w:val="single" w:color="000000" w:sz="4" w:space="0"/>
              <w:right w:val="single" w:color="000000" w:sz="4" w:space="0"/>
            </w:tcBorders>
            <w:noWrap/>
            <w:vAlign w:val="center"/>
          </w:tcPr>
          <w:p w14:paraId="2B50773F">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0A0A1C24">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A0D9E1">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5</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26A92191">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6C914FC">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600*300*400*6B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4F2A129">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6007A2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3FCCA1D">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104.25</w:t>
            </w:r>
          </w:p>
        </w:tc>
        <w:tc>
          <w:tcPr>
            <w:tcW w:w="1207" w:type="pct"/>
            <w:vMerge w:val="continue"/>
            <w:tcBorders>
              <w:left w:val="single" w:color="000000" w:sz="4" w:space="0"/>
              <w:right w:val="single" w:color="000000" w:sz="4" w:space="0"/>
            </w:tcBorders>
            <w:noWrap/>
            <w:vAlign w:val="center"/>
          </w:tcPr>
          <w:p w14:paraId="04FBB2B5">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36A0E5D6">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F4AAB90">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6</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29F597A2">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180ADF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600*300*400*6B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F1A255E">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1847F8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B102A5F">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104.25</w:t>
            </w:r>
          </w:p>
        </w:tc>
        <w:tc>
          <w:tcPr>
            <w:tcW w:w="1207" w:type="pct"/>
            <w:vMerge w:val="continue"/>
            <w:tcBorders>
              <w:left w:val="single" w:color="000000" w:sz="4" w:space="0"/>
              <w:right w:val="single" w:color="000000" w:sz="4" w:space="0"/>
            </w:tcBorders>
            <w:noWrap/>
            <w:vAlign w:val="center"/>
          </w:tcPr>
          <w:p w14:paraId="55FBC7CC">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5D42956D">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76128C1">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7</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01CF5446">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4BF209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600*600*400*6B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1B666C1">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0E8B19F">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0B68A59">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110.75</w:t>
            </w:r>
          </w:p>
        </w:tc>
        <w:tc>
          <w:tcPr>
            <w:tcW w:w="1207" w:type="pct"/>
            <w:vMerge w:val="continue"/>
            <w:tcBorders>
              <w:left w:val="single" w:color="000000" w:sz="4" w:space="0"/>
              <w:right w:val="single" w:color="000000" w:sz="4" w:space="0"/>
            </w:tcBorders>
            <w:noWrap/>
            <w:vAlign w:val="center"/>
          </w:tcPr>
          <w:p w14:paraId="2DF7AC19">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2813F22A">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43D13C">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8</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58E8FAC3">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38F9C2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650*300*400*6B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2841758">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11EAD7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1DDE5654">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104.25</w:t>
            </w:r>
          </w:p>
        </w:tc>
        <w:tc>
          <w:tcPr>
            <w:tcW w:w="1207" w:type="pct"/>
            <w:vMerge w:val="continue"/>
            <w:tcBorders>
              <w:left w:val="single" w:color="000000" w:sz="4" w:space="0"/>
              <w:right w:val="single" w:color="000000" w:sz="4" w:space="0"/>
            </w:tcBorders>
            <w:noWrap/>
            <w:vAlign w:val="center"/>
          </w:tcPr>
          <w:p w14:paraId="46E0C6BA">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F4DA33F">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8BFAB0">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9</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7BB96739">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4C84BF5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650*600*400*6B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E44693C">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31916CF">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115E6FB6">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111.25</w:t>
            </w:r>
          </w:p>
        </w:tc>
        <w:tc>
          <w:tcPr>
            <w:tcW w:w="1207" w:type="pct"/>
            <w:vMerge w:val="continue"/>
            <w:tcBorders>
              <w:left w:val="single" w:color="000000" w:sz="4" w:space="0"/>
              <w:bottom w:val="single" w:color="000000" w:sz="4" w:space="0"/>
              <w:right w:val="single" w:color="000000" w:sz="4" w:space="0"/>
            </w:tcBorders>
            <w:noWrap/>
            <w:vAlign w:val="center"/>
          </w:tcPr>
          <w:p w14:paraId="3AC1067E">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439F1301">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CFD9603">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10</w:t>
            </w:r>
          </w:p>
        </w:tc>
        <w:tc>
          <w:tcPr>
            <w:tcW w:w="819" w:type="pct"/>
            <w:vMerge w:val="restart"/>
            <w:tcBorders>
              <w:top w:val="single" w:color="auto" w:sz="4" w:space="0"/>
              <w:left w:val="single" w:color="000000" w:sz="4" w:space="0"/>
              <w:bottom w:val="single" w:color="auto" w:sz="4" w:space="0"/>
              <w:right w:val="single" w:color="000000" w:sz="4" w:space="0"/>
            </w:tcBorders>
            <w:noWrap/>
            <w:vAlign w:val="center"/>
          </w:tcPr>
          <w:p w14:paraId="4D1891F1">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初效过滤器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CD7C55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300*300*46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E27F33D">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533CE4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16E3E5D7">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52.25</w:t>
            </w:r>
          </w:p>
        </w:tc>
        <w:tc>
          <w:tcPr>
            <w:tcW w:w="1207" w:type="pct"/>
            <w:vMerge w:val="restart"/>
            <w:tcBorders>
              <w:top w:val="single" w:color="000000" w:sz="4" w:space="0"/>
              <w:left w:val="single" w:color="000000" w:sz="4" w:space="0"/>
              <w:right w:val="single" w:color="000000" w:sz="4" w:space="0"/>
            </w:tcBorders>
            <w:noWrap/>
            <w:vAlign w:val="center"/>
          </w:tcPr>
          <w:p w14:paraId="3E518534">
            <w:pPr>
              <w:widowControl/>
              <w:tabs>
                <w:tab w:val="left" w:pos="263"/>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板式；双面护网；初阻力≤50Pa；</w:t>
            </w:r>
          </w:p>
        </w:tc>
      </w:tr>
      <w:tr w14:paraId="16D3213B">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1C27443">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11</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767A3E43">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2917BD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300*600*46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793017C">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9922403">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6ED255A">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64.25</w:t>
            </w:r>
          </w:p>
        </w:tc>
        <w:tc>
          <w:tcPr>
            <w:tcW w:w="1207" w:type="pct"/>
            <w:vMerge w:val="continue"/>
            <w:tcBorders>
              <w:left w:val="single" w:color="000000" w:sz="4" w:space="0"/>
              <w:right w:val="single" w:color="000000" w:sz="4" w:space="0"/>
            </w:tcBorders>
            <w:noWrap/>
            <w:vAlign w:val="center"/>
          </w:tcPr>
          <w:p w14:paraId="28AE927A">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55067ED">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9C67D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12</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32CD2279">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6EC10D6">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350*650*46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AD167C4">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200FDC0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C7EF246">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69.75</w:t>
            </w:r>
          </w:p>
        </w:tc>
        <w:tc>
          <w:tcPr>
            <w:tcW w:w="1207" w:type="pct"/>
            <w:vMerge w:val="continue"/>
            <w:tcBorders>
              <w:left w:val="single" w:color="000000" w:sz="4" w:space="0"/>
              <w:right w:val="single" w:color="000000" w:sz="4" w:space="0"/>
            </w:tcBorders>
            <w:noWrap/>
            <w:vAlign w:val="center"/>
          </w:tcPr>
          <w:p w14:paraId="3954EB50">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2A46F54C">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F0CD2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13</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32928296">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2FACC292">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600*300*46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8F22D35">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6DC389C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5EBA6A0">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65.5</w:t>
            </w:r>
          </w:p>
        </w:tc>
        <w:tc>
          <w:tcPr>
            <w:tcW w:w="1207" w:type="pct"/>
            <w:vMerge w:val="continue"/>
            <w:tcBorders>
              <w:left w:val="single" w:color="000000" w:sz="4" w:space="0"/>
              <w:right w:val="single" w:color="000000" w:sz="4" w:space="0"/>
            </w:tcBorders>
            <w:noWrap/>
            <w:vAlign w:val="center"/>
          </w:tcPr>
          <w:p w14:paraId="35BC2847">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3DC6D5C9">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7EA64E0">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14</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4623A71D">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A6213D1">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600*600*46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2EE019B">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E15871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4087266">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89</w:t>
            </w:r>
          </w:p>
        </w:tc>
        <w:tc>
          <w:tcPr>
            <w:tcW w:w="1207" w:type="pct"/>
            <w:vMerge w:val="continue"/>
            <w:tcBorders>
              <w:left w:val="single" w:color="000000" w:sz="4" w:space="0"/>
              <w:right w:val="single" w:color="000000" w:sz="4" w:space="0"/>
            </w:tcBorders>
            <w:noWrap/>
            <w:vAlign w:val="center"/>
          </w:tcPr>
          <w:p w14:paraId="37478974">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3467EA1">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81FE8A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15</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4CA5DF1A">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A7C4B7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650*300*46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3E64443">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326A2C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C0B1ADF">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69.75</w:t>
            </w:r>
          </w:p>
        </w:tc>
        <w:tc>
          <w:tcPr>
            <w:tcW w:w="1207" w:type="pct"/>
            <w:vMerge w:val="continue"/>
            <w:tcBorders>
              <w:left w:val="single" w:color="000000" w:sz="4" w:space="0"/>
              <w:right w:val="single" w:color="000000" w:sz="4" w:space="0"/>
            </w:tcBorders>
            <w:noWrap/>
            <w:vAlign w:val="center"/>
          </w:tcPr>
          <w:p w14:paraId="5081E03D">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015D8AE2">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69B6F2">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16</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3ECAA6BA">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9B13913">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650*600*46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E393F10">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060F3BA">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DC3BCA0">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92.5</w:t>
            </w:r>
          </w:p>
        </w:tc>
        <w:tc>
          <w:tcPr>
            <w:tcW w:w="1207" w:type="pct"/>
            <w:vMerge w:val="continue"/>
            <w:tcBorders>
              <w:left w:val="single" w:color="000000" w:sz="4" w:space="0"/>
              <w:bottom w:val="single" w:color="000000" w:sz="4" w:space="0"/>
              <w:right w:val="single" w:color="000000" w:sz="4" w:space="0"/>
            </w:tcBorders>
            <w:noWrap/>
            <w:vAlign w:val="center"/>
          </w:tcPr>
          <w:p w14:paraId="2A1EDDD5">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4F939967">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057FC0">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17</w:t>
            </w:r>
          </w:p>
        </w:tc>
        <w:tc>
          <w:tcPr>
            <w:tcW w:w="819" w:type="pct"/>
            <w:vMerge w:val="restart"/>
            <w:tcBorders>
              <w:top w:val="single" w:color="auto" w:sz="4" w:space="0"/>
              <w:left w:val="single" w:color="000000" w:sz="4" w:space="0"/>
              <w:bottom w:val="single" w:color="auto" w:sz="4" w:space="0"/>
              <w:right w:val="single" w:color="000000" w:sz="4" w:space="0"/>
            </w:tcBorders>
            <w:noWrap/>
            <w:vAlign w:val="center"/>
          </w:tcPr>
          <w:p w14:paraId="7604488E">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亚高效过滤器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13C9F03">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600*600*150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E160400">
            <w:pPr>
              <w:widowControl/>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H1</w:t>
            </w:r>
            <w:r>
              <w:rPr>
                <w:rFonts w:hint="eastAsia" w:ascii="宋体" w:hAnsi="宋体" w:eastAsia="宋体" w:cs="宋体"/>
                <w:color w:val="000000"/>
                <w:kern w:val="0"/>
                <w:sz w:val="24"/>
                <w:lang w:val="en-US" w:eastAsia="zh-CN" w:bidi="ar"/>
              </w:rPr>
              <w:t>0</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282D16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4A055491">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310.5</w:t>
            </w:r>
          </w:p>
        </w:tc>
        <w:tc>
          <w:tcPr>
            <w:tcW w:w="1207" w:type="pct"/>
            <w:vMerge w:val="restart"/>
            <w:tcBorders>
              <w:top w:val="single" w:color="000000" w:sz="4" w:space="0"/>
              <w:left w:val="single" w:color="000000" w:sz="4" w:space="0"/>
              <w:right w:val="single" w:color="000000" w:sz="4" w:space="0"/>
            </w:tcBorders>
            <w:noWrap/>
            <w:vAlign w:val="center"/>
          </w:tcPr>
          <w:p w14:paraId="005B4364">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低阻高效；初阻力≤120Pa</w:t>
            </w:r>
          </w:p>
        </w:tc>
      </w:tr>
      <w:tr w14:paraId="2C02319B">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5590D88">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18</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41EE20E8">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2B1322E3">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600*300*150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F29C71E">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H10</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4B6650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5595583E">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239.25</w:t>
            </w:r>
          </w:p>
        </w:tc>
        <w:tc>
          <w:tcPr>
            <w:tcW w:w="1207" w:type="pct"/>
            <w:vMerge w:val="continue"/>
            <w:tcBorders>
              <w:left w:val="single" w:color="000000" w:sz="4" w:space="0"/>
              <w:bottom w:val="single" w:color="000000" w:sz="4" w:space="0"/>
              <w:right w:val="single" w:color="000000" w:sz="4" w:space="0"/>
            </w:tcBorders>
            <w:noWrap/>
            <w:vAlign w:val="center"/>
          </w:tcPr>
          <w:p w14:paraId="3FF4274B">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380697EF">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15F081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19</w:t>
            </w:r>
          </w:p>
        </w:tc>
        <w:tc>
          <w:tcPr>
            <w:tcW w:w="819" w:type="pct"/>
            <w:vMerge w:val="restart"/>
            <w:tcBorders>
              <w:top w:val="single" w:color="auto" w:sz="4" w:space="0"/>
              <w:left w:val="single" w:color="000000" w:sz="4" w:space="0"/>
              <w:bottom w:val="single" w:color="auto" w:sz="4" w:space="0"/>
              <w:right w:val="single" w:color="000000" w:sz="4" w:space="0"/>
            </w:tcBorders>
            <w:noWrap/>
            <w:vAlign w:val="center"/>
          </w:tcPr>
          <w:p w14:paraId="15AA915C">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液槽高效过滤器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F32BB5A">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490*490*93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424E926">
            <w:pPr>
              <w:widowControl/>
              <w:tabs>
                <w:tab w:val="left" w:pos="331"/>
              </w:tabs>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D19F60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1901701">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326.75</w:t>
            </w:r>
          </w:p>
        </w:tc>
        <w:tc>
          <w:tcPr>
            <w:tcW w:w="1207" w:type="pct"/>
            <w:vMerge w:val="restart"/>
            <w:tcBorders>
              <w:top w:val="single" w:color="000000" w:sz="4" w:space="0"/>
              <w:left w:val="single" w:color="000000" w:sz="4" w:space="0"/>
              <w:right w:val="single" w:color="000000" w:sz="4" w:space="0"/>
            </w:tcBorders>
            <w:noWrap/>
            <w:vAlign w:val="center"/>
          </w:tcPr>
          <w:p w14:paraId="21069436">
            <w:pPr>
              <w:widowControl/>
              <w:tabs>
                <w:tab w:val="left" w:pos="316"/>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液槽密封无泄漏；初阻力≤220Pa</w:t>
            </w:r>
          </w:p>
        </w:tc>
      </w:tr>
      <w:tr w14:paraId="30F0D530">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FE81D7">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20</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2B912B08">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75F20A3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590*590*93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F0972FD">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7C6EAE5">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A160C8D">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442.75</w:t>
            </w:r>
          </w:p>
        </w:tc>
        <w:tc>
          <w:tcPr>
            <w:tcW w:w="1207" w:type="pct"/>
            <w:vMerge w:val="continue"/>
            <w:tcBorders>
              <w:left w:val="single" w:color="000000" w:sz="4" w:space="0"/>
              <w:right w:val="single" w:color="000000" w:sz="4" w:space="0"/>
            </w:tcBorders>
            <w:noWrap/>
            <w:vAlign w:val="center"/>
          </w:tcPr>
          <w:p w14:paraId="55C2AFD8">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E8A6B43">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A3CBD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21</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3D8F82D6">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FAA2EC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360*360*93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11B9B71">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0308FA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8A8818C">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248.75</w:t>
            </w:r>
          </w:p>
        </w:tc>
        <w:tc>
          <w:tcPr>
            <w:tcW w:w="1207" w:type="pct"/>
            <w:vMerge w:val="continue"/>
            <w:tcBorders>
              <w:left w:val="single" w:color="000000" w:sz="4" w:space="0"/>
              <w:right w:val="single" w:color="000000" w:sz="4" w:space="0"/>
            </w:tcBorders>
            <w:noWrap/>
            <w:vAlign w:val="center"/>
          </w:tcPr>
          <w:p w14:paraId="52BF0F98">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12A346D6">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52A4023">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22</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043EAE2B">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44B1C10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490*490*93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703C7BD">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6A3A35C">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5E0657DC">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321.75</w:t>
            </w:r>
          </w:p>
        </w:tc>
        <w:tc>
          <w:tcPr>
            <w:tcW w:w="1207" w:type="pct"/>
            <w:vMerge w:val="continue"/>
            <w:tcBorders>
              <w:left w:val="single" w:color="000000" w:sz="4" w:space="0"/>
              <w:right w:val="single" w:color="000000" w:sz="4" w:space="0"/>
            </w:tcBorders>
            <w:noWrap/>
            <w:vAlign w:val="center"/>
          </w:tcPr>
          <w:p w14:paraId="54D9CA61">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7AF3E338">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8224118">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23</w:t>
            </w:r>
          </w:p>
        </w:tc>
        <w:tc>
          <w:tcPr>
            <w:tcW w:w="819" w:type="pct"/>
            <w:vMerge w:val="continue"/>
            <w:tcBorders>
              <w:top w:val="single" w:color="auto" w:sz="4" w:space="0"/>
              <w:left w:val="single" w:color="000000" w:sz="4" w:space="0"/>
              <w:bottom w:val="single" w:color="auto" w:sz="4" w:space="0"/>
              <w:right w:val="single" w:color="000000" w:sz="4" w:space="0"/>
            </w:tcBorders>
            <w:noWrap/>
            <w:vAlign w:val="center"/>
          </w:tcPr>
          <w:p w14:paraId="401C4C9B">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4859F148">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590*590*93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7D418F5">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8A17F0E">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64BFF78">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442.75</w:t>
            </w:r>
          </w:p>
        </w:tc>
        <w:tc>
          <w:tcPr>
            <w:tcW w:w="1207" w:type="pct"/>
            <w:vMerge w:val="continue"/>
            <w:tcBorders>
              <w:left w:val="single" w:color="000000" w:sz="4" w:space="0"/>
              <w:bottom w:val="single" w:color="000000" w:sz="4" w:space="0"/>
              <w:right w:val="single" w:color="000000" w:sz="4" w:space="0"/>
            </w:tcBorders>
            <w:noWrap/>
            <w:vAlign w:val="center"/>
          </w:tcPr>
          <w:p w14:paraId="51415C1C">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37009C14">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D6A71B9">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24</w:t>
            </w:r>
          </w:p>
        </w:tc>
        <w:tc>
          <w:tcPr>
            <w:tcW w:w="819" w:type="pct"/>
            <w:tcBorders>
              <w:top w:val="single" w:color="auto" w:sz="4" w:space="0"/>
              <w:left w:val="single" w:color="000000" w:sz="4" w:space="0"/>
              <w:bottom w:val="single" w:color="000000" w:sz="4" w:space="0"/>
              <w:right w:val="single" w:color="000000" w:sz="4" w:space="0"/>
            </w:tcBorders>
            <w:noWrap/>
            <w:vAlign w:val="center"/>
          </w:tcPr>
          <w:p w14:paraId="48510D6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高效过滤器（大风量）</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79C193E">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610*305*292</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BD5E191">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2A3209A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4392DA4">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407</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5EA11C51">
            <w:pPr>
              <w:widowControl/>
              <w:tabs>
                <w:tab w:val="left" w:pos="582"/>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末端高效过滤；初阻力≤220Pa；</w:t>
            </w:r>
          </w:p>
        </w:tc>
      </w:tr>
      <w:tr w14:paraId="37CC9083">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739C32">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25</w:t>
            </w:r>
          </w:p>
        </w:tc>
        <w:tc>
          <w:tcPr>
            <w:tcW w:w="819" w:type="pct"/>
            <w:vMerge w:val="restart"/>
            <w:tcBorders>
              <w:top w:val="single" w:color="000000" w:sz="4" w:space="0"/>
              <w:left w:val="single" w:color="000000" w:sz="4" w:space="0"/>
              <w:bottom w:val="single" w:color="000000" w:sz="4" w:space="0"/>
              <w:right w:val="single" w:color="000000" w:sz="4" w:space="0"/>
            </w:tcBorders>
            <w:noWrap w:val="0"/>
            <w:vAlign w:val="center"/>
          </w:tcPr>
          <w:p w14:paraId="1D1F6B3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PCR实验室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初效过滤器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72B2088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592*290*46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8BAB4C9">
            <w:pPr>
              <w:widowControl/>
              <w:tabs>
                <w:tab w:val="left" w:pos="463"/>
              </w:tabs>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6864C8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4FCEC454">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62</w:t>
            </w:r>
          </w:p>
        </w:tc>
        <w:tc>
          <w:tcPr>
            <w:tcW w:w="1207" w:type="pct"/>
            <w:vMerge w:val="restart"/>
            <w:tcBorders>
              <w:top w:val="single" w:color="000000" w:sz="4" w:space="0"/>
              <w:left w:val="single" w:color="000000" w:sz="4" w:space="0"/>
              <w:right w:val="single" w:color="000000" w:sz="4" w:space="0"/>
            </w:tcBorders>
            <w:noWrap/>
            <w:vAlign w:val="center"/>
          </w:tcPr>
          <w:p w14:paraId="7BECC94B">
            <w:pPr>
              <w:widowControl/>
              <w:tabs>
                <w:tab w:val="left" w:pos="210"/>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耐消毒剂；板式；初阻力≤45P</w:t>
            </w:r>
          </w:p>
        </w:tc>
      </w:tr>
      <w:tr w14:paraId="5330B581">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2F7D94">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26</w:t>
            </w:r>
          </w:p>
        </w:tc>
        <w:tc>
          <w:tcPr>
            <w:tcW w:w="8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1CE70">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273AD599">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592*592*46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D6A02A0">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D626792">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F22AE46">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87</w:t>
            </w:r>
          </w:p>
        </w:tc>
        <w:tc>
          <w:tcPr>
            <w:tcW w:w="1207" w:type="pct"/>
            <w:vMerge w:val="continue"/>
            <w:tcBorders>
              <w:left w:val="single" w:color="000000" w:sz="4" w:space="0"/>
              <w:bottom w:val="single" w:color="000000" w:sz="4" w:space="0"/>
              <w:right w:val="single" w:color="000000" w:sz="4" w:space="0"/>
            </w:tcBorders>
            <w:noWrap/>
            <w:vAlign w:val="center"/>
          </w:tcPr>
          <w:p w14:paraId="1D57740A">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5ACB60C2">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C22661">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27</w:t>
            </w:r>
          </w:p>
        </w:tc>
        <w:tc>
          <w:tcPr>
            <w:tcW w:w="81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758FB6">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PCR实验室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0C9A34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592*592*381*6B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9DBD59E">
            <w:pPr>
              <w:widowControl/>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D4319B5">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742B0FD">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103.25</w:t>
            </w:r>
          </w:p>
        </w:tc>
        <w:tc>
          <w:tcPr>
            <w:tcW w:w="1207" w:type="pct"/>
            <w:vMerge w:val="restart"/>
            <w:tcBorders>
              <w:top w:val="single" w:color="000000" w:sz="4" w:space="0"/>
              <w:left w:val="single" w:color="000000" w:sz="4" w:space="0"/>
              <w:right w:val="single" w:color="000000" w:sz="4" w:space="0"/>
            </w:tcBorders>
            <w:noWrap/>
            <w:vAlign w:val="center"/>
          </w:tcPr>
          <w:p w14:paraId="5D960E70">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耐消毒剂；袋式；初阻力≤80Pa</w:t>
            </w:r>
          </w:p>
        </w:tc>
      </w:tr>
      <w:tr w14:paraId="624395D6">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8A3A3E9">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28</w:t>
            </w:r>
          </w:p>
        </w:tc>
        <w:tc>
          <w:tcPr>
            <w:tcW w:w="8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0C1E8">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F2B1CA8">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287*592*381*3B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10BF941">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6AA7DF98">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ABF8D7C">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58.5</w:t>
            </w:r>
          </w:p>
        </w:tc>
        <w:tc>
          <w:tcPr>
            <w:tcW w:w="1207" w:type="pct"/>
            <w:vMerge w:val="continue"/>
            <w:tcBorders>
              <w:left w:val="single" w:color="000000" w:sz="4" w:space="0"/>
              <w:bottom w:val="single" w:color="000000" w:sz="4" w:space="0"/>
              <w:right w:val="single" w:color="000000" w:sz="4" w:space="0"/>
            </w:tcBorders>
            <w:noWrap/>
            <w:vAlign w:val="center"/>
          </w:tcPr>
          <w:p w14:paraId="09F33642">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589F7CD7">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9FDB996">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29</w:t>
            </w:r>
          </w:p>
        </w:tc>
        <w:tc>
          <w:tcPr>
            <w:tcW w:w="819" w:type="pct"/>
            <w:vMerge w:val="restart"/>
            <w:tcBorders>
              <w:top w:val="single" w:color="000000" w:sz="4" w:space="0"/>
              <w:left w:val="single" w:color="000000" w:sz="4" w:space="0"/>
              <w:bottom w:val="single" w:color="000000" w:sz="4" w:space="0"/>
              <w:right w:val="single" w:color="000000" w:sz="4" w:space="0"/>
            </w:tcBorders>
            <w:noWrap w:val="0"/>
            <w:vAlign w:val="center"/>
          </w:tcPr>
          <w:p w14:paraId="031B8FC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PCR实验室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高效过滤器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2FB502E">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320*320*90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B983855">
            <w:pPr>
              <w:widowControl/>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6060F04D">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9672070">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146.5</w:t>
            </w:r>
          </w:p>
        </w:tc>
        <w:tc>
          <w:tcPr>
            <w:tcW w:w="1207" w:type="pct"/>
            <w:vMerge w:val="restart"/>
            <w:tcBorders>
              <w:top w:val="single" w:color="000000" w:sz="4" w:space="0"/>
              <w:left w:val="single" w:color="000000" w:sz="4" w:space="0"/>
              <w:right w:val="single" w:color="000000" w:sz="4" w:space="0"/>
            </w:tcBorders>
            <w:noWrap/>
            <w:vAlign w:val="center"/>
          </w:tcPr>
          <w:p w14:paraId="4D2DD186">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低泄漏；实验室专用</w:t>
            </w:r>
          </w:p>
        </w:tc>
      </w:tr>
      <w:tr w14:paraId="1E48FFB4">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A932FD">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30</w:t>
            </w:r>
          </w:p>
        </w:tc>
        <w:tc>
          <w:tcPr>
            <w:tcW w:w="8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8C4CD">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0AD9450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484*484*90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F1E5337">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312F10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F103F17">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243.75</w:t>
            </w:r>
          </w:p>
        </w:tc>
        <w:tc>
          <w:tcPr>
            <w:tcW w:w="1207" w:type="pct"/>
            <w:vMerge w:val="continue"/>
            <w:tcBorders>
              <w:left w:val="single" w:color="000000" w:sz="4" w:space="0"/>
              <w:bottom w:val="single" w:color="000000" w:sz="4" w:space="0"/>
              <w:right w:val="single" w:color="000000" w:sz="4" w:space="0"/>
            </w:tcBorders>
            <w:noWrap/>
            <w:vAlign w:val="center"/>
          </w:tcPr>
          <w:p w14:paraId="0525DCA0">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01487F45">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D024B57">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31</w:t>
            </w:r>
          </w:p>
        </w:tc>
        <w:tc>
          <w:tcPr>
            <w:tcW w:w="819" w:type="pct"/>
            <w:vMerge w:val="restart"/>
            <w:tcBorders>
              <w:top w:val="single" w:color="000000" w:sz="4" w:space="0"/>
              <w:left w:val="single" w:color="000000" w:sz="4" w:space="0"/>
              <w:bottom w:val="single" w:color="000000" w:sz="4" w:space="0"/>
              <w:right w:val="single" w:color="000000" w:sz="4" w:space="0"/>
            </w:tcBorders>
            <w:noWrap/>
            <w:vAlign w:val="center"/>
          </w:tcPr>
          <w:p w14:paraId="1A02AEE3">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负压病房初效过滤器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79CD5367">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395*595*46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7477AEC">
            <w:pPr>
              <w:widowControl/>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159263B">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7A12DB8">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70.5</w:t>
            </w:r>
          </w:p>
        </w:tc>
        <w:tc>
          <w:tcPr>
            <w:tcW w:w="1207" w:type="pct"/>
            <w:vMerge w:val="restart"/>
            <w:tcBorders>
              <w:top w:val="single" w:color="000000" w:sz="4" w:space="0"/>
              <w:left w:val="single" w:color="000000" w:sz="4" w:space="0"/>
              <w:right w:val="single" w:color="000000" w:sz="4" w:space="0"/>
            </w:tcBorders>
            <w:noWrap/>
            <w:vAlign w:val="center"/>
          </w:tcPr>
          <w:p w14:paraId="2800E159">
            <w:pPr>
              <w:widowControl/>
              <w:tabs>
                <w:tab w:val="left" w:pos="529"/>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负压系统适配；初阻力≤45Pa</w:t>
            </w:r>
          </w:p>
        </w:tc>
      </w:tr>
      <w:tr w14:paraId="44E1A234">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A3D6B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32</w:t>
            </w:r>
          </w:p>
        </w:tc>
        <w:tc>
          <w:tcPr>
            <w:tcW w:w="819" w:type="pct"/>
            <w:vMerge w:val="continue"/>
            <w:tcBorders>
              <w:top w:val="single" w:color="000000" w:sz="4" w:space="0"/>
              <w:left w:val="single" w:color="000000" w:sz="4" w:space="0"/>
              <w:bottom w:val="single" w:color="000000" w:sz="4" w:space="0"/>
              <w:right w:val="single" w:color="000000" w:sz="4" w:space="0"/>
            </w:tcBorders>
            <w:noWrap/>
            <w:vAlign w:val="center"/>
          </w:tcPr>
          <w:p w14:paraId="2BECC5DB">
            <w:pPr>
              <w:snapToGrid w:val="0"/>
              <w:ind w:left="0" w:leftChars="0" w:right="0" w:rightChars="0" w:firstLine="0" w:firstLineChars="0"/>
              <w:jc w:val="center"/>
              <w:rPr>
                <w:rFonts w:hint="eastAsia" w:ascii="宋体" w:hAnsi="宋体" w:eastAsia="宋体" w:cs="宋体"/>
                <w:color w:val="000000"/>
                <w:sz w:val="24"/>
              </w:rPr>
            </w:pP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6A90C1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530*565*46</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BF0D082">
            <w:pPr>
              <w:widowControl/>
              <w:snapToGrid w:val="0"/>
              <w:ind w:left="0" w:leftChars="0" w:right="0" w:rightChars="0" w:firstLine="0" w:firstLineChars="0"/>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G4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8237C34">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5B31063F">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84.25</w:t>
            </w:r>
          </w:p>
        </w:tc>
        <w:tc>
          <w:tcPr>
            <w:tcW w:w="1207" w:type="pct"/>
            <w:vMerge w:val="continue"/>
            <w:tcBorders>
              <w:left w:val="single" w:color="000000" w:sz="4" w:space="0"/>
              <w:bottom w:val="single" w:color="000000" w:sz="4" w:space="0"/>
              <w:right w:val="single" w:color="000000" w:sz="4" w:space="0"/>
            </w:tcBorders>
            <w:noWrap/>
            <w:vAlign w:val="center"/>
          </w:tcPr>
          <w:p w14:paraId="3DC307DE">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p>
        </w:tc>
      </w:tr>
      <w:tr w14:paraId="62AC5120">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35EE819">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32</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4E0D45BC">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负压病房中效过滤器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51415430">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395*595*381*4B</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BCB843F">
            <w:pPr>
              <w:widowControl/>
              <w:snapToGrid w:val="0"/>
              <w:ind w:left="0" w:leftChars="0" w:right="0" w:rightChars="0"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F8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B292296">
            <w:pPr>
              <w:widowControl/>
              <w:snapToGrid w:val="0"/>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4F1E0280">
            <w:pPr>
              <w:widowControl/>
              <w:snapToGrid w:val="0"/>
              <w:ind w:left="0" w:leftChars="0" w:right="0" w:rightChars="0" w:firstLine="0" w:firstLineChars="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szCs w:val="22"/>
                <w:lang w:bidi="ar"/>
              </w:rPr>
              <w:t>73.25</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539F4C69">
            <w:pPr>
              <w:widowControl/>
              <w:tabs>
                <w:tab w:val="left" w:pos="396"/>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负压系统适配；袋式；初阻力≤80Pa</w:t>
            </w:r>
          </w:p>
        </w:tc>
      </w:tr>
      <w:tr w14:paraId="6C3FEF95">
        <w:tblPrEx>
          <w:tblCellMar>
            <w:top w:w="0" w:type="dxa"/>
            <w:left w:w="108" w:type="dxa"/>
            <w:bottom w:w="0" w:type="dxa"/>
            <w:right w:w="108" w:type="dxa"/>
          </w:tblCellMar>
        </w:tblPrEx>
        <w:trPr>
          <w:trHeight w:val="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49201D0">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33</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694892CF">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负压病房高效过滤器</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41BA6C91">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965*480*90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937829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H14</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D53634A">
            <w:pPr>
              <w:widowControl/>
              <w:snapToGrid w:val="0"/>
              <w:ind w:left="0" w:leftChars="0" w:right="0" w:rightChars="0" w:firstLine="0" w:firstLineChars="0"/>
              <w:jc w:val="center"/>
              <w:textAlignment w:val="center"/>
              <w:rPr>
                <w:rFonts w:hint="eastAsia" w:ascii="宋体" w:hAnsi="宋体" w:eastAsia="宋体" w:cs="宋体"/>
                <w:color w:val="000000"/>
                <w:sz w:val="24"/>
                <w:szCs w:val="22"/>
              </w:rPr>
            </w:pPr>
            <w:r>
              <w:rPr>
                <w:rFonts w:hint="eastAsia" w:ascii="宋体" w:hAnsi="宋体" w:eastAsia="宋体" w:cs="宋体"/>
                <w:color w:val="000000"/>
                <w:kern w:val="0"/>
                <w:sz w:val="24"/>
                <w:lang w:bidi="ar"/>
              </w:rPr>
              <w:t>套</w:t>
            </w: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2F43FDD">
            <w:pPr>
              <w:widowControl/>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457</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51FB7C77">
            <w:pPr>
              <w:widowControl/>
              <w:tabs>
                <w:tab w:val="left" w:pos="423"/>
              </w:tabs>
              <w:snapToGrid w:val="0"/>
              <w:ind w:left="0" w:leftChars="0" w:right="0" w:rightChars="0" w:firstLine="0" w:firstLineChars="0"/>
              <w:jc w:val="left"/>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负压密封无泄漏；</w:t>
            </w:r>
          </w:p>
        </w:tc>
      </w:tr>
    </w:tbl>
    <w:p w14:paraId="57F36229">
      <w:pPr>
        <w:pStyle w:val="25"/>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FF0000"/>
          <w:kern w:val="2"/>
          <w:sz w:val="28"/>
          <w:szCs w:val="28"/>
          <w:highlight w:val="none"/>
          <w:lang w:val="en-US" w:eastAsia="zh-CN" w:bidi="ar-SA"/>
        </w:rPr>
      </w:pPr>
    </w:p>
    <w:p w14:paraId="102BD341">
      <w:pPr>
        <w:pStyle w:val="25"/>
        <w:keepNext w:val="0"/>
        <w:keepLines w:val="0"/>
        <w:pageBreakBefore w:val="0"/>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p>
    <w:p w14:paraId="3FC8962D">
      <w:pPr>
        <w:keepNext w:val="0"/>
        <w:keepLines w:val="0"/>
        <w:pageBreakBefore w:val="0"/>
        <w:widowControl/>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供应商须提供全新的货物，符合国家相关质量标准、技术标准、安全认证和合同要求，且应保证货物是全新、未使用过的原厂原包装合格正品，表面应光洁平整，无划痕、锈斑、压痕、无碰撞痕迹和损伤，且权属清楚，不得侵害他人的知识产权。包装上必须标明品名、规格、生产厂家、出厂日期、质保期。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供应商所提供的产品应满足所用场合的环保及防火性要求。</w:t>
      </w:r>
    </w:p>
    <w:p w14:paraId="5CD60F1E">
      <w:pPr>
        <w:keepNext w:val="0"/>
        <w:keepLines w:val="0"/>
        <w:pageBreakBefore w:val="0"/>
        <w:widowControl/>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供应商提供的产品应经生产厂家的质量检验部门检验合格后方可出厂，并在交货时提供对应产品的相关检验报告和产品合格证明资料。</w:t>
      </w:r>
    </w:p>
    <w:p w14:paraId="24FC2978">
      <w:pPr>
        <w:keepNext w:val="0"/>
        <w:keepLines w:val="0"/>
        <w:pageBreakBefore w:val="0"/>
        <w:widowControl/>
        <w:kinsoku/>
        <w:overflowPunct/>
        <w:topLinePunct w:val="0"/>
        <w:autoSpaceDE/>
        <w:autoSpaceDN/>
        <w:bidi w:val="0"/>
        <w:adjustRightInd/>
        <w:snapToGrid/>
        <w:spacing w:line="560" w:lineRule="exact"/>
        <w:ind w:firstLine="56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供应商提供的产品性能</w:t>
      </w:r>
      <w:r>
        <w:rPr>
          <w:rFonts w:hint="eastAsia" w:ascii="仿宋" w:hAnsi="仿宋" w:eastAsia="仿宋" w:cs="仿宋"/>
          <w:color w:val="000000"/>
          <w:sz w:val="28"/>
          <w:szCs w:val="28"/>
          <w:lang w:val="en-US" w:eastAsia="zh-CN"/>
        </w:rPr>
        <w:t>应</w:t>
      </w:r>
      <w:r>
        <w:rPr>
          <w:rFonts w:hint="eastAsia" w:ascii="仿宋" w:hAnsi="仿宋" w:eastAsia="仿宋" w:cs="仿宋"/>
          <w:color w:val="000000"/>
          <w:sz w:val="28"/>
          <w:szCs w:val="28"/>
        </w:rPr>
        <w:t>符合或优于《空气过滤器》（GB/T 14295-2019）、《高效过滤器》（GB/T 13554-2020）、《空气过滤器用滤料》（JG/T 404-2018）等要求</w:t>
      </w:r>
      <w:r>
        <w:rPr>
          <w:rFonts w:hint="eastAsia" w:ascii="仿宋" w:hAnsi="仿宋" w:eastAsia="仿宋" w:cs="仿宋"/>
          <w:color w:val="000000"/>
          <w:sz w:val="28"/>
          <w:szCs w:val="28"/>
          <w:lang w:val="en-US" w:eastAsia="zh-CN"/>
        </w:rPr>
        <w:t>及国家相关强制要求</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（供应商提供独立承诺函</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格式自理</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rPr>
        <w:br w:type="textWrapping"/>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val="0"/>
          <w:bCs w:val="0"/>
          <w:color w:val="000000"/>
          <w:sz w:val="28"/>
          <w:szCs w:val="28"/>
          <w:lang w:val="en-US" w:eastAsia="zh-CN"/>
        </w:rPr>
        <w:t>5、</w:t>
      </w:r>
      <w:r>
        <w:rPr>
          <w:rFonts w:hint="eastAsia" w:ascii="仿宋" w:hAnsi="仿宋" w:eastAsia="仿宋" w:cs="仿宋"/>
          <w:color w:val="000000"/>
          <w:sz w:val="28"/>
          <w:szCs w:val="28"/>
        </w:rPr>
        <w:t>采购清单内的产品规格为采购人人工测量，可能会存在测量误差，供应商签订合同后需实地测量且经采购人书面确认后，按照实际尺寸供货。</w:t>
      </w:r>
    </w:p>
    <w:p w14:paraId="17319360">
      <w:pPr>
        <w:keepNext w:val="0"/>
        <w:keepLines w:val="0"/>
        <w:pageBreakBefore w:val="0"/>
        <w:widowControl/>
        <w:kinsoku/>
        <w:overflowPunct/>
        <w:topLinePunct w:val="0"/>
        <w:autoSpaceDE/>
        <w:autoSpaceDN/>
        <w:bidi w:val="0"/>
        <w:adjustRightInd/>
        <w:snapToGrid/>
        <w:spacing w:line="560" w:lineRule="exact"/>
        <w:ind w:firstLine="56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供应商提供的货物质量出现问题</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应负责三包（包修、包换、包退），费用由供应商负担。</w:t>
      </w:r>
    </w:p>
    <w:p w14:paraId="4EAB4897">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供应商保证所提供的货物在装卸、运输和仓储过程中有足够的包装保护，防止货物受潮、变质、受到冲撞以及其他不可预见的损坏，供应商提供货物运输过程中造成货物泄漏、损坏、灭失等，造成的一切经济损失由供应商自行承担。发生破损、受潮、</w:t>
      </w:r>
      <w:r>
        <w:rPr>
          <w:rFonts w:hint="eastAsia" w:ascii="仿宋" w:hAnsi="仿宋" w:eastAsia="仿宋" w:cs="仿宋"/>
          <w:color w:val="000000"/>
          <w:sz w:val="28"/>
          <w:szCs w:val="28"/>
          <w:lang w:val="en-US" w:eastAsia="zh-CN"/>
        </w:rPr>
        <w:t>数量</w:t>
      </w:r>
      <w:r>
        <w:rPr>
          <w:rFonts w:hint="eastAsia" w:ascii="仿宋" w:hAnsi="仿宋" w:eastAsia="仿宋" w:cs="仿宋"/>
          <w:color w:val="000000"/>
          <w:sz w:val="28"/>
          <w:szCs w:val="28"/>
        </w:rPr>
        <w:t>不足、疑似瑕疵品等情况，采购人有权拒收货物。</w:t>
      </w:r>
    </w:p>
    <w:p w14:paraId="47976EE4">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本项目采用零星分批供货方式供货，本合同履行期内采购人每年分批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14:paraId="0B44CDF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、供应商应将货物配送到采购人指定的院内任意地点接受采购人验货，并将该批货物的产品相关检验报告和产品合格证明资料，移交至采购人职能科室工作人员，并提供每批货物的质保生效期和截止日期资料。</w:t>
      </w:r>
    </w:p>
    <w:p w14:paraId="4B28C74C">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供应商应每次随货附销售单据。销售单据所记录的数据应与实际供货的品名、规格型号、数量、单价、金额等一致。货物验收时验收记录单据应当由采购人签字认可。</w:t>
      </w:r>
    </w:p>
    <w:p w14:paraId="734B2D6B">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14:paraId="4F34F35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提供因货物质量问题产生的上门货物退换服务。货物出现质量问题，由供应商派人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716EA63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、供应商需要根据采购人的日常工作使用情况做好货物的备品工作，确保货源稳定，节假日不能断供。</w:t>
      </w:r>
    </w:p>
    <w:p w14:paraId="03ABEF68">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、供应商需在指定的区域内进行作业，供应商做好各项安全保障工作和预案，做好员工安全教育工作，确保员工安全及职业健康，严格执行国家相关法律法规、安全规章制度，采取有效的安全措施。</w:t>
      </w:r>
    </w:p>
    <w:p w14:paraId="0362F50A">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000000"/>
          <w:sz w:val="28"/>
          <w:szCs w:val="28"/>
        </w:rPr>
        <w:t>合同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3076597F">
      <w:pPr>
        <w:pStyle w:val="25"/>
        <w:keepNext w:val="0"/>
        <w:keepLines w:val="0"/>
        <w:pageBreakBefore w:val="0"/>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折扣率报价方式</w:t>
      </w:r>
    </w:p>
    <w:p w14:paraId="3BE78F5A">
      <w:pPr>
        <w:keepNext w:val="0"/>
        <w:keepLines w:val="0"/>
        <w:pageBreakBefore w:val="0"/>
        <w:kinsoku/>
        <w:overflowPunct/>
        <w:topLinePunct w:val="0"/>
        <w:autoSpaceDE/>
        <w:autoSpaceDN/>
        <w:bidi w:val="0"/>
        <w:adjustRightInd/>
        <w:snapToGrid/>
        <w:spacing w:before="156" w:beforeLines="50" w:after="156" w:afterLines="50" w:line="560" w:lineRule="exact"/>
        <w:ind w:firstLine="560" w:firstLineChars="200"/>
        <w:textAlignment w:val="auto"/>
        <w:outlineLvl w:val="1"/>
        <w:rPr>
          <w:rFonts w:hint="eastAsia" w:ascii="仿宋" w:hAnsi="仿宋" w:eastAsia="仿宋" w:cs="仿宋"/>
          <w:color w:val="000000"/>
          <w:sz w:val="28"/>
          <w:szCs w:val="28"/>
        </w:rPr>
      </w:pPr>
      <w:r>
        <w:rPr>
          <w:rFonts w:hint="eastAsia" w:ascii="仿宋" w:hAnsi="仿宋" w:eastAsia="仿宋" w:cs="仿宋"/>
          <w:color w:val="000000"/>
          <w:sz w:val="28"/>
          <w:szCs w:val="28"/>
        </w:rPr>
        <w:t>1、本项目总预算不变，供应商以本项目货物单价最高限价的唯一折扣率报价，供应商报价只报一个唯一折扣率，本项目所有货物采购价格均按此唯一折扣率执行。项目合同履行期内折扣率不准变动。供应商本次报价，折扣率必须小于或等于100%，否则视为无效报价。（注：折扣率</w:t>
      </w:r>
      <w:r>
        <w:rPr>
          <w:rFonts w:hint="eastAsia" w:ascii="仿宋" w:hAnsi="仿宋" w:eastAsia="仿宋" w:cs="仿宋"/>
          <w:color w:val="000000"/>
          <w:kern w:val="0"/>
          <w:sz w:val="28"/>
          <w:szCs w:val="28"/>
        </w:rPr>
        <w:t>必须是一个固定整数值，如95%。</w:t>
      </w:r>
      <w:r>
        <w:rPr>
          <w:rFonts w:hint="eastAsia" w:ascii="仿宋" w:hAnsi="仿宋" w:eastAsia="仿宋" w:cs="仿宋"/>
          <w:color w:val="000000"/>
          <w:sz w:val="28"/>
          <w:szCs w:val="28"/>
        </w:rPr>
        <w:t>折扣率</w:t>
      </w:r>
      <w:r>
        <w:rPr>
          <w:rFonts w:hint="eastAsia" w:ascii="仿宋" w:hAnsi="仿宋" w:eastAsia="仿宋" w:cs="仿宋"/>
          <w:color w:val="000000"/>
          <w:kern w:val="0"/>
          <w:sz w:val="28"/>
          <w:szCs w:val="28"/>
        </w:rPr>
        <w:t>不得含小数点，如95.5%，</w:t>
      </w:r>
      <w:r>
        <w:rPr>
          <w:rFonts w:hint="eastAsia" w:ascii="仿宋" w:hAnsi="仿宋" w:eastAsia="仿宋" w:cs="仿宋"/>
          <w:color w:val="000000"/>
          <w:sz w:val="28"/>
          <w:szCs w:val="28"/>
        </w:rPr>
        <w:t>折扣率</w:t>
      </w:r>
      <w:r>
        <w:rPr>
          <w:rFonts w:hint="eastAsia" w:ascii="仿宋" w:hAnsi="仿宋" w:eastAsia="仿宋" w:cs="仿宋"/>
          <w:color w:val="000000"/>
          <w:kern w:val="0"/>
          <w:sz w:val="28"/>
          <w:szCs w:val="28"/>
        </w:rPr>
        <w:t>不得为区间值，如以“92%—95%”进行报价，否则将视为无效报价</w:t>
      </w:r>
      <w:r>
        <w:rPr>
          <w:rFonts w:hint="eastAsia" w:ascii="仿宋" w:hAnsi="仿宋" w:eastAsia="仿宋" w:cs="仿宋"/>
          <w:color w:val="000000"/>
          <w:sz w:val="28"/>
          <w:szCs w:val="28"/>
        </w:rPr>
        <w:t>。）</w:t>
      </w:r>
    </w:p>
    <w:p w14:paraId="30D011F4">
      <w:pPr>
        <w:keepNext w:val="0"/>
        <w:keepLines w:val="0"/>
        <w:pageBreakBefore w:val="0"/>
        <w:kinsoku/>
        <w:overflowPunct/>
        <w:topLinePunct w:val="0"/>
        <w:autoSpaceDE/>
        <w:autoSpaceDN/>
        <w:bidi w:val="0"/>
        <w:adjustRightInd/>
        <w:snapToGrid/>
        <w:spacing w:before="156" w:beforeLines="50" w:after="156" w:afterLines="50" w:line="560" w:lineRule="exact"/>
        <w:ind w:firstLine="560" w:firstLineChars="200"/>
        <w:textAlignment w:val="auto"/>
        <w:outlineLvl w:val="1"/>
        <w:rPr>
          <w:rFonts w:hint="eastAsia" w:ascii="仿宋" w:hAnsi="仿宋" w:eastAsia="仿宋" w:cs="仿宋"/>
          <w:color w:val="000000"/>
          <w:sz w:val="28"/>
          <w:szCs w:val="28"/>
        </w:rPr>
      </w:pPr>
      <w:r>
        <w:rPr>
          <w:rFonts w:hint="eastAsia" w:ascii="仿宋" w:hAnsi="仿宋" w:eastAsia="仿宋" w:cs="仿宋"/>
          <w:color w:val="000000"/>
          <w:sz w:val="28"/>
          <w:szCs w:val="28"/>
        </w:rPr>
        <w:t>例：采购人当月需要的货物包括，一号货物最高限价为X元/件，二号货物最高限价为X元/件，货物采购数量以当月实际需要数量为准。</w:t>
      </w:r>
    </w:p>
    <w:p w14:paraId="3D4C9B39">
      <w:pPr>
        <w:keepNext w:val="0"/>
        <w:keepLines w:val="0"/>
        <w:pageBreakBefore w:val="0"/>
        <w:kinsoku/>
        <w:overflowPunct/>
        <w:topLinePunct w:val="0"/>
        <w:autoSpaceDE/>
        <w:autoSpaceDN/>
        <w:bidi w:val="0"/>
        <w:adjustRightInd/>
        <w:snapToGrid/>
        <w:spacing w:before="156" w:beforeLines="50" w:after="156" w:afterLines="50" w:line="560" w:lineRule="exact"/>
        <w:ind w:firstLine="560" w:firstLineChars="200"/>
        <w:textAlignment w:val="auto"/>
        <w:outlineLvl w:val="1"/>
        <w:rPr>
          <w:rFonts w:hint="eastAsia" w:ascii="仿宋" w:hAnsi="仿宋" w:eastAsia="仿宋" w:cs="仿宋"/>
          <w:color w:val="000000"/>
          <w:sz w:val="28"/>
          <w:szCs w:val="28"/>
        </w:rPr>
      </w:pPr>
      <w:r>
        <w:rPr>
          <w:rFonts w:hint="eastAsia" w:ascii="仿宋" w:hAnsi="仿宋" w:eastAsia="仿宋" w:cs="仿宋"/>
          <w:color w:val="000000"/>
          <w:sz w:val="28"/>
          <w:szCs w:val="28"/>
        </w:rPr>
        <w:t>若供应商报价折扣率为95%，则供应商当月结算金额为=一号货物为X元/件（单价最高限价）</w:t>
      </w:r>
      <w:r>
        <w:rPr>
          <w:rFonts w:hint="eastAsia" w:ascii="仿宋" w:hAnsi="仿宋" w:eastAsia="仿宋" w:cs="仿宋"/>
          <w:color w:val="000000"/>
          <w:spacing w:val="-14"/>
          <w:sz w:val="28"/>
          <w:szCs w:val="28"/>
        </w:rPr>
        <w:t>×95%（供应商报价折扣率）×当月采购人实际需要数量+二号货物</w:t>
      </w:r>
      <w:r>
        <w:rPr>
          <w:rFonts w:hint="eastAsia" w:ascii="仿宋" w:hAnsi="仿宋" w:eastAsia="仿宋" w:cs="仿宋"/>
          <w:color w:val="000000"/>
          <w:sz w:val="28"/>
          <w:szCs w:val="28"/>
        </w:rPr>
        <w:t>为X元/件（单价最高限价）</w:t>
      </w:r>
      <w:r>
        <w:rPr>
          <w:rFonts w:hint="eastAsia" w:ascii="仿宋" w:hAnsi="仿宋" w:eastAsia="仿宋" w:cs="仿宋"/>
          <w:color w:val="000000"/>
          <w:spacing w:val="-14"/>
          <w:sz w:val="28"/>
          <w:szCs w:val="28"/>
        </w:rPr>
        <w:t>×95%（供应商报价折扣率）×当月采购人实际需要数量+</w:t>
      </w:r>
      <w:r>
        <w:rPr>
          <w:rFonts w:hint="eastAsia" w:ascii="仿宋" w:hAnsi="仿宋" w:eastAsia="仿宋" w:cs="仿宋"/>
          <w:color w:val="000000"/>
          <w:sz w:val="28"/>
          <w:szCs w:val="28"/>
        </w:rPr>
        <w:t>… N货物品名单价最高限价</w:t>
      </w:r>
      <w:r>
        <w:rPr>
          <w:rFonts w:hint="eastAsia" w:ascii="仿宋" w:hAnsi="仿宋" w:eastAsia="仿宋" w:cs="仿宋"/>
          <w:color w:val="000000"/>
          <w:spacing w:val="-14"/>
          <w:sz w:val="28"/>
          <w:szCs w:val="28"/>
        </w:rPr>
        <w:t>×</w:t>
      </w:r>
      <w:r>
        <w:rPr>
          <w:rFonts w:hint="eastAsia" w:ascii="仿宋" w:hAnsi="仿宋" w:eastAsia="仿宋" w:cs="仿宋"/>
          <w:color w:val="000000"/>
          <w:sz w:val="28"/>
          <w:szCs w:val="28"/>
        </w:rPr>
        <w:t>95%</w:t>
      </w:r>
      <w:r>
        <w:rPr>
          <w:rFonts w:hint="eastAsia" w:ascii="仿宋" w:hAnsi="仿宋" w:eastAsia="仿宋" w:cs="仿宋"/>
          <w:color w:val="000000"/>
          <w:spacing w:val="-14"/>
          <w:sz w:val="28"/>
          <w:szCs w:val="28"/>
        </w:rPr>
        <w:t>×当月采购人实际需要数量。</w:t>
      </w:r>
    </w:p>
    <w:p w14:paraId="48AFD722">
      <w:pPr>
        <w:pStyle w:val="14"/>
        <w:keepNext w:val="0"/>
        <w:keepLines w:val="0"/>
        <w:pageBreakBefore w:val="0"/>
        <w:kinsoku/>
        <w:overflowPunct/>
        <w:topLinePunct w:val="0"/>
        <w:autoSpaceDE/>
        <w:autoSpaceDN/>
        <w:bidi w:val="0"/>
        <w:adjustRightInd/>
        <w:snapToGrid/>
        <w:spacing w:line="560" w:lineRule="exact"/>
        <w:ind w:firstLine="411" w:firstLineChars="147"/>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供应商的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0D48C63E">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3、货物单价最高限价乘以供应商报价折扣率后的四舍五入保留小数点后一位的价格为各项货物实际供货价。</w:t>
      </w:r>
    </w:p>
    <w:p w14:paraId="59CE94F5">
      <w:pPr>
        <w:pStyle w:val="13"/>
        <w:keepNext w:val="0"/>
        <w:keepLines w:val="0"/>
        <w:pageBreakBefore w:val="0"/>
        <w:kinsoku/>
        <w:overflowPunct/>
        <w:topLinePunct w:val="0"/>
        <w:autoSpaceDE/>
        <w:autoSpaceDN/>
        <w:bidi w:val="0"/>
        <w:adjustRightInd/>
        <w:snapToGrid/>
        <w:spacing w:line="56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u w:val="single"/>
        </w:rPr>
        <w:t>本项目货物购置数量采购人当前无法确定，为预计采购数量</w:t>
      </w:r>
      <w:r>
        <w:rPr>
          <w:rFonts w:hint="eastAsia" w:ascii="仿宋" w:hAnsi="仿宋" w:eastAsia="仿宋" w:cs="仿宋"/>
          <w:color w:val="000000"/>
          <w:sz w:val="28"/>
          <w:szCs w:val="28"/>
        </w:rPr>
        <w:t>，供应商成交后，根据采购人的需求进行供货，</w:t>
      </w:r>
      <w:r>
        <w:rPr>
          <w:rFonts w:hint="eastAsia" w:ascii="仿宋" w:hAnsi="仿宋" w:eastAsia="仿宋" w:cs="仿宋"/>
          <w:color w:val="000000"/>
          <w:sz w:val="28"/>
          <w:szCs w:val="28"/>
          <w:u w:val="single"/>
        </w:rPr>
        <w:t>最终货物采购数量以合同履行期内采购人实际需求为准</w:t>
      </w:r>
      <w:r>
        <w:rPr>
          <w:rFonts w:hint="eastAsia" w:ascii="仿宋" w:hAnsi="仿宋" w:eastAsia="仿宋" w:cs="仿宋"/>
          <w:color w:val="000000"/>
          <w:sz w:val="28"/>
          <w:szCs w:val="28"/>
        </w:rPr>
        <w:t>。</w:t>
      </w:r>
    </w:p>
    <w:p w14:paraId="6CD35E63">
      <w:pPr>
        <w:keepNext w:val="0"/>
        <w:keepLines w:val="0"/>
        <w:pageBreakBefore w:val="0"/>
        <w:kinsoku/>
        <w:overflowPunct/>
        <w:topLinePunct w:val="0"/>
        <w:autoSpaceDE/>
        <w:autoSpaceDN/>
        <w:bidi w:val="0"/>
        <w:adjustRightInd/>
        <w:snapToGrid/>
        <w:spacing w:line="560" w:lineRule="exact"/>
        <w:ind w:firstLine="560" w:firstLineChars="200"/>
        <w:textAlignment w:val="auto"/>
        <w:rPr>
          <w:color w:val="000000"/>
        </w:rPr>
      </w:pPr>
      <w:r>
        <w:rPr>
          <w:rFonts w:hint="eastAsia" w:ascii="仿宋" w:hAnsi="仿宋" w:eastAsia="仿宋" w:cs="仿宋"/>
          <w:color w:val="000000"/>
          <w:sz w:val="28"/>
          <w:szCs w:val="28"/>
        </w:rPr>
        <w:t>结算时以采购人实际需要的各项货物购置数量分别乘以各项货物成交单价为准。合同履行期内，最终采购人货物采购总金额不超过本项目总预算金额。</w:t>
      </w:r>
    </w:p>
    <w:p w14:paraId="253C867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四、商务要求</w:t>
      </w:r>
      <w:bookmarkStart w:id="0" w:name="_GoBack"/>
      <w:bookmarkEnd w:id="0"/>
    </w:p>
    <w:p w14:paraId="7CC76442">
      <w:pPr>
        <w:pStyle w:val="13"/>
        <w:keepNext w:val="0"/>
        <w:keepLines w:val="0"/>
        <w:pageBreakBefore w:val="0"/>
        <w:kinsoku/>
        <w:overflowPunct/>
        <w:topLinePunct w:val="0"/>
        <w:autoSpaceDE/>
        <w:autoSpaceDN/>
        <w:bidi w:val="0"/>
        <w:adjustRightInd/>
        <w:snapToGrid/>
        <w:spacing w:line="560" w:lineRule="exact"/>
        <w:ind w:firstLine="562"/>
        <w:jc w:val="left"/>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（一）合同的履行期限</w:t>
      </w:r>
    </w:p>
    <w:p w14:paraId="7AB08F4D">
      <w:pPr>
        <w:pStyle w:val="13"/>
        <w:keepNext w:val="0"/>
        <w:keepLines w:val="0"/>
        <w:pageBreakBefore w:val="0"/>
        <w:kinsoku/>
        <w:overflowPunct/>
        <w:topLinePunct w:val="0"/>
        <w:autoSpaceDE/>
        <w:autoSpaceDN/>
        <w:bidi w:val="0"/>
        <w:adjustRightInd/>
        <w:snapToGrid/>
        <w:spacing w:line="560" w:lineRule="exact"/>
        <w:ind w:firstLine="56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双方签订采购合同生效之日起，至合同货物采购总金额达到合同总预算金额180000</w:t>
      </w:r>
      <w:r>
        <w:rPr>
          <w:rFonts w:hint="eastAsia" w:ascii="仿宋" w:hAnsi="仿宋" w:eastAsia="仿宋" w:cs="仿宋"/>
          <w:color w:val="000000"/>
          <w:sz w:val="28"/>
          <w:szCs w:val="28"/>
          <w:lang w:val="en-US" w:eastAsia="zh-CN"/>
        </w:rPr>
        <w:t>元</w:t>
      </w:r>
      <w:r>
        <w:rPr>
          <w:rFonts w:hint="eastAsia" w:ascii="仿宋" w:hAnsi="仿宋" w:eastAsia="仿宋" w:cs="仿宋"/>
          <w:color w:val="000000"/>
          <w:sz w:val="28"/>
          <w:szCs w:val="28"/>
        </w:rPr>
        <w:t>截止</w:t>
      </w:r>
      <w:r>
        <w:rPr>
          <w:rFonts w:hint="eastAsia" w:ascii="仿宋" w:hAnsi="仿宋" w:eastAsia="仿宋" w:cs="仿宋"/>
          <w:color w:val="000000"/>
          <w:sz w:val="28"/>
          <w:szCs w:val="28"/>
          <w:lang w:val="en-US" w:eastAsia="zh-CN"/>
        </w:rPr>
        <w:t>或合同履行期限</w:t>
      </w:r>
      <w:r>
        <w:rPr>
          <w:rFonts w:hint="eastAsia" w:ascii="仿宋" w:hAnsi="仿宋" w:eastAsia="仿宋" w:cs="仿宋"/>
          <w:color w:val="000000"/>
          <w:sz w:val="28"/>
          <w:szCs w:val="28"/>
        </w:rPr>
        <w:t>最长不超过730天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以上任一条件先到为准。</w:t>
      </w:r>
    </w:p>
    <w:p w14:paraId="5EB6FC4C">
      <w:pPr>
        <w:pStyle w:val="13"/>
        <w:keepNext w:val="0"/>
        <w:keepLines w:val="0"/>
        <w:pageBreakBefore w:val="0"/>
        <w:kinsoku/>
        <w:overflowPunct/>
        <w:topLinePunct w:val="0"/>
        <w:autoSpaceDE/>
        <w:autoSpaceDN/>
        <w:bidi w:val="0"/>
        <w:adjustRightInd/>
        <w:snapToGrid/>
        <w:spacing w:line="560" w:lineRule="exact"/>
        <w:ind w:firstLine="56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合同中止的约定：若国家行政管理部门根据相应法律法规，要求采购人解除本合同，即使合同采购总金额未达到合同总预算，本合同仍然立即终止。</w:t>
      </w:r>
    </w:p>
    <w:p w14:paraId="00642919">
      <w:pPr>
        <w:pStyle w:val="5"/>
        <w:keepNext w:val="0"/>
        <w:keepLines w:val="0"/>
        <w:pageBreakBefore w:val="0"/>
        <w:numPr>
          <w:ilvl w:val="0"/>
          <w:numId w:val="2"/>
        </w:numPr>
        <w:kinsoku/>
        <w:overflowPunct/>
        <w:topLinePunct w:val="0"/>
        <w:autoSpaceDE/>
        <w:autoSpaceDN/>
        <w:bidi w:val="0"/>
        <w:adjustRightInd/>
        <w:snapToGrid/>
        <w:spacing w:line="560" w:lineRule="exact"/>
        <w:ind w:firstLine="568"/>
        <w:jc w:val="left"/>
        <w:textAlignment w:val="auto"/>
        <w:rPr>
          <w:rFonts w:hint="eastAsia" w:ascii="仿宋" w:hAnsi="仿宋" w:eastAsia="仿宋" w:cs="仿宋"/>
          <w:b w:val="0"/>
          <w:bCs/>
          <w:color w:val="000000"/>
          <w:sz w:val="28"/>
          <w:szCs w:val="28"/>
        </w:rPr>
      </w:pPr>
      <w:r>
        <w:rPr>
          <w:rFonts w:hint="eastAsia" w:ascii="仿宋" w:hAnsi="仿宋" w:eastAsia="仿宋" w:cs="仿宋"/>
          <w:color w:val="000000"/>
          <w:sz w:val="28"/>
          <w:szCs w:val="28"/>
        </w:rPr>
        <w:t>项目履行地点</w:t>
      </w:r>
      <w:r>
        <w:rPr>
          <w:rFonts w:hint="eastAsia" w:ascii="仿宋" w:hAnsi="仿宋" w:eastAsia="仿宋" w:cs="仿宋"/>
          <w:color w:val="000000"/>
          <w:sz w:val="28"/>
          <w:szCs w:val="28"/>
          <w:lang w:val="en-US" w:eastAsia="zh-CN"/>
        </w:rPr>
        <w:t>及配送时间</w:t>
      </w:r>
      <w:r>
        <w:rPr>
          <w:rFonts w:hint="eastAsia" w:ascii="仿宋" w:hAnsi="仿宋" w:eastAsia="仿宋" w:cs="仿宋"/>
          <w:b w:val="0"/>
          <w:bCs/>
          <w:color w:val="000000"/>
          <w:sz w:val="28"/>
          <w:szCs w:val="28"/>
        </w:rPr>
        <w:t>：大竹县人民医院院内指定地点。</w:t>
      </w:r>
      <w:r>
        <w:rPr>
          <w:rFonts w:hint="eastAsia" w:ascii="仿宋" w:hAnsi="仿宋" w:eastAsia="仿宋" w:cs="仿宋"/>
          <w:b w:val="0"/>
          <w:bCs/>
          <w:color w:val="000000"/>
          <w:sz w:val="28"/>
          <w:szCs w:val="28"/>
          <w:lang w:val="en-US" w:eastAsia="zh-CN"/>
        </w:rPr>
        <w:t>供应商</w:t>
      </w:r>
      <w:r>
        <w:rPr>
          <w:rFonts w:hint="eastAsia" w:ascii="仿宋" w:hAnsi="仿宋" w:eastAsia="仿宋" w:cs="仿宋"/>
          <w:b w:val="0"/>
          <w:bCs/>
          <w:color w:val="000000"/>
          <w:sz w:val="28"/>
          <w:szCs w:val="28"/>
        </w:rPr>
        <w:t>接采购人通知后，15日内将该批次货物送达到采购人院内指定地点。货物送达指定地点由供应商承担货物装卸、搬运上楼、堆叠码放费用。货物交付采购人之前，货物的损毁、灭失风险由供应商承担。</w:t>
      </w:r>
    </w:p>
    <w:p w14:paraId="2CD8DBFB">
      <w:pPr>
        <w:pStyle w:val="14"/>
        <w:keepNext w:val="0"/>
        <w:keepLines w:val="0"/>
        <w:pageBreakBefore w:val="0"/>
        <w:kinsoku/>
        <w:overflowPunct/>
        <w:topLinePunct w:val="0"/>
        <w:autoSpaceDE/>
        <w:autoSpaceDN/>
        <w:bidi w:val="0"/>
        <w:adjustRightInd/>
        <w:snapToGrid/>
        <w:spacing w:line="560" w:lineRule="exact"/>
        <w:ind w:left="630" w:leftChars="300"/>
        <w:textAlignment w:val="auto"/>
        <w:rPr>
          <w:rFonts w:ascii="仿宋" w:hAnsi="仿宋" w:eastAsia="仿宋" w:cs="仿宋"/>
          <w:b/>
          <w:color w:val="000000"/>
          <w:sz w:val="28"/>
          <w:szCs w:val="28"/>
        </w:rPr>
      </w:pP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w:t>
      </w:r>
      <w:r>
        <w:rPr>
          <w:rFonts w:hint="eastAsia" w:ascii="仿宋" w:hAnsi="仿宋" w:eastAsia="仿宋" w:cs="仿宋"/>
          <w:b/>
          <w:color w:val="000000"/>
          <w:sz w:val="28"/>
          <w:szCs w:val="28"/>
        </w:rPr>
        <w:t>付款方式</w:t>
      </w:r>
    </w:p>
    <w:p w14:paraId="54C444B5">
      <w:pPr>
        <w:pStyle w:val="14"/>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1、合同履行期间，本项目采购总金额在达到项目成交总金额前，采购人和供应商每供货一次核算一次供应商所供货物采购数量和金额，供应商提供合同履约期间货物会计数据统计的电子文档给采购人存档。</w:t>
      </w:r>
    </w:p>
    <w:p w14:paraId="7056EFF2">
      <w:pPr>
        <w:pStyle w:val="24"/>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方正仿宋_GB2312" w:hAnsi="方正仿宋_GB2312" w:eastAsia="方正仿宋_GB2312" w:cs="方正仿宋_GB2312"/>
          <w:color w:val="000000"/>
          <w:sz w:val="28"/>
          <w:szCs w:val="28"/>
        </w:rPr>
        <w:t>采购人采用银行转账方式付款，采购人付款前，供应商必须提供货物结算清单（采购人出具的验收、签收资料）给采购人核对，供应商的结算清单应清楚、准确、真实。供应商必须出具国家认可的足额有效发票，供应商为一般纳税人的，应当提供增值税专用发票。供应商未按前款要求提供资料和票据的，采购人有权拒绝付款</w:t>
      </w:r>
      <w:r>
        <w:rPr>
          <w:rFonts w:hint="eastAsia" w:ascii="仿宋" w:hAnsi="仿宋" w:eastAsia="仿宋" w:cs="仿宋"/>
          <w:color w:val="000000"/>
          <w:sz w:val="28"/>
          <w:szCs w:val="28"/>
        </w:rPr>
        <w:t>。</w:t>
      </w:r>
    </w:p>
    <w:p w14:paraId="5C25FECB">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color w:val="000000"/>
          <w:sz w:val="28"/>
          <w:szCs w:val="28"/>
        </w:rPr>
      </w:pPr>
      <w:r>
        <w:rPr>
          <w:rFonts w:hint="eastAsia" w:ascii="方正仿宋_GB2312" w:hAnsi="方正仿宋_GB2312" w:eastAsia="方正仿宋_GB2312" w:cs="方正仿宋_GB2312"/>
          <w:color w:val="000000"/>
          <w:sz w:val="28"/>
          <w:szCs w:val="28"/>
        </w:rPr>
        <w:t>3、双方核对一致后，供应商才可开具发票。每</w:t>
      </w:r>
      <w:r>
        <w:rPr>
          <w:rFonts w:hint="eastAsia" w:ascii="方正仿宋_GB2312" w:hAnsi="方正仿宋_GB2312" w:eastAsia="方正仿宋_GB2312" w:cs="方正仿宋_GB2312"/>
          <w:color w:val="000000"/>
          <w:sz w:val="28"/>
          <w:szCs w:val="28"/>
          <w:lang w:val="en-US" w:eastAsia="zh-CN"/>
        </w:rPr>
        <w:t>次</w:t>
      </w:r>
      <w:r>
        <w:rPr>
          <w:rFonts w:hint="eastAsia" w:ascii="方正仿宋_GB2312" w:hAnsi="方正仿宋_GB2312" w:eastAsia="方正仿宋_GB2312" w:cs="方正仿宋_GB2312"/>
          <w:color w:val="000000"/>
          <w:sz w:val="28"/>
          <w:szCs w:val="28"/>
        </w:rPr>
        <w:t>采购人在收到供应商前款所述有效票据后，60日内转账支付供应商该批次货款。</w:t>
      </w:r>
    </w:p>
    <w:p w14:paraId="22C7D52D">
      <w:pPr>
        <w:pStyle w:val="3"/>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308892F-2BD5-48EC-9D62-F1728AE61AD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88C4024E-FAAE-4786-9B68-79B34428E8D9}"/>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FB279BF3-9782-4FA8-B600-4624CC202D7A}"/>
  </w:font>
  <w:font w:name="方正仿宋_GB2312">
    <w:panose1 w:val="02000000000000000000"/>
    <w:charset w:val="86"/>
    <w:family w:val="auto"/>
    <w:pitch w:val="default"/>
    <w:sig w:usb0="A00002BF" w:usb1="184F6CFA" w:usb2="00000012" w:usb3="00000000" w:csb0="00040001" w:csb1="00000000"/>
    <w:embedRegular r:id="rId4" w:fontKey="{75F544BD-32F8-4812-B38C-1E71FC37D74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EB0A8"/>
    <w:multiLevelType w:val="singleLevel"/>
    <w:tmpl w:val="E3BEB0A8"/>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798"/>
    <w:rsid w:val="22E17747"/>
    <w:rsid w:val="2B6232DE"/>
    <w:rsid w:val="38037EA9"/>
    <w:rsid w:val="51A333AD"/>
    <w:rsid w:val="56316E24"/>
    <w:rsid w:val="667478EF"/>
    <w:rsid w:val="69842596"/>
    <w:rsid w:val="69DB2FB8"/>
    <w:rsid w:val="74E84BB9"/>
    <w:rsid w:val="7F1A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kern w:val="2"/>
      <w:sz w:val="21"/>
      <w:szCs w:val="24"/>
    </w:r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Indent"/>
    <w:basedOn w:val="1"/>
    <w:unhideWhenUsed/>
    <w:qFormat/>
    <w:uiPriority w:val="0"/>
    <w:pPr>
      <w:ind w:firstLine="420" w:firstLineChars="200"/>
    </w:pPr>
    <w:rPr>
      <w:rFonts w:ascii="Times New Roman" w:hAnsi="Times New Roman"/>
      <w:kern w:val="0"/>
      <w:sz w:val="20"/>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2"/>
    <w:next w:val="1"/>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15"/>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文本_0"/>
    <w:basedOn w:val="16"/>
    <w:next w:val="17"/>
    <w:qFormat/>
    <w:uiPriority w:val="0"/>
    <w:pPr>
      <w:spacing w:after="120"/>
    </w:pPr>
  </w:style>
  <w:style w:type="paragraph" w:customStyle="1" w:styleId="16">
    <w:name w:val="正文_1_0"/>
    <w:next w:val="15"/>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引用1"/>
    <w:next w:val="14"/>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8">
    <w:name w:val="正文_2"/>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标题 5（有编号）（绿盟科技）"/>
    <w:basedOn w:val="18"/>
    <w:next w:val="2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21">
    <w:name w:val="font41"/>
    <w:basedOn w:val="11"/>
    <w:autoRedefine/>
    <w:qFormat/>
    <w:uiPriority w:val="0"/>
    <w:rPr>
      <w:rFonts w:ascii="Arial" w:hAnsi="Arial" w:cs="Arial"/>
      <w:color w:val="000000"/>
      <w:sz w:val="24"/>
      <w:szCs w:val="24"/>
      <w:u w:val="none"/>
    </w:rPr>
  </w:style>
  <w:style w:type="character" w:customStyle="1" w:styleId="22">
    <w:name w:val="font31"/>
    <w:basedOn w:val="11"/>
    <w:autoRedefine/>
    <w:qFormat/>
    <w:uiPriority w:val="0"/>
    <w:rPr>
      <w:rFonts w:hint="eastAsia" w:ascii="仿宋" w:hAnsi="仿宋" w:eastAsia="仿宋" w:cs="仿宋"/>
      <w:color w:val="000000"/>
      <w:sz w:val="24"/>
      <w:szCs w:val="24"/>
      <w:u w:val="none"/>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23"/>
    <w:basedOn w:val="11"/>
    <w:qFormat/>
    <w:uiPriority w:val="0"/>
    <w:rPr>
      <w:rFonts w:hint="eastAsia" w:ascii="新宋体" w:hAnsi="新宋体" w:eastAsia="新宋体" w:cs="新宋体"/>
      <w:color w:val="000000"/>
      <w:sz w:val="20"/>
      <w:szCs w:val="20"/>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font51"/>
    <w:basedOn w:val="11"/>
    <w:qFormat/>
    <w:uiPriority w:val="0"/>
    <w:rPr>
      <w:rFonts w:hint="eastAsia" w:ascii="新宋体" w:hAnsi="新宋体" w:eastAsia="新宋体" w:cs="新宋体"/>
      <w:b/>
      <w:bCs/>
      <w:color w:val="000000"/>
      <w:sz w:val="20"/>
      <w:szCs w:val="20"/>
      <w:u w:val="none"/>
    </w:rPr>
  </w:style>
  <w:style w:type="character" w:customStyle="1" w:styleId="29">
    <w:name w:val="font191"/>
    <w:basedOn w:val="11"/>
    <w:qFormat/>
    <w:uiPriority w:val="0"/>
    <w:rPr>
      <w:rFonts w:ascii="Arial" w:hAnsi="Arial" w:cs="Arial"/>
      <w:color w:val="000000"/>
      <w:sz w:val="19"/>
      <w:szCs w:val="19"/>
      <w:u w:val="none"/>
    </w:rPr>
  </w:style>
  <w:style w:type="character" w:customStyle="1" w:styleId="30">
    <w:name w:val="font201"/>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1605</Words>
  <Characters>1771</Characters>
  <Lines>0</Lines>
  <Paragraphs>0</Paragraphs>
  <TotalTime>0</TotalTime>
  <ScaleCrop>false</ScaleCrop>
  <LinksUpToDate>false</LinksUpToDate>
  <CharactersWithSpaces>1800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2026-04-07T03:45:15Z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4E7CA2B696C84509A43D2ECBEFBCCF3D_12</vt:lpwstr>
  </property>
</Properties>
</file>