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9C52A">
      <w:pPr>
        <w:pStyle w:val="14"/>
        <w:spacing w:line="560" w:lineRule="exact"/>
        <w:ind w:left="0" w:leftChars="0" w:firstLine="0" w:firstLineChars="0"/>
        <w:jc w:val="center"/>
        <w:rPr>
          <w:rFonts w:hint="eastAsia" w:ascii="黑体" w:hAnsi="黑体" w:eastAsia="黑体" w:cs="黑体"/>
          <w:b/>
          <w:bCs/>
          <w:kern w:val="0"/>
          <w:sz w:val="30"/>
          <w:szCs w:val="30"/>
          <w:highlight w:val="none"/>
          <w:lang w:val="en-US" w:eastAsia="zh-CN" w:bidi="ar"/>
        </w:rPr>
      </w:pPr>
      <w:r>
        <w:rPr>
          <w:rFonts w:hint="eastAsia" w:ascii="黑体" w:hAnsi="黑体" w:eastAsia="黑体" w:cs="黑体"/>
          <w:b/>
          <w:bCs/>
          <w:kern w:val="0"/>
          <w:sz w:val="32"/>
          <w:szCs w:val="32"/>
          <w:highlight w:val="none"/>
          <w:lang w:val="en-US" w:eastAsia="zh-CN" w:bidi="ar"/>
        </w:rPr>
        <w:t>大竹县人民医院锅炉房定期排污膨胀器更换采购项目</w:t>
      </w:r>
    </w:p>
    <w:p w14:paraId="4F535F30">
      <w:pPr>
        <w:pStyle w:val="14"/>
        <w:spacing w:line="560" w:lineRule="exact"/>
        <w:ind w:left="0" w:leftChars="0" w:firstLine="0" w:firstLineChars="0"/>
        <w:jc w:val="center"/>
        <w:rPr>
          <w:rFonts w:hint="default" w:ascii="仿宋" w:hAnsi="仿宋" w:eastAsia="仿宋"/>
          <w:b/>
          <w:sz w:val="30"/>
          <w:szCs w:val="30"/>
          <w:lang w:val="en-US"/>
        </w:rPr>
      </w:pPr>
      <w:r>
        <w:rPr>
          <w:rFonts w:hint="eastAsia" w:ascii="黑体" w:hAnsi="黑体" w:eastAsia="黑体" w:cs="黑体"/>
          <w:b/>
          <w:bCs/>
          <w:kern w:val="0"/>
          <w:sz w:val="30"/>
          <w:szCs w:val="30"/>
          <w:highlight w:val="none"/>
          <w:lang w:val="en-US" w:eastAsia="zh-CN" w:bidi="ar"/>
        </w:rPr>
        <w:t>采购需求</w:t>
      </w:r>
      <w:bookmarkStart w:id="1" w:name="_GoBack"/>
      <w:bookmarkEnd w:id="1"/>
    </w:p>
    <w:p w14:paraId="16AA9407">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tbl>
      <w:tblPr>
        <w:tblStyle w:val="8"/>
        <w:tblW w:w="4476" w:type="pct"/>
        <w:tblInd w:w="41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2957"/>
        <w:gridCol w:w="1452"/>
        <w:gridCol w:w="1304"/>
        <w:gridCol w:w="1218"/>
      </w:tblGrid>
      <w:tr w14:paraId="35881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458" w:type="pct"/>
            <w:vAlign w:val="center"/>
          </w:tcPr>
          <w:p w14:paraId="1331FF03">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包号</w:t>
            </w:r>
          </w:p>
        </w:tc>
        <w:tc>
          <w:tcPr>
            <w:tcW w:w="1938" w:type="pct"/>
            <w:vAlign w:val="center"/>
          </w:tcPr>
          <w:p w14:paraId="17B6D55D">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标的名称</w:t>
            </w:r>
          </w:p>
        </w:tc>
        <w:tc>
          <w:tcPr>
            <w:tcW w:w="951" w:type="pct"/>
            <w:vAlign w:val="center"/>
          </w:tcPr>
          <w:p w14:paraId="0AB378C1">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(计量单位)</w:t>
            </w:r>
          </w:p>
        </w:tc>
        <w:tc>
          <w:tcPr>
            <w:tcW w:w="854" w:type="pct"/>
            <w:vAlign w:val="center"/>
          </w:tcPr>
          <w:p w14:paraId="535021D5">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预算金额</w:t>
            </w:r>
          </w:p>
          <w:p w14:paraId="528D08B5">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（元）</w:t>
            </w:r>
          </w:p>
        </w:tc>
        <w:tc>
          <w:tcPr>
            <w:tcW w:w="797" w:type="pct"/>
            <w:vAlign w:val="center"/>
          </w:tcPr>
          <w:p w14:paraId="73F011AF">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最高限价</w:t>
            </w:r>
          </w:p>
          <w:p w14:paraId="646C99AB">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（元）</w:t>
            </w:r>
          </w:p>
        </w:tc>
      </w:tr>
      <w:tr w14:paraId="4CC12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0" w:hRule="atLeast"/>
        </w:trPr>
        <w:tc>
          <w:tcPr>
            <w:tcW w:w="458" w:type="pct"/>
            <w:vAlign w:val="center"/>
          </w:tcPr>
          <w:p w14:paraId="47AD06E1">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938" w:type="pct"/>
            <w:vAlign w:val="center"/>
          </w:tcPr>
          <w:p w14:paraId="3F990141">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大竹县人民医院锅炉房定期排污膨胀器更换采购项目</w:t>
            </w:r>
          </w:p>
        </w:tc>
        <w:tc>
          <w:tcPr>
            <w:tcW w:w="951" w:type="pct"/>
            <w:vAlign w:val="center"/>
          </w:tcPr>
          <w:p w14:paraId="001603CC">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854" w:type="pct"/>
            <w:vAlign w:val="center"/>
          </w:tcPr>
          <w:p w14:paraId="48520787">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72000</w:t>
            </w:r>
          </w:p>
        </w:tc>
        <w:tc>
          <w:tcPr>
            <w:tcW w:w="797" w:type="pct"/>
            <w:vAlign w:val="center"/>
          </w:tcPr>
          <w:p w14:paraId="3AE8D9EC">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72000</w:t>
            </w:r>
          </w:p>
        </w:tc>
      </w:tr>
    </w:tbl>
    <w:p w14:paraId="758B4E12">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pPr>
      <w:r>
        <w:rPr>
          <w:rFonts w:hint="eastAsia" w:ascii="仿宋" w:hAnsi="仿宋" w:eastAsia="仿宋" w:cs="仿宋"/>
          <w:b w:val="0"/>
          <w:bCs w:val="0"/>
          <w:color w:val="auto"/>
          <w:sz w:val="28"/>
          <w:szCs w:val="28"/>
        </w:rPr>
        <w:t>本项目要求供应商提供</w:t>
      </w:r>
      <w:r>
        <w:rPr>
          <w:rFonts w:hint="eastAsia" w:ascii="仿宋" w:hAnsi="仿宋" w:eastAsia="仿宋" w:cs="仿宋"/>
          <w:b w:val="0"/>
          <w:bCs w:val="0"/>
          <w:color w:val="auto"/>
          <w:sz w:val="28"/>
          <w:szCs w:val="28"/>
          <w:lang w:val="en-US" w:eastAsia="zh-CN"/>
        </w:rPr>
        <w:t>大竹县人民医院锅炉房定期排污膨胀器更换</w:t>
      </w:r>
      <w:r>
        <w:rPr>
          <w:rFonts w:hint="eastAsia" w:ascii="仿宋" w:hAnsi="仿宋" w:eastAsia="仿宋" w:cs="仿宋"/>
          <w:b w:val="0"/>
          <w:bCs w:val="0"/>
          <w:color w:val="auto"/>
          <w:sz w:val="28"/>
          <w:szCs w:val="28"/>
        </w:rPr>
        <w:t>服务</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并向达州市市场监督管理局申请注册，取得特种设备使用登记证。</w:t>
      </w:r>
    </w:p>
    <w:p w14:paraId="6B5B437C">
      <w:pPr>
        <w:pStyle w:val="14"/>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供应商的报价是完成本项目的全部内容的价格体现。应包括供应商为完成本项目的全部工作须支付或发生的一切所需费用</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供应商报价应充分考虑合同履行期内各种费用、市场风险、价格波动、承担义务和付款条件等，本项目无成本分担和风险补偿。</w:t>
      </w:r>
    </w:p>
    <w:p w14:paraId="102BD341">
      <w:pPr>
        <w:pStyle w:val="15"/>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二、技术、服务要求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20D6AE8">
      <w:pPr>
        <w:pStyle w:val="15"/>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kern w:val="2"/>
          <w:sz w:val="28"/>
          <w:szCs w:val="28"/>
          <w:lang w:val="en-US" w:eastAsia="zh-CN" w:bidi="ar-SA"/>
        </w:rPr>
        <w:t xml:space="preserve"> （一）项目内容及主要技术要求</w:t>
      </w:r>
    </w:p>
    <w:tbl>
      <w:tblPr>
        <w:tblStyle w:val="8"/>
        <w:tblW w:w="9444"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
        <w:gridCol w:w="1485"/>
        <w:gridCol w:w="3458"/>
        <w:gridCol w:w="797"/>
        <w:gridCol w:w="981"/>
        <w:gridCol w:w="1797"/>
      </w:tblGrid>
      <w:tr w14:paraId="221D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C5A006">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25E27E30">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物资/项目名称</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495D0337">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型号规格</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4F69540D">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C976540">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数量</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3A245D3C">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备注</w:t>
            </w:r>
          </w:p>
        </w:tc>
      </w:tr>
      <w:tr w14:paraId="09EC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6"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1A3E4D4">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0FA35998">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定期排污膨胀器</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45A49766">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D=650mm，出汽口DN80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排污入口65，排污出口DN50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配自动排污控制箱及阀门仪表，配磁翻板液位计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工作压力：0.25Mpa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设计压力：0.3Mpa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工作温度：138℃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设计温度：145℃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介质：水、蒸汽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材质要求：345R，壁厚：8mm</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730D3663">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3FAB69F5">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5E099C0E">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tc>
      </w:tr>
      <w:tr w14:paraId="2A5B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16AEF908">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22F1C0B">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定期排污膨胀器</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0F92FF4D">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D=500mm，出汽口DN125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排污入口65，排污出口DN50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配自动排污控制箱及阀门仪表，配磁翻板液位计</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工作压力：0.25Mpa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设计压力：0.3Mpa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工作温度：138℃</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设计温度：145℃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介质：水、蒸汽</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材质要求：345R，壁厚：8mm</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6122CD83">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E558C38">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1B83C82F">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tc>
      </w:tr>
      <w:tr w14:paraId="6838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066C0D0D">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5F17E4D">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旧设备拆除</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0B7EE21">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AB7681E">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D568D20">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7750418F">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tc>
      </w:tr>
      <w:tr w14:paraId="1070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1A5B12D2">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30E1BE86">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施工器具</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6E5B80D8">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58A7231E">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4B1005F4">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2072F90F">
            <w:pPr>
              <w:keepNext w:val="0"/>
              <w:keepLines w:val="0"/>
              <w:widowControl/>
              <w:suppressLineNumbers w:val="0"/>
              <w:jc w:val="center"/>
              <w:textAlignment w:val="top"/>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吊车、叉车</w:t>
            </w:r>
          </w:p>
        </w:tc>
      </w:tr>
      <w:tr w14:paraId="4116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58BED52">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10A1CBD7">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施工辅材</w:t>
            </w:r>
          </w:p>
        </w:tc>
        <w:tc>
          <w:tcPr>
            <w:tcW w:w="3458" w:type="dxa"/>
            <w:tcBorders>
              <w:top w:val="single" w:color="000000" w:sz="4" w:space="0"/>
              <w:left w:val="single" w:color="000000" w:sz="4" w:space="0"/>
              <w:bottom w:val="single" w:color="000000" w:sz="4" w:space="0"/>
              <w:right w:val="single" w:color="000000" w:sz="4" w:space="0"/>
            </w:tcBorders>
            <w:noWrap w:val="0"/>
            <w:vAlign w:val="center"/>
          </w:tcPr>
          <w:p w14:paraId="5A358918">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D9A9002">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EF0B5F6">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07294853">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油漆、螺栓、管道、法兰、保温、金属垫、角钢、槽钢、焊条、焊弯等</w:t>
            </w:r>
          </w:p>
        </w:tc>
      </w:tr>
    </w:tbl>
    <w:p w14:paraId="40249E48">
      <w:pPr>
        <w:keepNext w:val="0"/>
        <w:keepLines w:val="0"/>
        <w:widowControl/>
        <w:suppressLineNumbers w:val="0"/>
        <w:jc w:val="center"/>
        <w:textAlignment w:val="top"/>
        <w:rPr>
          <w:rFonts w:hint="eastAsia" w:ascii="等线" w:hAnsi="等线" w:eastAsia="等线" w:cs="等线"/>
          <w:i w:val="0"/>
          <w:iCs w:val="0"/>
          <w:color w:val="000000"/>
          <w:kern w:val="0"/>
          <w:sz w:val="22"/>
          <w:szCs w:val="22"/>
          <w:u w:val="none"/>
          <w:lang w:val="en-US" w:eastAsia="zh-CN" w:bidi="ar"/>
        </w:rPr>
      </w:pPr>
    </w:p>
    <w:p w14:paraId="19F45F73">
      <w:pPr>
        <w:keepNext w:val="0"/>
        <w:keepLines w:val="0"/>
        <w:pageBreakBefore w:val="0"/>
        <w:kinsoku/>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（二）对供应商的要求</w:t>
      </w:r>
    </w:p>
    <w:p w14:paraId="360F7167">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1、供应商提供的材料产品必须保证是全新、未使用过的、采用材料是符合国家标准、行业标准、三级甲等医院运行管理及本项目的技术要求的材料。</w:t>
      </w:r>
    </w:p>
    <w:p w14:paraId="15D0934A">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2、在正式开工之前，应对场地进行实际的测量勘定，避免因设计偏差影响整个施工结果未能达到采购人预期效果的，由此造成的损失由供应商承担。</w:t>
      </w:r>
    </w:p>
    <w:p w14:paraId="40F688C4">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3、在正式施工前，应做好施工防护工作，避免在施工过程中对周边造成破损，如给采购人造成损失的，损失由供应商承担。</w:t>
      </w:r>
    </w:p>
    <w:p w14:paraId="48384359">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4、在施工前应根据现场实际情况及国家规范要求及采购人院区管理要求提供详细施工方案，认真对材料的采购、连接、组装，调试进行严格的试验和检验，以确保完全符合设计要求，按时交付给采购人。</w:t>
      </w:r>
    </w:p>
    <w:p w14:paraId="33CF6D44">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5、现场项目负责人必须专职，并履行现场管理工作。如有违反，采购人有权终止合同，所造成的损失由供应商负责，但征得采购人同意的除外。</w:t>
      </w:r>
    </w:p>
    <w:p w14:paraId="6E6C2405">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6、国家强制要求持证上岗的工作，供应商应使用相关持证工作人员，按施工技术规范和质量验收规范施工。</w:t>
      </w:r>
    </w:p>
    <w:p w14:paraId="1DBCE431">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根据项目的具体情况，应编制详细的施工组织设计（包括施工方案和技术措施、质量管理体系与措施（包括但不限于材料、设备质量保证措施等、施工进度管理与控制、安全生产措施、主要施工机械设备的选用和布置），并经采购人批准后方可作业。</w:t>
      </w:r>
    </w:p>
    <w:p w14:paraId="623F5A3A">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8、供应商需按采购人的要求办理相关动火作业许可。</w:t>
      </w:r>
    </w:p>
    <w:p w14:paraId="31B4DF9F">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9、供应商需在指定的区域内进行作业，供应商做好各项安全保障工作和预案，做好员工安全教育工作，确保员工安全及职业健康，严格执行国家相关法律法规、安全规章制度，采取有效的安全措施。</w:t>
      </w:r>
    </w:p>
    <w:p w14:paraId="6240A9D6">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行过程中由供应商及供应商员工原因造成的一切安全事故、人身伤亡、经济损失均由供应商自行负责承担，其责任与采购人无关。如因供应商及供应商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1FA1CD1C">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供应商在施工过程中须严格履行安全文明施工规定，并遵守采购人相关规定。供应商必须合理安排施工时间，错峰施工，施工场界环境噪声排放须严格遵守国家、工程所在地标准规定（就高执行），确保人身安全，并避免对周边小区居民生活造成影响。</w:t>
      </w:r>
    </w:p>
    <w:p w14:paraId="56C98E81">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11、因供应商原因或供应商整改不力，导致采购人遭受行政部门处罚或不利于采购人的社会影响的，供应商应承担由此造成的全部责任及承担其采购人遭受处罚所引起的一切损失。</w:t>
      </w:r>
    </w:p>
    <w:p w14:paraId="228604C5">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0F4E37C8">
      <w:pPr>
        <w:pStyle w:val="14"/>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US" w:eastAsia="zh-CN"/>
        </w:rPr>
        <w:t>标的</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交付时间</w:t>
      </w:r>
    </w:p>
    <w:p w14:paraId="0CEA6FFC">
      <w:pPr>
        <w:pStyle w:val="14"/>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双方签订采购合同生效之日起，供应商应在30日内完成大竹县人民医院锅炉房定期排污膨胀器更换，保证能使用正常，并协助采购人成功办理特种设备使用登记证。  </w:t>
      </w:r>
    </w:p>
    <w:p w14:paraId="2B2C1B20">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bCs/>
          <w:color w:val="auto"/>
          <w:sz w:val="28"/>
          <w:szCs w:val="28"/>
        </w:rPr>
        <w:t>（二）项目履行地点：四川省大竹县白塔街道青年路99号</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highlight w:val="none"/>
        </w:rPr>
        <w:t>大竹县人民医院院内指定地点。</w:t>
      </w:r>
      <w:r>
        <w:rPr>
          <w:rFonts w:hint="eastAsia" w:ascii="仿宋" w:hAnsi="仿宋" w:eastAsia="仿宋" w:cs="仿宋"/>
          <w:b w:val="0"/>
          <w:bCs/>
          <w:color w:val="auto"/>
          <w:sz w:val="28"/>
          <w:szCs w:val="28"/>
          <w:u w:val="single"/>
          <w:lang w:val="en-US" w:eastAsia="zh-CN"/>
        </w:rPr>
        <w:t>项目交付至采购人前，项目的损毁、灭失风险由供应商承担。</w:t>
      </w:r>
    </w:p>
    <w:p w14:paraId="3871630C">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（三）项目付款方式</w:t>
      </w:r>
    </w:p>
    <w:p w14:paraId="78D4D8A4">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采购人采用银行转账方式付款，采购人付款前，供应商必须在本项目验收合格并协助采购人成功取得特种设备使用登记证后，给采购人提供验收相关全套资料并开具国家认可的足额有效发票，采购人在收到供应商前款所述所有资料后，60日内转账支付供应商合同总金额的90%，采购人成功取得特种设备使用登记证一年后，定期排污膨胀器运行正常，60日内转账支付供应商合同总金额的10%，否则采购人有权拒绝付款(一般纳税人应开具增值税发票)。</w:t>
      </w:r>
    </w:p>
    <w:p w14:paraId="371FFE3E">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（四）履约验收要求</w:t>
      </w:r>
    </w:p>
    <w:p w14:paraId="38B0B105">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1、验收方式：</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组织、</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配合，根据国家有关强制性规定</w:t>
      </w:r>
      <w:r>
        <w:rPr>
          <w:rFonts w:hint="eastAsia" w:ascii="仿宋" w:hAnsi="仿宋" w:eastAsia="仿宋" w:cs="仿宋"/>
          <w:color w:val="auto"/>
          <w:sz w:val="28"/>
          <w:szCs w:val="28"/>
          <w:lang w:eastAsia="zh-CN"/>
        </w:rPr>
        <w:t>，</w:t>
      </w:r>
      <w:r>
        <w:rPr>
          <w:rFonts w:hint="eastAsia" w:ascii="仿宋" w:hAnsi="仿宋" w:eastAsia="仿宋" w:cs="仿宋"/>
          <w:bCs/>
          <w:color w:val="auto"/>
          <w:sz w:val="28"/>
          <w:szCs w:val="28"/>
        </w:rPr>
        <w:t>按照本项目采购文件、响应文件、《大竹县人民医院采购管理办法》以及</w:t>
      </w:r>
      <w:r>
        <w:rPr>
          <w:rFonts w:hint="eastAsia" w:ascii="仿宋" w:hAnsi="仿宋" w:eastAsia="仿宋" w:cs="仿宋"/>
          <w:bCs/>
          <w:color w:val="auto"/>
          <w:sz w:val="28"/>
          <w:szCs w:val="28"/>
          <w:lang w:val="en-US" w:eastAsia="zh-CN"/>
        </w:rPr>
        <w:t>双方合同约定</w:t>
      </w:r>
      <w:r>
        <w:rPr>
          <w:rFonts w:hint="eastAsia" w:ascii="仿宋" w:hAnsi="仿宋" w:eastAsia="仿宋" w:cs="仿宋"/>
          <w:bCs/>
          <w:color w:val="auto"/>
          <w:sz w:val="28"/>
          <w:szCs w:val="28"/>
        </w:rPr>
        <w:t>的相关要求进行验收。</w:t>
      </w:r>
    </w:p>
    <w:p w14:paraId="46E6FA13">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供应商应在采购人指定的院内任意地点接受采购人验收，并协助采购人办理完成特种设备使用登记证和特种设备档案资料，移交至采购人职能科室工作人员，并提供标的的质保生效期和截止日期资料。采购人有权要求供应商提供前款资料，并核实资料真实性，如供应商无正当理由不予配合或证实实际履约与合同约定的要求不符，视为供应商违约，采购人有权拒绝支付费用并要求供应商承担违约责任。</w:t>
      </w:r>
    </w:p>
    <w:p w14:paraId="726F9323">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3、供应商按合同约定完成合同全部内容并通知采购人后，采购人在收到供应商通知后7个工作日内，采购人组织验收。</w:t>
      </w:r>
    </w:p>
    <w:p w14:paraId="2441C4A6">
      <w:pPr>
        <w:pStyle w:val="14"/>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rPr>
        <w:t>4、合同约定的验收期限或者质量保证期短于法律、行政法规规定期限的，应当以法律、行政法规规定的期限为准。</w:t>
      </w:r>
    </w:p>
    <w:p w14:paraId="65C352E1">
      <w:pPr>
        <w:pStyle w:val="16"/>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五</w:t>
      </w:r>
      <w:r>
        <w:rPr>
          <w:rFonts w:hint="eastAsia" w:ascii="仿宋" w:hAnsi="仿宋" w:eastAsia="仿宋" w:cs="仿宋"/>
          <w:bCs/>
          <w:color w:val="auto"/>
          <w:sz w:val="28"/>
          <w:szCs w:val="28"/>
          <w:highlight w:val="none"/>
        </w:rPr>
        <w:t>）售后服务要求</w:t>
      </w:r>
    </w:p>
    <w:p w14:paraId="59B57FBB">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质保期自压力容器更换完毕、取得特种设备使用登记证之日起计算，质保期不少于12个月，质保期内供应商接到维修通知后需立即组织人员维修、更换零部件，并承担维修过程中产生的所有费用（包括人工、零部件、运输等）、维修时更换的零部件不得低于原有品质。（人为损坏、不可抗力因素导致的损坏除外）</w:t>
      </w:r>
    </w:p>
    <w:p w14:paraId="06BB115B">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2、供应商7</w:t>
      </w:r>
      <w:r>
        <w:rPr>
          <w:rFonts w:hint="default"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lang w:val="en-US" w:eastAsia="zh-CN"/>
        </w:rPr>
        <w:t>24小时响应，接到采购人压力容器故障报修后，需立即作出反应，24小时内抵达现场，如遇紧急故障（如严重泄漏等）需缩短至4小时内抵达现场。</w:t>
      </w:r>
    </w:p>
    <w:p w14:paraId="25FFB1A3">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维修人员须具备相应的特种设备作业资质，持证上岗，现场作业时需严格遵守安全操作规程，落实安全防护措施，避免二次损坏或安全事故发生；维修过程中需详细记录故障情况、维修方案、更换的零部件信息及维修结果，形成维修报告，经采购人确认后存档。</w:t>
      </w:r>
    </w:p>
    <w:p w14:paraId="588B9C8C">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4、故障维修需确保一次性修复，若同一故障在维修后72小时内再次出现，供应商需无偿重新维修，并承担由此给采购人造成的经济损失；维修完成后，需对压力容器进行全面检测，检测费用由供应商承担。</w:t>
      </w:r>
    </w:p>
    <w:p w14:paraId="0423AA18">
      <w:pPr>
        <w:pStyle w:val="14"/>
        <w:keepNext w:val="0"/>
        <w:keepLines w:val="0"/>
        <w:pageBreakBefore w:val="0"/>
        <w:kinsoku/>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）违约责任</w:t>
      </w:r>
    </w:p>
    <w:p w14:paraId="072EA5F2">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严格按照国家相关法律法规和本采购文件要求及供应商提交的响应文件约定履行合同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供应商不履行本项目义务或瑕疵履行本项目义务或延迟履行本项目义务或履行合同义务不符合合同约定的，则供应商违约。</w:t>
      </w:r>
    </w:p>
    <w:p w14:paraId="721A63B5">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承担相应违约责任并支付相应金额的违约金。采购人有权直接从</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的合同</w:t>
      </w:r>
      <w:r>
        <w:rPr>
          <w:rFonts w:hint="eastAsia" w:ascii="仿宋" w:hAnsi="仿宋" w:eastAsia="仿宋" w:cs="仿宋"/>
          <w:color w:val="auto"/>
          <w:kern w:val="2"/>
          <w:sz w:val="28"/>
          <w:szCs w:val="28"/>
          <w:highlight w:val="none"/>
          <w:lang w:eastAsia="zh-CN"/>
        </w:rPr>
        <w:t>款项</w:t>
      </w:r>
      <w:r>
        <w:rPr>
          <w:rFonts w:hint="eastAsia" w:ascii="仿宋" w:hAnsi="仿宋" w:eastAsia="仿宋" w:cs="仿宋"/>
          <w:color w:val="auto"/>
          <w:kern w:val="2"/>
          <w:sz w:val="28"/>
          <w:szCs w:val="28"/>
          <w:highlight w:val="none"/>
        </w:rPr>
        <w:t>中扣除违约金，</w:t>
      </w:r>
      <w:r>
        <w:rPr>
          <w:rFonts w:hint="eastAsia" w:ascii="仿宋" w:hAnsi="仿宋" w:eastAsia="仿宋" w:cs="仿宋"/>
          <w:color w:val="auto"/>
          <w:kern w:val="2"/>
          <w:sz w:val="28"/>
          <w:szCs w:val="28"/>
          <w:highlight w:val="none"/>
          <w:lang w:eastAsia="zh-CN"/>
        </w:rPr>
        <w:t>供应商</w:t>
      </w:r>
      <w:r>
        <w:rPr>
          <w:rFonts w:hint="eastAsia" w:ascii="仿宋" w:hAnsi="仿宋" w:eastAsia="仿宋" w:cs="仿宋"/>
          <w:color w:val="auto"/>
          <w:kern w:val="2"/>
          <w:sz w:val="28"/>
          <w:szCs w:val="28"/>
          <w:highlight w:val="none"/>
        </w:rPr>
        <w:t>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0DBB1BAD">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行为视为供应商违约，采购人有权按照以下条款要求供应商承担违约金及违约责任：</w:t>
      </w:r>
    </w:p>
    <w:p w14:paraId="44FF4195">
      <w:pPr>
        <w:pStyle w:val="1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bookmarkStart w:id="0" w:name="EB43c53e641d4b44f7a21c91dd14912275"/>
      <w:r>
        <w:rPr>
          <w:rFonts w:hint="eastAsia" w:ascii="仿宋" w:hAnsi="仿宋" w:eastAsia="仿宋" w:cs="仿宋"/>
          <w:i w:val="0"/>
          <w:iCs w:val="0"/>
          <w:caps w:val="0"/>
          <w:color w:val="auto"/>
          <w:spacing w:val="0"/>
          <w:kern w:val="0"/>
          <w:sz w:val="28"/>
          <w:szCs w:val="28"/>
          <w:shd w:val="clear" w:fill="FFFFFF"/>
          <w:lang w:val="en-US" w:eastAsia="zh-CN" w:bidi="ar"/>
        </w:rPr>
        <w:t>（1）项目履行期限内，供应商明确表示或者以自己的行为表明不履行本项目合同的主要义务，则供应商违约，供应商应向采购人缴纳合同总价款20%的违约金，同时采购人有权解除合同。</w:t>
      </w:r>
    </w:p>
    <w:p w14:paraId="5244110C">
      <w:pPr>
        <w:pStyle w:val="1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（2）供应商提供的服务根本违约，致使合同的目的不能实现的，供应商应向采购人缴纳合同总价款20%的违约金，同时采购人有权解除合同。</w:t>
      </w:r>
    </w:p>
    <w:p w14:paraId="4C4A0933">
      <w:pPr>
        <w:pStyle w:val="1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（3）供应商延迟履约，即供应商应向采购人提供的服务未按合同约定时间完成竣工的，供应商每有一天违约行为，扣款1000元/天。</w:t>
      </w:r>
    </w:p>
    <w:p w14:paraId="080AB1E3">
      <w:pPr>
        <w:pStyle w:val="1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4）供应商所提供的服务瑕疵违约，与本文件要求或采购人采购需求不符的，供应商应承担修理、重作、更换、退货、减少价款或者报酬等违约责任。同时供应商每有一次瑕疵违约行为，采购人将扣除供应商结算款200元，供应商出现3次本款所列违约行为，供应商应向采购人支付合同总价款5%的违约金，同时采购人有权解除合同。经采购人同意后，供应商更正瑕疵违约行为后，可以继续按合同约定履行合同。</w:t>
      </w:r>
      <w:bookmarkEnd w:id="0"/>
    </w:p>
    <w:p w14:paraId="4D4ACE41">
      <w:pPr>
        <w:pStyle w:val="17"/>
        <w:rPr>
          <w:rFonts w:hint="eastAsia"/>
        </w:rPr>
      </w:pPr>
    </w:p>
    <w:p w14:paraId="055817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A2"/>
    <w:rsid w:val="000E1703"/>
    <w:rsid w:val="00521821"/>
    <w:rsid w:val="009F4EE6"/>
    <w:rsid w:val="00E11BA2"/>
    <w:rsid w:val="00E858DB"/>
    <w:rsid w:val="058B3242"/>
    <w:rsid w:val="14B24416"/>
    <w:rsid w:val="253043DD"/>
    <w:rsid w:val="40F83204"/>
    <w:rsid w:val="447B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6"/>
    <w:basedOn w:val="1"/>
    <w:next w:val="1"/>
    <w:link w:val="12"/>
    <w:qFormat/>
    <w:uiPriority w:val="99"/>
    <w:pPr>
      <w:spacing w:before="100" w:beforeAutospacing="1" w:after="100" w:afterAutospacing="1"/>
      <w:jc w:val="left"/>
      <w:outlineLvl w:val="5"/>
    </w:pPr>
    <w:rPr>
      <w:rFonts w:ascii="宋体" w:hAnsi="宋体" w:cs="宋体"/>
      <w:b/>
      <w:bCs/>
      <w:kern w:val="0"/>
      <w:sz w:val="15"/>
      <w:szCs w:val="1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420" w:leftChars="200" w:firstLine="420"/>
    </w:pPr>
    <w:rPr>
      <w:rFonts w:hint="default"/>
      <w:sz w:val="24"/>
    </w:rPr>
  </w:style>
  <w:style w:type="paragraph" w:styleId="3">
    <w:name w:val="Body Text Indent"/>
    <w:basedOn w:val="1"/>
    <w:next w:val="2"/>
    <w:qFormat/>
    <w:uiPriority w:val="0"/>
    <w:pPr>
      <w:ind w:firstLine="630"/>
    </w:pPr>
    <w:rPr>
      <w:sz w:val="32"/>
    </w:rPr>
  </w:style>
  <w:style w:type="paragraph" w:customStyle="1" w:styleId="4">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sz w:val="20"/>
      <w:szCs w:val="20"/>
    </w:rPr>
  </w:style>
  <w:style w:type="paragraph" w:styleId="6">
    <w:name w:val="Body Text"/>
    <w:basedOn w:val="1"/>
    <w:next w:val="1"/>
    <w:link w:val="13"/>
    <w:unhideWhenUsed/>
    <w:qFormat/>
    <w:uiPriority w:val="99"/>
    <w:pPr>
      <w:spacing w:before="100" w:beforeAutospacing="1" w:after="120"/>
    </w:pPr>
  </w:style>
  <w:style w:type="paragraph" w:styleId="7">
    <w:name w:val="Body Text First Indent"/>
    <w:basedOn w:val="6"/>
    <w:link w:val="21"/>
    <w:semiHidden/>
    <w:unhideWhenUsed/>
    <w:qFormat/>
    <w:uiPriority w:val="99"/>
    <w:pPr>
      <w:spacing w:before="0" w:beforeAutospacing="0"/>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标题 6 Char"/>
    <w:basedOn w:val="10"/>
    <w:link w:val="5"/>
    <w:qFormat/>
    <w:uiPriority w:val="99"/>
    <w:rPr>
      <w:rFonts w:ascii="宋体" w:hAnsi="宋体" w:eastAsia="宋体" w:cs="宋体"/>
      <w:b/>
      <w:bCs/>
      <w:kern w:val="0"/>
      <w:sz w:val="15"/>
      <w:szCs w:val="15"/>
    </w:rPr>
  </w:style>
  <w:style w:type="character" w:customStyle="1" w:styleId="13">
    <w:name w:val="正文文本 Char"/>
    <w:basedOn w:val="10"/>
    <w:link w:val="6"/>
    <w:qFormat/>
    <w:uiPriority w:val="99"/>
    <w:rPr>
      <w:rFonts w:ascii="Times New Roman" w:hAnsi="Times New Roman" w:eastAsia="宋体" w:cs="Times New Roman"/>
      <w:szCs w:val="21"/>
    </w:rPr>
  </w:style>
  <w:style w:type="paragraph" w:customStyle="1" w:styleId="14">
    <w:name w:val="List Paragraph"/>
    <w:basedOn w:val="1"/>
    <w:qFormat/>
    <w:uiPriority w:val="0"/>
    <w:pPr>
      <w:ind w:firstLine="420" w:firstLineChars="200"/>
    </w:pPr>
  </w:style>
  <w:style w:type="paragraph" w:customStyle="1" w:styleId="15">
    <w:name w:val="null3"/>
    <w:basedOn w:val="1"/>
    <w:qFormat/>
    <w:uiPriority w:val="0"/>
    <w:pPr>
      <w:widowControl/>
      <w:jc w:val="left"/>
    </w:pPr>
    <w:rPr>
      <w:rFonts w:ascii="Calibri" w:hAnsi="Calibri"/>
      <w:kern w:val="0"/>
      <w:sz w:val="24"/>
      <w:szCs w:val="24"/>
    </w:rPr>
  </w:style>
  <w:style w:type="paragraph" w:customStyle="1" w:styleId="16">
    <w:name w:val="正文_1"/>
    <w:basedOn w:val="1"/>
    <w:next w:val="17"/>
    <w:qFormat/>
    <w:uiPriority w:val="0"/>
    <w:pPr>
      <w:spacing w:line="480" w:lineRule="exact"/>
    </w:pPr>
  </w:style>
  <w:style w:type="paragraph" w:customStyle="1" w:styleId="17">
    <w:name w:val="正文_2"/>
    <w:next w:val="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标题 5（有编号）（绿盟科技）"/>
    <w:basedOn w:val="17"/>
    <w:next w:val="1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20">
    <w:name w:val="15"/>
    <w:basedOn w:val="10"/>
    <w:qFormat/>
    <w:uiPriority w:val="0"/>
    <w:rPr>
      <w:rFonts w:hint="default" w:ascii="Calibri" w:hAnsi="Calibri" w:cs="Calibri"/>
      <w:b/>
    </w:rPr>
  </w:style>
  <w:style w:type="character" w:customStyle="1" w:styleId="21">
    <w:name w:val="正文首行缩进 Char"/>
    <w:basedOn w:val="13"/>
    <w:link w:val="7"/>
    <w:semiHidden/>
    <w:qFormat/>
    <w:uiPriority w:val="99"/>
    <w:rPr>
      <w:rFonts w:ascii="Times New Roman" w:hAnsi="Times New Roman" w:eastAsia="宋体" w:cs="Times New Roman"/>
      <w:szCs w:val="21"/>
    </w:rPr>
  </w:style>
  <w:style w:type="paragraph" w:customStyle="1" w:styleId="22">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748</Words>
  <Characters>776</Characters>
  <Lines>62</Lines>
  <Paragraphs>17</Paragraphs>
  <TotalTime>7</TotalTime>
  <ScaleCrop>false</ScaleCrop>
  <LinksUpToDate>false</LinksUpToDate>
  <CharactersWithSpaces>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2026-01-04T09:20:00Z</dcterms:created>
  <dc:creator>PC</dc:creator>
  <cp:lastModifiedBy>周云霞</cp:lastModifiedBy>
  <dcterms:modified xsi:type="dcterms:W3CDTF">2026-05-19T03:08:00Z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eyJoZGlkIjoiYzlkMmZkYmE5MjIyMjVmOTNjMjM2NjBkYzIyMmEyMDUiLCJ1c2VySWQiOiIzNTI2ODc0MzAifQ==</vt:lpwstr>
  </property>
  <property fmtid="{D5CDD505-2E9C-101B-9397-08002B2CF9AE}" pid="3" name="KSOProductBuildVer">
    <vt:lpwstr>2052-12.1.0.25865</vt:lpwstr>
  </property>
  <property fmtid="{D5CDD505-2E9C-101B-9397-08002B2CF9AE}" pid="4" name="ICV">
    <vt:lpwstr>3E892C0FAC0E436E8B4716AA329CB817_13</vt:lpwstr>
  </property>
</Properties>
</file>