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1D75A">
      <w:pPr>
        <w:pStyle w:val="11"/>
        <w:spacing w:line="560" w:lineRule="exact"/>
        <w:ind w:left="0" w:leftChars="0" w:firstLine="0" w:firstLineChars="0"/>
        <w:jc w:val="center"/>
        <w:rPr>
          <w:rFonts w:hint="eastAsia" w:ascii="黑体" w:hAnsi="黑体" w:eastAsia="黑体" w:cs="黑体"/>
          <w:b/>
          <w:bCs/>
          <w:kern w:val="0"/>
          <w:sz w:val="30"/>
          <w:szCs w:val="30"/>
          <w:highlight w:val="none"/>
          <w:lang w:val="en-US" w:eastAsia="zh-CN" w:bidi="ar"/>
        </w:rPr>
      </w:pPr>
      <w:r>
        <w:rPr>
          <w:rFonts w:hint="eastAsia" w:ascii="黑体" w:hAnsi="黑体" w:eastAsia="黑体" w:cs="黑体"/>
          <w:b/>
          <w:bCs/>
          <w:kern w:val="0"/>
          <w:sz w:val="30"/>
          <w:szCs w:val="30"/>
          <w:highlight w:val="none"/>
          <w:lang w:val="en-US" w:eastAsia="zh-CN" w:bidi="ar"/>
        </w:rPr>
        <w:t>达州市公立医院改革与高质量发展示范项目大竹县智慧大竹健康服务体系示范项目处方前置审核系统采购项目（第二次）</w:t>
      </w:r>
    </w:p>
    <w:p w14:paraId="4F535F30">
      <w:pPr>
        <w:pStyle w:val="11"/>
        <w:spacing w:line="560" w:lineRule="exact"/>
        <w:ind w:left="0" w:leftChars="0" w:firstLine="0" w:firstLineChars="0"/>
        <w:jc w:val="center"/>
        <w:rPr>
          <w:rFonts w:hint="default" w:ascii="仿宋" w:hAnsi="仿宋" w:eastAsia="仿宋"/>
          <w:b/>
          <w:sz w:val="30"/>
          <w:szCs w:val="30"/>
          <w:lang w:val="en-US"/>
        </w:rPr>
      </w:pPr>
      <w:r>
        <w:rPr>
          <w:rFonts w:hint="eastAsia" w:ascii="黑体" w:hAnsi="黑体" w:eastAsia="黑体" w:cs="黑体"/>
          <w:b/>
          <w:bCs/>
          <w:kern w:val="0"/>
          <w:sz w:val="30"/>
          <w:szCs w:val="30"/>
          <w:highlight w:val="none"/>
          <w:lang w:val="en-US" w:eastAsia="zh-CN" w:bidi="ar"/>
        </w:rPr>
        <w:t>采购需求</w:t>
      </w:r>
    </w:p>
    <w:p w14:paraId="6BA624E3">
      <w:pPr>
        <w:pStyle w:val="3"/>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32830060">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根据“达州市公立医院改革与高质量发展示范项目”要求及“大竹县智慧大竹健康服务体系”建设规划，</w:t>
      </w:r>
      <w:bookmarkStart w:id="1" w:name="_GoBack"/>
      <w:bookmarkEnd w:id="1"/>
      <w:r>
        <w:rPr>
          <w:rFonts w:hint="eastAsia" w:ascii="仿宋" w:hAnsi="仿宋" w:eastAsia="仿宋" w:cs="仿宋"/>
          <w:color w:val="auto"/>
          <w:kern w:val="2"/>
          <w:sz w:val="28"/>
          <w:szCs w:val="28"/>
          <w:highlight w:val="none"/>
          <w:lang w:val="en-US" w:eastAsia="zh-CN" w:bidi="ar-SA"/>
        </w:rPr>
        <w:t>结合我院系统现状，采购人拟建设处方前置审核系统。通过相关信息系统开展“智能审核+药师复核”的处方前置审核模式。</w:t>
      </w:r>
    </w:p>
    <w:p w14:paraId="771A268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2145BB3">
      <w:pPr>
        <w:pStyle w:val="12"/>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298000.00</w:t>
      </w:r>
    </w:p>
    <w:p w14:paraId="60CA604F">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298000.00</w:t>
      </w:r>
    </w:p>
    <w:p w14:paraId="10902A38">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技术参数要求</w:t>
      </w:r>
    </w:p>
    <w:p w14:paraId="1F02CC80">
      <w:pPr>
        <w:pStyle w:val="12"/>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（一）系统整体要求</w:t>
      </w:r>
    </w:p>
    <w:p w14:paraId="35CE22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kern w:val="2"/>
          <w:sz w:val="28"/>
          <w:szCs w:val="28"/>
          <w:highlight w:val="none"/>
          <w:lang w:val="en-US" w:eastAsia="zh-CN" w:bidi="ar-SA"/>
        </w:rPr>
        <w:t>支持与 HIS 系统建立熔断机制以保障意外情况下临床业务不受影响。</w:t>
      </w:r>
    </w:p>
    <w:p w14:paraId="12BDE8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支持药品目录按国家食品药品管理局发布的本位码进行管理。</w:t>
      </w:r>
    </w:p>
    <w:p w14:paraId="171596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3、支持服务器缓存技术以避免软件长期使用后可能会出现的卡顿问题。</w:t>
      </w:r>
    </w:p>
    <w:p w14:paraId="3E5091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4、支持权限管理，可对现有系统所有功能模块及使用系统的药师角色进行快速的权限对应，实现药剂科室更高效的人员管理，有助于工作效率的提升。</w:t>
      </w:r>
    </w:p>
    <w:p w14:paraId="06A2C7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5、支持规则自定义，所有药品规则包括禁忌症、适应症、相互作用、注射剂配伍、重复用药等均需支持用户自定义。</w:t>
      </w:r>
    </w:p>
    <w:p w14:paraId="485B4D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6、为提高本项目相关的业务系统操作便利性，供应商在与采购人现有HIS、电子病历、LIS、PACS、合理用药、处方点评等信息系统进行系统对接时，需实现嵌入式对接，医护人员无感切换，满足业务流程需求。</w:t>
      </w:r>
    </w:p>
    <w:p w14:paraId="46ADD6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7、本项目包含采购人现有相关业务系统与之对接的所有接口费用。</w:t>
      </w:r>
    </w:p>
    <w:p w14:paraId="06D94EDA">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（二）参数功能要求</w:t>
      </w:r>
    </w:p>
    <w:p w14:paraId="6AFE92E0">
      <w:pPr>
        <w:rPr>
          <w:rFonts w:hint="eastAsia" w:ascii="仿宋" w:hAnsi="仿宋" w:eastAsia="仿宋" w:cs="仿宋"/>
          <w:b/>
          <w:bCs/>
          <w:color w:val="auto"/>
          <w:kern w:val="2"/>
          <w:sz w:val="28"/>
          <w:szCs w:val="28"/>
          <w:highlight w:val="none"/>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378"/>
        <w:gridCol w:w="5580"/>
      </w:tblGrid>
      <w:tr w14:paraId="3E8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98" w:type="dxa"/>
          </w:tcPr>
          <w:p w14:paraId="53246CCC">
            <w:pPr>
              <w:pStyle w:val="16"/>
              <w:widowControl w:val="0"/>
              <w:spacing w:before="109" w:line="219" w:lineRule="auto"/>
              <w:jc w:val="center"/>
              <w:rPr>
                <w:rFonts w:hint="eastAsia" w:ascii="仿宋" w:hAnsi="仿宋" w:eastAsia="仿宋" w:cs="仿宋"/>
                <w:spacing w:val="9"/>
                <w:sz w:val="24"/>
                <w:szCs w:val="24"/>
              </w:rPr>
            </w:pPr>
            <w:r>
              <w:rPr>
                <w:rFonts w:hint="eastAsia" w:ascii="仿宋" w:hAnsi="仿宋" w:eastAsia="仿宋" w:cs="仿宋"/>
                <w:spacing w:val="9"/>
                <w:sz w:val="24"/>
                <w:szCs w:val="24"/>
              </w:rPr>
              <w:t>功能模块</w:t>
            </w:r>
          </w:p>
        </w:tc>
        <w:tc>
          <w:tcPr>
            <w:tcW w:w="1559" w:type="dxa"/>
          </w:tcPr>
          <w:p w14:paraId="2B2157DE">
            <w:pPr>
              <w:pStyle w:val="16"/>
              <w:widowControl w:val="0"/>
              <w:spacing w:before="109" w:line="219" w:lineRule="auto"/>
              <w:jc w:val="center"/>
              <w:rPr>
                <w:rFonts w:hint="eastAsia" w:ascii="仿宋" w:hAnsi="仿宋" w:eastAsia="仿宋" w:cs="仿宋"/>
                <w:spacing w:val="9"/>
                <w:sz w:val="24"/>
                <w:szCs w:val="24"/>
              </w:rPr>
            </w:pPr>
            <w:r>
              <w:rPr>
                <w:rFonts w:hint="eastAsia" w:ascii="仿宋" w:hAnsi="仿宋" w:eastAsia="仿宋" w:cs="仿宋"/>
                <w:spacing w:val="9"/>
                <w:sz w:val="24"/>
                <w:szCs w:val="24"/>
              </w:rPr>
              <w:t>具体功能</w:t>
            </w:r>
          </w:p>
        </w:tc>
        <w:tc>
          <w:tcPr>
            <w:tcW w:w="6796" w:type="dxa"/>
          </w:tcPr>
          <w:p w14:paraId="3F8DCF67">
            <w:pPr>
              <w:pStyle w:val="16"/>
              <w:widowControl w:val="0"/>
              <w:spacing w:before="109" w:line="219" w:lineRule="auto"/>
              <w:ind w:left="525"/>
              <w:jc w:val="center"/>
              <w:rPr>
                <w:rFonts w:hint="eastAsia" w:ascii="仿宋" w:hAnsi="仿宋" w:eastAsia="仿宋" w:cs="仿宋"/>
                <w:spacing w:val="9"/>
                <w:sz w:val="24"/>
                <w:szCs w:val="24"/>
              </w:rPr>
            </w:pPr>
            <w:r>
              <w:rPr>
                <w:rFonts w:hint="eastAsia" w:ascii="仿宋" w:hAnsi="仿宋" w:eastAsia="仿宋" w:cs="仿宋"/>
                <w:spacing w:val="9"/>
                <w:sz w:val="24"/>
                <w:szCs w:val="24"/>
              </w:rPr>
              <w:t>详细要求</w:t>
            </w:r>
          </w:p>
        </w:tc>
      </w:tr>
      <w:tr w14:paraId="58E2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restart"/>
          </w:tcPr>
          <w:p w14:paraId="2AB58657">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一、药师审方干预模块</w:t>
            </w:r>
          </w:p>
          <w:p w14:paraId="0DF3E6B3">
            <w:pPr>
              <w:pStyle w:val="16"/>
              <w:widowControl w:val="0"/>
              <w:spacing w:before="109" w:line="219" w:lineRule="auto"/>
              <w:ind w:left="525"/>
              <w:jc w:val="both"/>
              <w:rPr>
                <w:rFonts w:hint="eastAsia" w:ascii="仿宋" w:hAnsi="仿宋" w:eastAsia="仿宋" w:cs="仿宋"/>
                <w:spacing w:val="9"/>
                <w:sz w:val="24"/>
                <w:szCs w:val="24"/>
                <w:lang w:eastAsia="zh-CN"/>
              </w:rPr>
            </w:pPr>
          </w:p>
          <w:p w14:paraId="36F11CBE">
            <w:pPr>
              <w:pStyle w:val="16"/>
              <w:widowControl w:val="0"/>
              <w:spacing w:before="109" w:line="219" w:lineRule="auto"/>
              <w:ind w:left="525"/>
              <w:jc w:val="both"/>
              <w:rPr>
                <w:rFonts w:hint="eastAsia" w:ascii="仿宋" w:hAnsi="仿宋" w:eastAsia="仿宋" w:cs="仿宋"/>
                <w:spacing w:val="9"/>
                <w:sz w:val="24"/>
                <w:szCs w:val="24"/>
                <w:lang w:eastAsia="zh-CN"/>
              </w:rPr>
            </w:pPr>
          </w:p>
          <w:p w14:paraId="1CC02E02">
            <w:pPr>
              <w:pStyle w:val="16"/>
              <w:widowControl w:val="0"/>
              <w:spacing w:before="109" w:line="219" w:lineRule="auto"/>
              <w:ind w:left="525"/>
              <w:jc w:val="both"/>
              <w:rPr>
                <w:rFonts w:hint="eastAsia" w:ascii="仿宋" w:hAnsi="仿宋" w:eastAsia="仿宋" w:cs="仿宋"/>
                <w:spacing w:val="9"/>
                <w:sz w:val="24"/>
                <w:szCs w:val="24"/>
                <w:lang w:eastAsia="zh-CN"/>
              </w:rPr>
            </w:pPr>
          </w:p>
          <w:p w14:paraId="2EEFE4E6">
            <w:pPr>
              <w:pStyle w:val="16"/>
              <w:widowControl w:val="0"/>
              <w:spacing w:before="109" w:line="219" w:lineRule="auto"/>
              <w:ind w:left="525"/>
              <w:jc w:val="both"/>
              <w:rPr>
                <w:rFonts w:hint="eastAsia" w:ascii="仿宋" w:hAnsi="仿宋" w:eastAsia="仿宋" w:cs="仿宋"/>
                <w:spacing w:val="9"/>
                <w:sz w:val="24"/>
                <w:szCs w:val="24"/>
                <w:lang w:eastAsia="zh-CN"/>
              </w:rPr>
            </w:pPr>
          </w:p>
          <w:p w14:paraId="7332A130">
            <w:pPr>
              <w:pStyle w:val="16"/>
              <w:widowControl w:val="0"/>
              <w:spacing w:before="109" w:line="219" w:lineRule="auto"/>
              <w:ind w:left="525"/>
              <w:jc w:val="both"/>
              <w:rPr>
                <w:rFonts w:hint="eastAsia" w:ascii="仿宋" w:hAnsi="仿宋" w:eastAsia="仿宋" w:cs="仿宋"/>
                <w:spacing w:val="9"/>
                <w:sz w:val="24"/>
                <w:szCs w:val="24"/>
                <w:lang w:eastAsia="zh-CN"/>
              </w:rPr>
            </w:pPr>
          </w:p>
          <w:p w14:paraId="46D15D8D">
            <w:pPr>
              <w:pStyle w:val="16"/>
              <w:widowControl w:val="0"/>
              <w:spacing w:before="109" w:line="219" w:lineRule="auto"/>
              <w:ind w:left="525"/>
              <w:jc w:val="both"/>
              <w:rPr>
                <w:rFonts w:hint="eastAsia" w:ascii="仿宋" w:hAnsi="仿宋" w:eastAsia="仿宋" w:cs="仿宋"/>
                <w:spacing w:val="9"/>
                <w:sz w:val="24"/>
                <w:szCs w:val="24"/>
                <w:lang w:eastAsia="zh-CN"/>
              </w:rPr>
            </w:pPr>
          </w:p>
          <w:p w14:paraId="32741976">
            <w:pPr>
              <w:pStyle w:val="16"/>
              <w:widowControl w:val="0"/>
              <w:spacing w:before="109" w:line="219" w:lineRule="auto"/>
              <w:ind w:left="525"/>
              <w:jc w:val="both"/>
              <w:rPr>
                <w:rFonts w:hint="eastAsia" w:ascii="仿宋" w:hAnsi="仿宋" w:eastAsia="仿宋" w:cs="仿宋"/>
                <w:spacing w:val="9"/>
                <w:sz w:val="24"/>
                <w:szCs w:val="24"/>
                <w:lang w:eastAsia="zh-CN"/>
              </w:rPr>
            </w:pPr>
          </w:p>
          <w:p w14:paraId="271344F4">
            <w:pPr>
              <w:pStyle w:val="16"/>
              <w:widowControl w:val="0"/>
              <w:spacing w:before="109" w:line="219" w:lineRule="auto"/>
              <w:ind w:left="525"/>
              <w:jc w:val="both"/>
              <w:rPr>
                <w:rFonts w:hint="eastAsia" w:ascii="仿宋" w:hAnsi="仿宋" w:eastAsia="仿宋" w:cs="仿宋"/>
                <w:spacing w:val="9"/>
                <w:sz w:val="24"/>
                <w:szCs w:val="24"/>
                <w:lang w:eastAsia="zh-CN"/>
              </w:rPr>
            </w:pPr>
          </w:p>
          <w:p w14:paraId="14A72B11">
            <w:pPr>
              <w:pStyle w:val="16"/>
              <w:widowControl w:val="0"/>
              <w:spacing w:before="109" w:line="219" w:lineRule="auto"/>
              <w:ind w:left="525"/>
              <w:jc w:val="both"/>
              <w:rPr>
                <w:rFonts w:hint="eastAsia" w:ascii="仿宋" w:hAnsi="仿宋" w:eastAsia="仿宋" w:cs="仿宋"/>
                <w:spacing w:val="9"/>
                <w:sz w:val="24"/>
                <w:szCs w:val="24"/>
                <w:lang w:eastAsia="zh-CN"/>
              </w:rPr>
            </w:pPr>
          </w:p>
          <w:p w14:paraId="375BBDEA">
            <w:pPr>
              <w:pStyle w:val="16"/>
              <w:widowControl w:val="0"/>
              <w:spacing w:before="109" w:line="219" w:lineRule="auto"/>
              <w:ind w:left="525"/>
              <w:jc w:val="both"/>
              <w:rPr>
                <w:rFonts w:hint="eastAsia" w:ascii="仿宋" w:hAnsi="仿宋" w:eastAsia="仿宋" w:cs="仿宋"/>
                <w:spacing w:val="9"/>
                <w:sz w:val="24"/>
                <w:szCs w:val="24"/>
                <w:lang w:eastAsia="zh-CN"/>
              </w:rPr>
            </w:pPr>
          </w:p>
          <w:p w14:paraId="2D478FD9">
            <w:pPr>
              <w:pStyle w:val="16"/>
              <w:widowControl w:val="0"/>
              <w:spacing w:before="109" w:line="219" w:lineRule="auto"/>
              <w:ind w:left="525"/>
              <w:jc w:val="both"/>
              <w:rPr>
                <w:rFonts w:hint="eastAsia" w:ascii="仿宋" w:hAnsi="仿宋" w:eastAsia="仿宋" w:cs="仿宋"/>
                <w:spacing w:val="9"/>
                <w:sz w:val="24"/>
                <w:szCs w:val="24"/>
                <w:lang w:eastAsia="zh-CN"/>
              </w:rPr>
            </w:pPr>
          </w:p>
          <w:p w14:paraId="637CB887">
            <w:pPr>
              <w:pStyle w:val="16"/>
              <w:widowControl w:val="0"/>
              <w:spacing w:before="109" w:line="219" w:lineRule="auto"/>
              <w:ind w:left="525"/>
              <w:jc w:val="both"/>
              <w:rPr>
                <w:rFonts w:hint="eastAsia" w:ascii="仿宋" w:hAnsi="仿宋" w:eastAsia="仿宋" w:cs="仿宋"/>
                <w:spacing w:val="9"/>
                <w:sz w:val="24"/>
                <w:szCs w:val="24"/>
                <w:lang w:eastAsia="zh-CN"/>
              </w:rPr>
            </w:pPr>
          </w:p>
          <w:p w14:paraId="1B4A27C3">
            <w:pPr>
              <w:pStyle w:val="16"/>
              <w:widowControl w:val="0"/>
              <w:spacing w:before="109" w:line="219" w:lineRule="auto"/>
              <w:ind w:left="525"/>
              <w:jc w:val="both"/>
              <w:rPr>
                <w:rFonts w:hint="eastAsia" w:ascii="仿宋" w:hAnsi="仿宋" w:eastAsia="仿宋" w:cs="仿宋"/>
                <w:spacing w:val="9"/>
                <w:sz w:val="24"/>
                <w:szCs w:val="24"/>
                <w:lang w:eastAsia="zh-CN"/>
              </w:rPr>
            </w:pPr>
          </w:p>
          <w:p w14:paraId="707F0C8A">
            <w:pPr>
              <w:pStyle w:val="16"/>
              <w:widowControl w:val="0"/>
              <w:spacing w:before="109" w:line="219" w:lineRule="auto"/>
              <w:ind w:left="525"/>
              <w:jc w:val="both"/>
              <w:rPr>
                <w:rFonts w:hint="eastAsia" w:ascii="仿宋" w:hAnsi="仿宋" w:eastAsia="仿宋" w:cs="仿宋"/>
                <w:spacing w:val="9"/>
                <w:sz w:val="24"/>
                <w:szCs w:val="24"/>
                <w:lang w:eastAsia="zh-CN"/>
              </w:rPr>
            </w:pPr>
          </w:p>
          <w:p w14:paraId="5217F64C">
            <w:pPr>
              <w:pStyle w:val="16"/>
              <w:widowControl w:val="0"/>
              <w:spacing w:before="109" w:line="219" w:lineRule="auto"/>
              <w:ind w:left="525"/>
              <w:jc w:val="both"/>
              <w:rPr>
                <w:rFonts w:hint="eastAsia" w:ascii="仿宋" w:hAnsi="仿宋" w:eastAsia="仿宋" w:cs="仿宋"/>
                <w:spacing w:val="9"/>
                <w:sz w:val="24"/>
                <w:szCs w:val="24"/>
                <w:lang w:eastAsia="zh-CN"/>
              </w:rPr>
            </w:pPr>
          </w:p>
          <w:p w14:paraId="6AC20D57">
            <w:pPr>
              <w:pStyle w:val="16"/>
              <w:widowControl w:val="0"/>
              <w:spacing w:before="109" w:line="219" w:lineRule="auto"/>
              <w:ind w:left="525"/>
              <w:jc w:val="both"/>
              <w:rPr>
                <w:rFonts w:hint="eastAsia" w:ascii="仿宋" w:hAnsi="仿宋" w:eastAsia="仿宋" w:cs="仿宋"/>
                <w:spacing w:val="9"/>
                <w:sz w:val="24"/>
                <w:szCs w:val="24"/>
                <w:lang w:eastAsia="zh-CN"/>
              </w:rPr>
            </w:pPr>
          </w:p>
          <w:p w14:paraId="74E7E15C">
            <w:pPr>
              <w:pStyle w:val="16"/>
              <w:widowControl w:val="0"/>
              <w:spacing w:before="109" w:line="219" w:lineRule="auto"/>
              <w:ind w:left="525"/>
              <w:jc w:val="both"/>
              <w:rPr>
                <w:rFonts w:hint="eastAsia" w:ascii="仿宋" w:hAnsi="仿宋" w:eastAsia="仿宋" w:cs="仿宋"/>
                <w:spacing w:val="9"/>
                <w:sz w:val="24"/>
                <w:szCs w:val="24"/>
                <w:lang w:eastAsia="zh-CN"/>
              </w:rPr>
            </w:pPr>
          </w:p>
          <w:p w14:paraId="37274E48">
            <w:pPr>
              <w:pStyle w:val="16"/>
              <w:widowControl w:val="0"/>
              <w:spacing w:before="109" w:line="219" w:lineRule="auto"/>
              <w:ind w:left="525"/>
              <w:jc w:val="both"/>
              <w:rPr>
                <w:rFonts w:hint="eastAsia" w:ascii="仿宋" w:hAnsi="仿宋" w:eastAsia="仿宋" w:cs="仿宋"/>
                <w:spacing w:val="9"/>
                <w:sz w:val="24"/>
                <w:szCs w:val="24"/>
                <w:lang w:eastAsia="zh-CN"/>
              </w:rPr>
            </w:pPr>
          </w:p>
          <w:p w14:paraId="2A0386EA">
            <w:pPr>
              <w:pStyle w:val="16"/>
              <w:widowControl w:val="0"/>
              <w:spacing w:before="109" w:line="219" w:lineRule="auto"/>
              <w:ind w:left="525"/>
              <w:jc w:val="both"/>
              <w:rPr>
                <w:rFonts w:hint="eastAsia" w:ascii="仿宋" w:hAnsi="仿宋" w:eastAsia="仿宋" w:cs="仿宋"/>
                <w:spacing w:val="9"/>
                <w:sz w:val="24"/>
                <w:szCs w:val="24"/>
                <w:lang w:eastAsia="zh-CN"/>
              </w:rPr>
            </w:pPr>
          </w:p>
          <w:p w14:paraId="4CFC45DD">
            <w:pPr>
              <w:pStyle w:val="16"/>
              <w:widowControl w:val="0"/>
              <w:spacing w:before="109" w:line="219" w:lineRule="auto"/>
              <w:ind w:left="525"/>
              <w:jc w:val="both"/>
              <w:rPr>
                <w:rFonts w:hint="eastAsia" w:ascii="仿宋" w:hAnsi="仿宋" w:eastAsia="仿宋" w:cs="仿宋"/>
                <w:spacing w:val="9"/>
                <w:sz w:val="24"/>
                <w:szCs w:val="24"/>
              </w:rPr>
            </w:pPr>
          </w:p>
          <w:p w14:paraId="7E4461FC">
            <w:pPr>
              <w:pStyle w:val="16"/>
              <w:widowControl w:val="0"/>
              <w:spacing w:before="109" w:line="219" w:lineRule="auto"/>
              <w:ind w:left="525"/>
              <w:jc w:val="both"/>
              <w:rPr>
                <w:rFonts w:hint="eastAsia" w:ascii="仿宋" w:hAnsi="仿宋" w:eastAsia="仿宋" w:cs="仿宋"/>
                <w:spacing w:val="9"/>
                <w:sz w:val="24"/>
                <w:szCs w:val="24"/>
              </w:rPr>
            </w:pPr>
          </w:p>
          <w:p w14:paraId="3969340E">
            <w:pPr>
              <w:pStyle w:val="16"/>
              <w:widowControl w:val="0"/>
              <w:spacing w:before="109" w:line="219" w:lineRule="auto"/>
              <w:ind w:left="525"/>
              <w:jc w:val="both"/>
              <w:rPr>
                <w:rFonts w:hint="eastAsia" w:ascii="仿宋" w:hAnsi="仿宋" w:eastAsia="仿宋" w:cs="仿宋"/>
                <w:spacing w:val="9"/>
                <w:sz w:val="24"/>
                <w:szCs w:val="24"/>
              </w:rPr>
            </w:pPr>
          </w:p>
          <w:p w14:paraId="0ED46A29">
            <w:pPr>
              <w:pStyle w:val="16"/>
              <w:widowControl w:val="0"/>
              <w:spacing w:before="109" w:line="219" w:lineRule="auto"/>
              <w:ind w:left="525"/>
              <w:jc w:val="both"/>
              <w:rPr>
                <w:rFonts w:hint="eastAsia" w:ascii="仿宋" w:hAnsi="仿宋" w:eastAsia="仿宋" w:cs="仿宋"/>
                <w:spacing w:val="9"/>
                <w:sz w:val="24"/>
                <w:szCs w:val="24"/>
              </w:rPr>
            </w:pPr>
          </w:p>
          <w:p w14:paraId="50ED6929">
            <w:pPr>
              <w:pStyle w:val="16"/>
              <w:widowControl w:val="0"/>
              <w:spacing w:before="109" w:line="219" w:lineRule="auto"/>
              <w:ind w:left="525"/>
              <w:jc w:val="both"/>
              <w:rPr>
                <w:rFonts w:hint="eastAsia" w:ascii="仿宋" w:hAnsi="仿宋" w:eastAsia="仿宋" w:cs="仿宋"/>
                <w:spacing w:val="9"/>
                <w:sz w:val="24"/>
                <w:szCs w:val="24"/>
              </w:rPr>
            </w:pPr>
          </w:p>
          <w:p w14:paraId="68CCEFB6">
            <w:pPr>
              <w:pStyle w:val="16"/>
              <w:widowControl w:val="0"/>
              <w:spacing w:before="109" w:line="219" w:lineRule="auto"/>
              <w:ind w:left="525"/>
              <w:jc w:val="both"/>
              <w:rPr>
                <w:rFonts w:hint="eastAsia" w:ascii="仿宋" w:hAnsi="仿宋" w:eastAsia="仿宋" w:cs="仿宋"/>
                <w:spacing w:val="9"/>
                <w:sz w:val="24"/>
                <w:szCs w:val="24"/>
              </w:rPr>
            </w:pPr>
          </w:p>
          <w:p w14:paraId="3E159167">
            <w:pPr>
              <w:pStyle w:val="16"/>
              <w:widowControl w:val="0"/>
              <w:spacing w:before="109" w:line="219" w:lineRule="auto"/>
              <w:ind w:left="525"/>
              <w:jc w:val="both"/>
              <w:rPr>
                <w:rFonts w:hint="eastAsia" w:ascii="仿宋" w:hAnsi="仿宋" w:eastAsia="仿宋" w:cs="仿宋"/>
                <w:spacing w:val="9"/>
                <w:sz w:val="24"/>
                <w:szCs w:val="24"/>
              </w:rPr>
            </w:pPr>
          </w:p>
          <w:p w14:paraId="2164EF06">
            <w:pPr>
              <w:pStyle w:val="16"/>
              <w:widowControl w:val="0"/>
              <w:spacing w:before="109" w:line="219" w:lineRule="auto"/>
              <w:ind w:left="525"/>
              <w:jc w:val="both"/>
              <w:rPr>
                <w:rFonts w:hint="eastAsia" w:ascii="仿宋" w:hAnsi="仿宋" w:eastAsia="仿宋" w:cs="仿宋"/>
                <w:spacing w:val="9"/>
                <w:sz w:val="24"/>
                <w:szCs w:val="24"/>
              </w:rPr>
            </w:pPr>
          </w:p>
          <w:p w14:paraId="7C3861CE">
            <w:pPr>
              <w:pStyle w:val="16"/>
              <w:widowControl w:val="0"/>
              <w:spacing w:before="109" w:line="219" w:lineRule="auto"/>
              <w:ind w:left="525"/>
              <w:jc w:val="both"/>
              <w:rPr>
                <w:rFonts w:hint="eastAsia" w:ascii="仿宋" w:hAnsi="仿宋" w:eastAsia="仿宋" w:cs="仿宋"/>
                <w:spacing w:val="9"/>
                <w:sz w:val="24"/>
                <w:szCs w:val="24"/>
              </w:rPr>
            </w:pPr>
          </w:p>
          <w:p w14:paraId="016402E9">
            <w:pPr>
              <w:pStyle w:val="16"/>
              <w:widowControl w:val="0"/>
              <w:spacing w:before="109" w:line="219" w:lineRule="auto"/>
              <w:ind w:left="525"/>
              <w:jc w:val="both"/>
              <w:rPr>
                <w:rFonts w:hint="eastAsia" w:ascii="仿宋" w:hAnsi="仿宋" w:eastAsia="仿宋" w:cs="仿宋"/>
                <w:spacing w:val="9"/>
                <w:sz w:val="24"/>
                <w:szCs w:val="24"/>
              </w:rPr>
            </w:pPr>
          </w:p>
          <w:p w14:paraId="6578D5D6">
            <w:pPr>
              <w:pStyle w:val="16"/>
              <w:widowControl w:val="0"/>
              <w:spacing w:before="109" w:line="219" w:lineRule="auto"/>
              <w:ind w:left="525"/>
              <w:jc w:val="both"/>
              <w:rPr>
                <w:rFonts w:hint="eastAsia" w:ascii="仿宋" w:hAnsi="仿宋" w:eastAsia="仿宋" w:cs="仿宋"/>
                <w:spacing w:val="9"/>
                <w:sz w:val="24"/>
                <w:szCs w:val="24"/>
              </w:rPr>
            </w:pPr>
          </w:p>
          <w:p w14:paraId="1E313BEB">
            <w:pPr>
              <w:pStyle w:val="16"/>
              <w:widowControl w:val="0"/>
              <w:spacing w:before="109" w:line="219" w:lineRule="auto"/>
              <w:ind w:left="525"/>
              <w:jc w:val="both"/>
              <w:rPr>
                <w:rFonts w:hint="eastAsia" w:ascii="仿宋" w:hAnsi="仿宋" w:eastAsia="仿宋" w:cs="仿宋"/>
                <w:spacing w:val="9"/>
                <w:sz w:val="24"/>
                <w:szCs w:val="24"/>
              </w:rPr>
            </w:pPr>
          </w:p>
          <w:p w14:paraId="41897180">
            <w:pPr>
              <w:pStyle w:val="16"/>
              <w:widowControl w:val="0"/>
              <w:spacing w:before="109" w:line="219" w:lineRule="auto"/>
              <w:ind w:left="525"/>
              <w:jc w:val="both"/>
              <w:rPr>
                <w:rFonts w:hint="eastAsia" w:ascii="仿宋" w:hAnsi="仿宋" w:eastAsia="仿宋" w:cs="仿宋"/>
                <w:spacing w:val="9"/>
                <w:sz w:val="24"/>
                <w:szCs w:val="24"/>
              </w:rPr>
            </w:pPr>
          </w:p>
          <w:p w14:paraId="36DEE533">
            <w:pPr>
              <w:pStyle w:val="16"/>
              <w:widowControl w:val="0"/>
              <w:spacing w:before="109" w:line="219" w:lineRule="auto"/>
              <w:ind w:left="525"/>
              <w:jc w:val="both"/>
              <w:rPr>
                <w:rFonts w:hint="eastAsia" w:ascii="仿宋" w:hAnsi="仿宋" w:eastAsia="仿宋" w:cs="仿宋"/>
                <w:spacing w:val="9"/>
                <w:sz w:val="24"/>
                <w:szCs w:val="24"/>
              </w:rPr>
            </w:pPr>
          </w:p>
          <w:p w14:paraId="18D7DCF1">
            <w:pPr>
              <w:pStyle w:val="16"/>
              <w:widowControl w:val="0"/>
              <w:spacing w:before="109" w:line="219" w:lineRule="auto"/>
              <w:ind w:left="525"/>
              <w:jc w:val="both"/>
              <w:rPr>
                <w:rFonts w:hint="eastAsia" w:ascii="仿宋" w:hAnsi="仿宋" w:eastAsia="仿宋" w:cs="仿宋"/>
                <w:spacing w:val="9"/>
                <w:sz w:val="24"/>
                <w:szCs w:val="24"/>
              </w:rPr>
            </w:pPr>
          </w:p>
          <w:p w14:paraId="074734E9">
            <w:pPr>
              <w:pStyle w:val="16"/>
              <w:widowControl w:val="0"/>
              <w:spacing w:before="109" w:line="219" w:lineRule="auto"/>
              <w:ind w:left="525"/>
              <w:jc w:val="both"/>
              <w:rPr>
                <w:rFonts w:hint="eastAsia" w:ascii="仿宋" w:hAnsi="仿宋" w:eastAsia="仿宋" w:cs="仿宋"/>
                <w:spacing w:val="9"/>
                <w:sz w:val="24"/>
                <w:szCs w:val="24"/>
              </w:rPr>
            </w:pPr>
          </w:p>
          <w:p w14:paraId="589CA056">
            <w:pPr>
              <w:pStyle w:val="16"/>
              <w:widowControl w:val="0"/>
              <w:spacing w:before="109" w:line="219" w:lineRule="auto"/>
              <w:ind w:left="525"/>
              <w:jc w:val="both"/>
              <w:rPr>
                <w:rFonts w:hint="eastAsia" w:ascii="仿宋" w:hAnsi="仿宋" w:eastAsia="仿宋" w:cs="仿宋"/>
                <w:spacing w:val="9"/>
                <w:sz w:val="24"/>
                <w:szCs w:val="24"/>
              </w:rPr>
            </w:pPr>
          </w:p>
          <w:p w14:paraId="6B8611A4">
            <w:pPr>
              <w:pStyle w:val="16"/>
              <w:widowControl w:val="0"/>
              <w:spacing w:before="109" w:line="219" w:lineRule="auto"/>
              <w:ind w:left="525"/>
              <w:jc w:val="both"/>
              <w:rPr>
                <w:rFonts w:hint="eastAsia" w:ascii="仿宋" w:hAnsi="仿宋" w:eastAsia="仿宋" w:cs="仿宋"/>
                <w:spacing w:val="9"/>
                <w:sz w:val="24"/>
                <w:szCs w:val="24"/>
              </w:rPr>
            </w:pPr>
          </w:p>
          <w:p w14:paraId="088EA24C">
            <w:pPr>
              <w:pStyle w:val="16"/>
              <w:widowControl w:val="0"/>
              <w:spacing w:before="109" w:line="219" w:lineRule="auto"/>
              <w:ind w:left="525"/>
              <w:jc w:val="both"/>
              <w:rPr>
                <w:rFonts w:hint="eastAsia" w:ascii="仿宋" w:hAnsi="仿宋" w:eastAsia="仿宋" w:cs="仿宋"/>
                <w:spacing w:val="9"/>
                <w:sz w:val="24"/>
                <w:szCs w:val="24"/>
              </w:rPr>
            </w:pPr>
          </w:p>
          <w:p w14:paraId="661D36FD">
            <w:pPr>
              <w:pStyle w:val="16"/>
              <w:widowControl w:val="0"/>
              <w:spacing w:before="109" w:line="219" w:lineRule="auto"/>
              <w:ind w:left="525"/>
              <w:jc w:val="both"/>
              <w:rPr>
                <w:rFonts w:hint="eastAsia" w:ascii="仿宋" w:hAnsi="仿宋" w:eastAsia="仿宋" w:cs="仿宋"/>
                <w:spacing w:val="9"/>
                <w:sz w:val="24"/>
                <w:szCs w:val="24"/>
              </w:rPr>
            </w:pPr>
          </w:p>
          <w:p w14:paraId="2391587B">
            <w:pPr>
              <w:pStyle w:val="16"/>
              <w:widowControl w:val="0"/>
              <w:spacing w:before="109" w:line="219" w:lineRule="auto"/>
              <w:ind w:left="525"/>
              <w:jc w:val="both"/>
              <w:rPr>
                <w:rFonts w:hint="eastAsia" w:ascii="仿宋" w:hAnsi="仿宋" w:eastAsia="仿宋" w:cs="仿宋"/>
                <w:spacing w:val="9"/>
                <w:sz w:val="24"/>
                <w:szCs w:val="24"/>
              </w:rPr>
            </w:pPr>
          </w:p>
          <w:p w14:paraId="2F1A0D15">
            <w:pPr>
              <w:pStyle w:val="16"/>
              <w:widowControl w:val="0"/>
              <w:spacing w:before="109" w:line="219" w:lineRule="auto"/>
              <w:ind w:left="525"/>
              <w:jc w:val="both"/>
              <w:rPr>
                <w:rFonts w:hint="eastAsia" w:ascii="仿宋" w:hAnsi="仿宋" w:eastAsia="仿宋" w:cs="仿宋"/>
                <w:spacing w:val="9"/>
                <w:sz w:val="24"/>
                <w:szCs w:val="24"/>
              </w:rPr>
            </w:pPr>
          </w:p>
          <w:p w14:paraId="580C390B">
            <w:pPr>
              <w:pStyle w:val="16"/>
              <w:widowControl w:val="0"/>
              <w:spacing w:before="109" w:line="219" w:lineRule="auto"/>
              <w:ind w:left="525"/>
              <w:jc w:val="both"/>
              <w:rPr>
                <w:rFonts w:hint="eastAsia" w:ascii="仿宋" w:hAnsi="仿宋" w:eastAsia="仿宋" w:cs="仿宋"/>
                <w:spacing w:val="9"/>
                <w:sz w:val="24"/>
                <w:szCs w:val="24"/>
              </w:rPr>
            </w:pPr>
          </w:p>
          <w:p w14:paraId="796914E8">
            <w:pPr>
              <w:pStyle w:val="16"/>
              <w:widowControl w:val="0"/>
              <w:spacing w:before="109" w:line="219" w:lineRule="auto"/>
              <w:ind w:left="525"/>
              <w:jc w:val="both"/>
              <w:rPr>
                <w:rFonts w:hint="eastAsia" w:ascii="仿宋" w:hAnsi="仿宋" w:eastAsia="仿宋" w:cs="仿宋"/>
                <w:spacing w:val="9"/>
                <w:sz w:val="24"/>
                <w:szCs w:val="24"/>
              </w:rPr>
            </w:pPr>
          </w:p>
          <w:p w14:paraId="2510D1B1">
            <w:pPr>
              <w:pStyle w:val="16"/>
              <w:widowControl w:val="0"/>
              <w:spacing w:before="109" w:line="219" w:lineRule="auto"/>
              <w:ind w:left="525"/>
              <w:jc w:val="both"/>
              <w:rPr>
                <w:rFonts w:hint="eastAsia" w:ascii="仿宋" w:hAnsi="仿宋" w:eastAsia="仿宋" w:cs="仿宋"/>
                <w:spacing w:val="9"/>
                <w:sz w:val="24"/>
                <w:szCs w:val="24"/>
              </w:rPr>
            </w:pPr>
          </w:p>
          <w:p w14:paraId="628D7630">
            <w:pPr>
              <w:pStyle w:val="16"/>
              <w:widowControl w:val="0"/>
              <w:spacing w:before="109" w:line="219" w:lineRule="auto"/>
              <w:ind w:left="525"/>
              <w:jc w:val="both"/>
              <w:rPr>
                <w:rFonts w:hint="eastAsia" w:ascii="仿宋" w:hAnsi="仿宋" w:eastAsia="仿宋" w:cs="仿宋"/>
                <w:spacing w:val="9"/>
                <w:sz w:val="24"/>
                <w:szCs w:val="24"/>
              </w:rPr>
            </w:pPr>
          </w:p>
          <w:p w14:paraId="60D40938">
            <w:pPr>
              <w:pStyle w:val="16"/>
              <w:widowControl w:val="0"/>
              <w:spacing w:before="109" w:line="219" w:lineRule="auto"/>
              <w:ind w:left="525"/>
              <w:jc w:val="both"/>
              <w:rPr>
                <w:rFonts w:hint="eastAsia" w:ascii="仿宋" w:hAnsi="仿宋" w:eastAsia="仿宋" w:cs="仿宋"/>
                <w:spacing w:val="9"/>
                <w:sz w:val="24"/>
                <w:szCs w:val="24"/>
              </w:rPr>
            </w:pPr>
          </w:p>
          <w:p w14:paraId="146AE266">
            <w:pPr>
              <w:pStyle w:val="16"/>
              <w:widowControl w:val="0"/>
              <w:spacing w:before="109" w:line="219" w:lineRule="auto"/>
              <w:ind w:left="525"/>
              <w:jc w:val="both"/>
              <w:rPr>
                <w:rFonts w:hint="eastAsia" w:ascii="仿宋" w:hAnsi="仿宋" w:eastAsia="仿宋" w:cs="仿宋"/>
                <w:spacing w:val="9"/>
                <w:sz w:val="24"/>
                <w:szCs w:val="24"/>
              </w:rPr>
            </w:pPr>
          </w:p>
          <w:p w14:paraId="7E24BC0A">
            <w:pPr>
              <w:pStyle w:val="16"/>
              <w:widowControl w:val="0"/>
              <w:spacing w:before="109" w:line="219" w:lineRule="auto"/>
              <w:ind w:left="525"/>
              <w:jc w:val="both"/>
              <w:rPr>
                <w:rFonts w:hint="eastAsia" w:ascii="仿宋" w:hAnsi="仿宋" w:eastAsia="仿宋" w:cs="仿宋"/>
                <w:spacing w:val="9"/>
                <w:sz w:val="24"/>
                <w:szCs w:val="24"/>
              </w:rPr>
            </w:pPr>
          </w:p>
          <w:p w14:paraId="43F7C492">
            <w:pPr>
              <w:pStyle w:val="16"/>
              <w:widowControl w:val="0"/>
              <w:spacing w:before="109" w:line="219" w:lineRule="auto"/>
              <w:ind w:left="525"/>
              <w:jc w:val="both"/>
              <w:rPr>
                <w:rFonts w:hint="eastAsia" w:ascii="仿宋" w:hAnsi="仿宋" w:eastAsia="仿宋" w:cs="仿宋"/>
                <w:spacing w:val="9"/>
                <w:sz w:val="24"/>
                <w:szCs w:val="24"/>
              </w:rPr>
            </w:pPr>
          </w:p>
          <w:p w14:paraId="78297FBE">
            <w:pPr>
              <w:pStyle w:val="16"/>
              <w:widowControl w:val="0"/>
              <w:spacing w:before="109" w:line="219" w:lineRule="auto"/>
              <w:ind w:left="525"/>
              <w:jc w:val="both"/>
              <w:rPr>
                <w:rFonts w:hint="eastAsia" w:ascii="仿宋" w:hAnsi="仿宋" w:eastAsia="仿宋" w:cs="仿宋"/>
                <w:spacing w:val="9"/>
                <w:sz w:val="24"/>
                <w:szCs w:val="24"/>
              </w:rPr>
            </w:pPr>
          </w:p>
          <w:p w14:paraId="6C26E4BC">
            <w:pPr>
              <w:pStyle w:val="16"/>
              <w:widowControl w:val="0"/>
              <w:spacing w:before="109" w:line="219" w:lineRule="auto"/>
              <w:ind w:left="525"/>
              <w:jc w:val="both"/>
              <w:rPr>
                <w:rFonts w:hint="eastAsia" w:ascii="仿宋" w:hAnsi="仿宋" w:eastAsia="仿宋" w:cs="仿宋"/>
                <w:spacing w:val="9"/>
                <w:sz w:val="24"/>
                <w:szCs w:val="24"/>
              </w:rPr>
            </w:pPr>
          </w:p>
          <w:p w14:paraId="5C75AAEA">
            <w:pPr>
              <w:pStyle w:val="16"/>
              <w:widowControl w:val="0"/>
              <w:spacing w:before="109" w:line="219" w:lineRule="auto"/>
              <w:ind w:left="525"/>
              <w:jc w:val="both"/>
              <w:rPr>
                <w:rFonts w:hint="eastAsia" w:ascii="仿宋" w:hAnsi="仿宋" w:eastAsia="仿宋" w:cs="仿宋"/>
                <w:spacing w:val="9"/>
                <w:sz w:val="24"/>
                <w:szCs w:val="24"/>
              </w:rPr>
            </w:pPr>
          </w:p>
          <w:p w14:paraId="60E72A4E">
            <w:pPr>
              <w:pStyle w:val="16"/>
              <w:widowControl w:val="0"/>
              <w:spacing w:before="109" w:line="219" w:lineRule="auto"/>
              <w:ind w:left="525"/>
              <w:jc w:val="both"/>
              <w:rPr>
                <w:rFonts w:hint="eastAsia" w:ascii="仿宋" w:hAnsi="仿宋" w:eastAsia="仿宋" w:cs="仿宋"/>
                <w:spacing w:val="9"/>
                <w:sz w:val="24"/>
                <w:szCs w:val="24"/>
              </w:rPr>
            </w:pPr>
          </w:p>
          <w:p w14:paraId="6FC30320">
            <w:pPr>
              <w:pStyle w:val="16"/>
              <w:widowControl w:val="0"/>
              <w:spacing w:before="109" w:line="219" w:lineRule="auto"/>
              <w:ind w:left="525"/>
              <w:jc w:val="both"/>
              <w:rPr>
                <w:rFonts w:hint="eastAsia" w:ascii="仿宋" w:hAnsi="仿宋" w:eastAsia="仿宋" w:cs="仿宋"/>
                <w:spacing w:val="9"/>
                <w:sz w:val="24"/>
                <w:szCs w:val="24"/>
              </w:rPr>
            </w:pPr>
          </w:p>
          <w:p w14:paraId="7AF1A574">
            <w:pPr>
              <w:pStyle w:val="16"/>
              <w:widowControl w:val="0"/>
              <w:spacing w:before="109" w:line="219" w:lineRule="auto"/>
              <w:ind w:left="525"/>
              <w:jc w:val="both"/>
              <w:rPr>
                <w:rFonts w:hint="eastAsia" w:ascii="仿宋" w:hAnsi="仿宋" w:eastAsia="仿宋" w:cs="仿宋"/>
                <w:spacing w:val="9"/>
                <w:sz w:val="24"/>
                <w:szCs w:val="24"/>
              </w:rPr>
            </w:pPr>
          </w:p>
          <w:p w14:paraId="0F1267D3">
            <w:pPr>
              <w:pStyle w:val="16"/>
              <w:widowControl w:val="0"/>
              <w:spacing w:before="109" w:line="219" w:lineRule="auto"/>
              <w:ind w:left="525"/>
              <w:jc w:val="both"/>
              <w:rPr>
                <w:rFonts w:hint="eastAsia" w:ascii="仿宋" w:hAnsi="仿宋" w:eastAsia="仿宋" w:cs="仿宋"/>
                <w:spacing w:val="9"/>
                <w:sz w:val="24"/>
                <w:szCs w:val="24"/>
              </w:rPr>
            </w:pPr>
          </w:p>
          <w:p w14:paraId="65E32413">
            <w:pPr>
              <w:pStyle w:val="16"/>
              <w:widowControl w:val="0"/>
              <w:spacing w:before="109" w:line="219" w:lineRule="auto"/>
              <w:ind w:left="525"/>
              <w:jc w:val="both"/>
              <w:rPr>
                <w:rFonts w:hint="eastAsia" w:ascii="仿宋" w:hAnsi="仿宋" w:eastAsia="仿宋" w:cs="仿宋"/>
                <w:spacing w:val="9"/>
                <w:sz w:val="24"/>
                <w:szCs w:val="24"/>
              </w:rPr>
            </w:pPr>
          </w:p>
          <w:p w14:paraId="630A5067">
            <w:pPr>
              <w:pStyle w:val="16"/>
              <w:widowControl w:val="0"/>
              <w:spacing w:before="109" w:line="219" w:lineRule="auto"/>
              <w:ind w:left="525"/>
              <w:jc w:val="both"/>
              <w:rPr>
                <w:rFonts w:hint="eastAsia" w:ascii="仿宋" w:hAnsi="仿宋" w:eastAsia="仿宋" w:cs="仿宋"/>
                <w:spacing w:val="9"/>
                <w:sz w:val="24"/>
                <w:szCs w:val="24"/>
              </w:rPr>
            </w:pPr>
          </w:p>
          <w:p w14:paraId="4C3D38C1">
            <w:pPr>
              <w:pStyle w:val="16"/>
              <w:widowControl w:val="0"/>
              <w:spacing w:before="109" w:line="219" w:lineRule="auto"/>
              <w:ind w:left="525"/>
              <w:jc w:val="both"/>
              <w:rPr>
                <w:rFonts w:hint="eastAsia" w:ascii="仿宋" w:hAnsi="仿宋" w:eastAsia="仿宋" w:cs="仿宋"/>
                <w:spacing w:val="9"/>
                <w:sz w:val="24"/>
                <w:szCs w:val="24"/>
              </w:rPr>
            </w:pPr>
          </w:p>
          <w:p w14:paraId="581BC72B">
            <w:pPr>
              <w:pStyle w:val="16"/>
              <w:widowControl w:val="0"/>
              <w:spacing w:before="109" w:line="219" w:lineRule="auto"/>
              <w:ind w:left="525"/>
              <w:jc w:val="both"/>
              <w:rPr>
                <w:rFonts w:hint="eastAsia" w:ascii="仿宋" w:hAnsi="仿宋" w:eastAsia="仿宋" w:cs="仿宋"/>
                <w:spacing w:val="9"/>
                <w:sz w:val="24"/>
                <w:szCs w:val="24"/>
              </w:rPr>
            </w:pPr>
          </w:p>
          <w:p w14:paraId="44E52975">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70B4C6A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1.审方时机和过程</w:t>
            </w:r>
          </w:p>
        </w:tc>
        <w:tc>
          <w:tcPr>
            <w:tcW w:w="6796" w:type="dxa"/>
          </w:tcPr>
          <w:p w14:paraId="2A5ABC0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eastAsia="zh-CN"/>
              </w:rPr>
              <w:t>系统可以为药师提供专门的审方工作平台，帮助门诊药师在患者缴费前完成门诊处方实时审查、住院药师在护士领药前完成住院医嘱审查。</w:t>
            </w:r>
            <w:r>
              <w:rPr>
                <w:rFonts w:hint="eastAsia" w:ascii="仿宋" w:hAnsi="仿宋" w:eastAsia="仿宋" w:cs="仿宋"/>
                <w:spacing w:val="9"/>
                <w:sz w:val="24"/>
                <w:szCs w:val="24"/>
              </w:rPr>
              <w:t>系统先自动审查出问题处方（医嘱），再由药师人工审查，审查过程中药师可以与医生实时互动，直到处方（医嘱）通过。必要时，药师可同时接收门诊、住院任务。</w:t>
            </w:r>
          </w:p>
        </w:tc>
      </w:tr>
      <w:tr w14:paraId="192C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0F3AAC4">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5198556A">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2.审方干预功能</w:t>
            </w:r>
          </w:p>
        </w:tc>
        <w:tc>
          <w:tcPr>
            <w:tcW w:w="6796" w:type="dxa"/>
          </w:tcPr>
          <w:p w14:paraId="034AEFB1">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2.1系统可主动分配任务给药师，任务来临时可用弹框提醒药师，点击弹框后即可自动跳转至审方页面。</w:t>
            </w:r>
          </w:p>
          <w:p w14:paraId="04AA1BAD">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2.2药师可设置单次可获取任务数，所获取的任务按时间先后顺序排列。</w:t>
            </w:r>
          </w:p>
          <w:p w14:paraId="5D99EE9E">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2.3药师审查时，可在审查界面一体化查看当前处方（医嘱）历史干预记录，如医生操作、用药理由等。</w:t>
            </w:r>
          </w:p>
          <w:p w14:paraId="6CBC3B55">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2.4药师审查时可查看当前处方（医嘱）历史修改版本信息。</w:t>
            </w:r>
          </w:p>
          <w:p w14:paraId="507B6CEF">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2.5药师可选择审核意见中的重点文字变色处理后发给医生。药师还可预设常用问题模板。</w:t>
            </w:r>
          </w:p>
          <w:p w14:paraId="32974CFA">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2.6药师可以根据不同任务情况选择医生处方（医嘱），可选择双签通过或药师复核。</w:t>
            </w:r>
          </w:p>
          <w:p w14:paraId="4741187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2.7若一张处方（医嘱）通过前有多个修改版本，系统可以标记每个版本的处置状态。</w:t>
            </w:r>
          </w:p>
        </w:tc>
      </w:tr>
      <w:tr w14:paraId="352D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586CC4EE">
            <w:pPr>
              <w:pStyle w:val="16"/>
              <w:widowControl w:val="0"/>
              <w:spacing w:before="109" w:line="219" w:lineRule="auto"/>
              <w:ind w:left="525"/>
              <w:jc w:val="both"/>
              <w:rPr>
                <w:rFonts w:hint="eastAsia" w:ascii="仿宋" w:hAnsi="仿宋" w:eastAsia="仿宋" w:cs="仿宋"/>
                <w:spacing w:val="9"/>
                <w:sz w:val="24"/>
                <w:szCs w:val="24"/>
                <w:lang w:eastAsia="zh-CN"/>
              </w:rPr>
            </w:pPr>
          </w:p>
        </w:tc>
        <w:tc>
          <w:tcPr>
            <w:tcW w:w="1559" w:type="dxa"/>
          </w:tcPr>
          <w:p w14:paraId="71B2AF8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3.审方干预自定义功能</w:t>
            </w:r>
          </w:p>
        </w:tc>
        <w:tc>
          <w:tcPr>
            <w:tcW w:w="6796" w:type="dxa"/>
          </w:tcPr>
          <w:p w14:paraId="6FC490DB">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3.1可将任意科室、医生、患者、疾病、药品设置为重点关注，可按科室、医生、患者、疾病、药品、问题类型、警示级别多条件组合设置重点关注，包含重点关注信息的处方由药师进行全面审查。</w:t>
            </w:r>
          </w:p>
          <w:p w14:paraId="2D4E106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eastAsia="zh-CN"/>
              </w:rPr>
              <w:t>3.2可以设置需要药师人工审查的问题处方（医嘱）审查项目和问题严重程度。</w:t>
            </w:r>
            <w:r>
              <w:rPr>
                <w:rFonts w:hint="eastAsia" w:ascii="仿宋" w:hAnsi="仿宋" w:eastAsia="仿宋" w:cs="仿宋"/>
                <w:spacing w:val="9"/>
                <w:sz w:val="24"/>
                <w:szCs w:val="24"/>
              </w:rPr>
              <w:t>系统审查后，问题严重程度低的处方（医嘱）直接通过，药师只审查问题严重程度高的问题处方（医嘱）即可。</w:t>
            </w:r>
          </w:p>
          <w:p w14:paraId="58A36B8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3.3审方时限设置：支持全院和分科室审方时限设置。超过规定时限，待审查处方自动通过。</w:t>
            </w:r>
          </w:p>
          <w:p w14:paraId="6C96303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rPr>
              <w:t>3.4可设置自动干预模式，并设置医生填写用药理由的模式。药师不在岗时，系统自动干预，医生填写用药理由后方可执行，支持全院和分科室设置</w:t>
            </w:r>
            <w:r>
              <w:rPr>
                <w:rFonts w:hint="eastAsia" w:ascii="仿宋" w:hAnsi="仿宋" w:eastAsia="仿宋" w:cs="仿宋"/>
                <w:spacing w:val="9"/>
                <w:sz w:val="24"/>
                <w:szCs w:val="24"/>
                <w:lang w:eastAsia="zh-CN"/>
              </w:rPr>
              <w:t>。</w:t>
            </w:r>
          </w:p>
          <w:p w14:paraId="52F753C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3.5 用户可设置双签模式，如所有任务医生双签药师都需复核、所有任务医生可双签通过药师无需复核、药师处理任务时再选择医生双签是否需要药师复核。</w:t>
            </w:r>
          </w:p>
        </w:tc>
      </w:tr>
      <w:tr w14:paraId="484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6A48952E">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7D2D058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4.系统审查</w:t>
            </w:r>
          </w:p>
        </w:tc>
        <w:tc>
          <w:tcPr>
            <w:tcW w:w="6796" w:type="dxa"/>
          </w:tcPr>
          <w:p w14:paraId="03C50A7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3BA3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21CEDCEF">
            <w:pPr>
              <w:pStyle w:val="16"/>
              <w:widowControl w:val="0"/>
              <w:spacing w:before="109" w:line="219" w:lineRule="auto"/>
              <w:ind w:left="525"/>
              <w:jc w:val="both"/>
              <w:rPr>
                <w:rFonts w:hint="eastAsia" w:ascii="仿宋" w:hAnsi="仿宋" w:eastAsia="仿宋" w:cs="仿宋"/>
                <w:spacing w:val="9"/>
                <w:sz w:val="24"/>
                <w:szCs w:val="24"/>
              </w:rPr>
            </w:pPr>
          </w:p>
        </w:tc>
        <w:tc>
          <w:tcPr>
            <w:tcW w:w="1559" w:type="dxa"/>
          </w:tcPr>
          <w:p w14:paraId="31D8993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5.统计分析</w:t>
            </w:r>
          </w:p>
        </w:tc>
        <w:tc>
          <w:tcPr>
            <w:tcW w:w="6796" w:type="dxa"/>
          </w:tcPr>
          <w:p w14:paraId="303B1BD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5.1可以分别统计门诊、住院任务的审核率、干预率、合格率等重要指标，并可提供统计图。可按照科室、医生、药品、药师进行干预情况分类统计。</w:t>
            </w:r>
          </w:p>
          <w:p w14:paraId="444DE89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5.2可以统计每个药师的监测时长、审核工作量、干预工作量和干预有效率，并可提供统计图。</w:t>
            </w:r>
          </w:p>
          <w:p w14:paraId="2E422B3D">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5.3可以提供不合理问题统计分析，支持按时间、问题类型、警示等级等条件进行统计，并可生成统计图。可以查看在人工审方时药师主动添加问题的发生次数、发生率。</w:t>
            </w:r>
          </w:p>
          <w:p w14:paraId="5A6DAB7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5.4可以分科室、医生、药品、问题类型提供干预效果追踪，并以统计图的方式体现干预效果。</w:t>
            </w:r>
          </w:p>
          <w:p w14:paraId="3B98F3E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5.5可按不同的处方（医嘱）通过状态进行统计，并可生成统计图。</w:t>
            </w:r>
          </w:p>
          <w:p w14:paraId="455252A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5.6医生端可通过用药自查，查看自身任务的审核干预相关统计数据。</w:t>
            </w:r>
          </w:p>
        </w:tc>
      </w:tr>
      <w:tr w14:paraId="6414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Merge w:val="continue"/>
          </w:tcPr>
          <w:p w14:paraId="377DAE4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272374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6.处方/医嘱查询</w:t>
            </w:r>
          </w:p>
        </w:tc>
        <w:tc>
          <w:tcPr>
            <w:tcW w:w="6796" w:type="dxa"/>
          </w:tcPr>
          <w:p w14:paraId="7DE25CD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6.1“系统”应提供查看历史处方/医嘱以及药师干预记录功能，可以</w:t>
            </w:r>
            <w:r>
              <w:rPr>
                <w:rFonts w:hint="eastAsia" w:ascii="仿宋" w:hAnsi="仿宋" w:eastAsia="仿宋" w:cs="仿宋"/>
                <w:spacing w:val="9"/>
                <w:sz w:val="24"/>
                <w:szCs w:val="24"/>
                <w:lang w:val="en-US" w:eastAsia="zh-CN"/>
              </w:rPr>
              <w:t>按</w:t>
            </w:r>
            <w:r>
              <w:rPr>
                <w:rFonts w:hint="eastAsia" w:ascii="仿宋" w:hAnsi="仿宋" w:eastAsia="仿宋" w:cs="仿宋"/>
                <w:spacing w:val="9"/>
                <w:sz w:val="24"/>
                <w:szCs w:val="24"/>
              </w:rPr>
              <w:t>时间线查看任务流程，各个时间点的任务详情都可点击查看。</w:t>
            </w:r>
          </w:p>
          <w:p w14:paraId="1F78051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6.2可筛选医生选择主动修改的问题处方，可筛选药师已收藏、拒绝发药、重点关注的案例，可按照药房进行处方（医嘱）查询。</w:t>
            </w:r>
          </w:p>
          <w:p w14:paraId="460C818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6.3可以设置处方查询权限。</w:t>
            </w:r>
          </w:p>
        </w:tc>
      </w:tr>
      <w:tr w14:paraId="142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0C6FB453">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8F9A4F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7.</w:t>
            </w:r>
            <w:r>
              <w:rPr>
                <w:rFonts w:hint="eastAsia" w:ascii="仿宋" w:hAnsi="仿宋" w:eastAsia="仿宋" w:cs="仿宋"/>
                <w:spacing w:val="9"/>
                <w:sz w:val="24"/>
                <w:szCs w:val="24"/>
              </w:rPr>
              <w:t>处方（医嘱）用药审查功能</w:t>
            </w:r>
          </w:p>
          <w:p w14:paraId="7E3DE35E">
            <w:pPr>
              <w:pStyle w:val="16"/>
              <w:widowControl w:val="0"/>
              <w:spacing w:before="109" w:line="219" w:lineRule="auto"/>
              <w:ind w:left="525"/>
              <w:jc w:val="both"/>
              <w:rPr>
                <w:rFonts w:hint="eastAsia" w:ascii="仿宋" w:hAnsi="仿宋" w:eastAsia="仿宋" w:cs="仿宋"/>
                <w:spacing w:val="9"/>
                <w:sz w:val="24"/>
                <w:szCs w:val="24"/>
              </w:rPr>
            </w:pPr>
          </w:p>
          <w:p w14:paraId="68EFFDE4">
            <w:pPr>
              <w:pStyle w:val="16"/>
              <w:widowControl w:val="0"/>
              <w:spacing w:before="109" w:line="219" w:lineRule="auto"/>
              <w:ind w:left="525"/>
              <w:jc w:val="both"/>
              <w:rPr>
                <w:rFonts w:hint="eastAsia" w:ascii="仿宋" w:hAnsi="仿宋" w:eastAsia="仿宋" w:cs="仿宋"/>
                <w:spacing w:val="9"/>
                <w:sz w:val="24"/>
                <w:szCs w:val="24"/>
              </w:rPr>
            </w:pPr>
          </w:p>
          <w:p w14:paraId="5EEFBFE7">
            <w:pPr>
              <w:pStyle w:val="16"/>
              <w:widowControl w:val="0"/>
              <w:spacing w:before="109" w:line="219" w:lineRule="auto"/>
              <w:ind w:left="525"/>
              <w:jc w:val="both"/>
              <w:rPr>
                <w:rFonts w:hint="eastAsia" w:ascii="仿宋" w:hAnsi="仿宋" w:eastAsia="仿宋" w:cs="仿宋"/>
                <w:spacing w:val="9"/>
                <w:sz w:val="24"/>
                <w:szCs w:val="24"/>
              </w:rPr>
            </w:pPr>
          </w:p>
          <w:p w14:paraId="1574AB9D">
            <w:pPr>
              <w:pStyle w:val="16"/>
              <w:widowControl w:val="0"/>
              <w:spacing w:before="109" w:line="219" w:lineRule="auto"/>
              <w:ind w:left="525"/>
              <w:jc w:val="both"/>
              <w:rPr>
                <w:rFonts w:hint="eastAsia" w:ascii="仿宋" w:hAnsi="仿宋" w:eastAsia="仿宋" w:cs="仿宋"/>
                <w:spacing w:val="9"/>
                <w:sz w:val="24"/>
                <w:szCs w:val="24"/>
              </w:rPr>
            </w:pPr>
          </w:p>
          <w:p w14:paraId="38F1BABC">
            <w:pPr>
              <w:pStyle w:val="16"/>
              <w:widowControl w:val="0"/>
              <w:spacing w:before="109" w:line="219" w:lineRule="auto"/>
              <w:ind w:left="525"/>
              <w:jc w:val="both"/>
              <w:rPr>
                <w:rFonts w:hint="eastAsia" w:ascii="仿宋" w:hAnsi="仿宋" w:eastAsia="仿宋" w:cs="仿宋"/>
                <w:spacing w:val="9"/>
                <w:sz w:val="24"/>
                <w:szCs w:val="24"/>
              </w:rPr>
            </w:pPr>
          </w:p>
          <w:p w14:paraId="309547A0">
            <w:pPr>
              <w:pStyle w:val="16"/>
              <w:widowControl w:val="0"/>
              <w:spacing w:before="109" w:line="219" w:lineRule="auto"/>
              <w:ind w:left="525"/>
              <w:jc w:val="both"/>
              <w:rPr>
                <w:rFonts w:hint="eastAsia" w:ascii="仿宋" w:hAnsi="仿宋" w:eastAsia="仿宋" w:cs="仿宋"/>
                <w:spacing w:val="9"/>
                <w:sz w:val="24"/>
                <w:szCs w:val="24"/>
              </w:rPr>
            </w:pPr>
          </w:p>
          <w:p w14:paraId="468ACF9E">
            <w:pPr>
              <w:pStyle w:val="16"/>
              <w:widowControl w:val="0"/>
              <w:spacing w:before="109" w:line="219" w:lineRule="auto"/>
              <w:ind w:left="525"/>
              <w:jc w:val="both"/>
              <w:rPr>
                <w:rFonts w:hint="eastAsia" w:ascii="仿宋" w:hAnsi="仿宋" w:eastAsia="仿宋" w:cs="仿宋"/>
                <w:spacing w:val="9"/>
                <w:sz w:val="24"/>
                <w:szCs w:val="24"/>
              </w:rPr>
            </w:pPr>
          </w:p>
          <w:p w14:paraId="62D6E25B">
            <w:pPr>
              <w:pStyle w:val="16"/>
              <w:widowControl w:val="0"/>
              <w:spacing w:before="109" w:line="219" w:lineRule="auto"/>
              <w:ind w:left="525"/>
              <w:jc w:val="both"/>
              <w:rPr>
                <w:rFonts w:hint="eastAsia" w:ascii="仿宋" w:hAnsi="仿宋" w:eastAsia="仿宋" w:cs="仿宋"/>
                <w:spacing w:val="9"/>
                <w:sz w:val="24"/>
                <w:szCs w:val="24"/>
              </w:rPr>
            </w:pPr>
          </w:p>
        </w:tc>
        <w:tc>
          <w:tcPr>
            <w:tcW w:w="6796" w:type="dxa"/>
          </w:tcPr>
          <w:p w14:paraId="4973B27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剂量审查：结合年龄、给药途径等信息审查处方（医嘱）中药品剂量、给药频率是否在药品厂家说明书推荐范围内。包括审查每次和每日剂量的最大最小推荐量、每次和每日极量、给药频率、肝肾功能不全患者的给药剂量、疗程总剂量、给药持续时间。</w:t>
            </w:r>
          </w:p>
          <w:p w14:paraId="2AD6C21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7.2中药材剂量审查：结合给药途径、处方医生审查处方（医嘱）中的中药饮片使用量是否超出规定。</w:t>
            </w:r>
          </w:p>
          <w:p w14:paraId="5337D09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7.3 根据有关处方管理规定对门、急诊处方药品、特殊药品、出院带药超多日用量进行审查提示，支持当前处方和历史处方多处方审查。</w:t>
            </w:r>
          </w:p>
          <w:p w14:paraId="107350C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7.4 可以审查药品以不同累积方式的使用量是否超出规定。</w:t>
            </w:r>
          </w:p>
          <w:p w14:paraId="7E7562A6">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7.5 给药途径审查：根据不同的药品和剂型，审查处方（医嘱）药品的给药途径是否合理。系统不仅可以对说明书明确禁止的给药途径进行审查，还应能对说明书未推荐的给药途径进行提示。</w:t>
            </w:r>
          </w:p>
          <w:p w14:paraId="7CCC3DD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7.6 药物相互作用审查：审查处方（医嘱）中是否存在发生相互作用的药品，包括西药和西药、中药（中成药、草药）和中药、中药和西药,应提供药物相互作用详细信息，包括相互作用结果、相互作用机制、处理办法。可以结合给药频次，根据用药的奇偶日期、星期日期审查是否有相互作用问题。</w:t>
            </w:r>
          </w:p>
          <w:p w14:paraId="1AE394C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7.7 体外注射剂配伍审查：审查同组注射药品包括溶媒在同一容器（大输液容器或针管）中配制是否可能发生理化反应。同时提供注射剂配伍的详细信息，包括相互配伍结果、配制方法、讨论及参考文献等。</w:t>
            </w:r>
          </w:p>
          <w:p w14:paraId="298AD0B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7.8 配伍浓度审查：审查同组注射药品配伍后的药品浓度是否在规定浓度范围内，同时提供相关详细信息，包括配置浓度、配制方法、参考文献。</w:t>
            </w:r>
          </w:p>
          <w:p w14:paraId="12AFCED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7.9 TPN 处方审查：系统可审查 TPN 处方的营养均衡性、肠外营养浓度、溶液中渗透压浓度，详细警示信息中可展示计算过程。</w:t>
            </w:r>
          </w:p>
          <w:p w14:paraId="08B58C7D">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7.10 禁忌症审查：结合患者诊断和病生状态信息，审查处方（医嘱）中是否存在该患者禁用的药品，包括中药。。</w:t>
            </w:r>
          </w:p>
          <w:p w14:paraId="489C7AB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7.11 不良反应审查：结合患者的诊断和病生状态信息，审查处方（医嘱）中是否存在可能引起或加重患者当前病理状况的药品。系统相关审查数据应包括国家药监局发布的不良反应通报。。</w:t>
            </w:r>
          </w:p>
          <w:p w14:paraId="72AB96B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7.12 特殊人群用药审查：根据患者年龄和病生状态判断审查处方（医嘱）中是否存在儿童、成人、老人禁用或慎用的药品。。</w:t>
            </w:r>
          </w:p>
          <w:p w14:paraId="5EE86AD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7.13 妊娠哺乳用药审查：当患者为妊娠期或哺乳期妇女时，可以结合患者诊断和妊娠、哺乳状态，审查处方（医嘱）中是否存在患者禁用或慎用的药品。。</w:t>
            </w:r>
          </w:p>
          <w:p w14:paraId="1DF6D04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7.14 性别用药审查：审查处方（医嘱）药物是否存在不适用于当前患者性别的药品。</w:t>
            </w:r>
          </w:p>
          <w:p w14:paraId="03D50AB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7.15 重复用药审查：</w:t>
            </w:r>
          </w:p>
          <w:p w14:paraId="7E164BA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A. 对处方（医嘱）中多个药品进行重复用药审查，支持根据住院药品用药时间段是否重合进行审查配置。</w:t>
            </w:r>
          </w:p>
          <w:p w14:paraId="215ADD5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B. 是否存在同一有效药物成分；</w:t>
            </w:r>
          </w:p>
          <w:p w14:paraId="486F18F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C. 药理作用分类同属一类。</w:t>
            </w:r>
          </w:p>
          <w:p w14:paraId="2AA80F4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7.16 适应症审查：根据患者的疾病诊断信息，审查处方（医嘱）中药品的适应症是否与患者的疾病情况相符。</w:t>
            </w:r>
          </w:p>
          <w:p w14:paraId="04867D8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7.17 药物过敏审查：结合患者既往药物过敏史、皮试结果，审查处方（医嘱）中是否存在可能引起病人过敏或者交叉过敏的药物。</w:t>
            </w:r>
          </w:p>
          <w:p w14:paraId="5A382B6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7.18 药物检验值审查：可实时结合患者检验值审查药物使用是否合理。</w:t>
            </w:r>
          </w:p>
          <w:p w14:paraId="725F88E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7.19 规范性审查：根据《处方管理办法》审查医生开出的处方是否规范，如是否填写诊断、是否按规定填写年龄等。</w:t>
            </w:r>
          </w:p>
          <w:p w14:paraId="71C600B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7.20 医保审查：根据国家医保和省医保报销限定要求，对处方药品是否符合报销规定进行审查。</w:t>
            </w:r>
          </w:p>
          <w:p w14:paraId="20D07AC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7.21 监测指标审查：可结合医嘱药品提醒医生应做相关检查，如果住院病人在使用这些药品期间未监测这些指标，则给予警示。</w:t>
            </w:r>
          </w:p>
          <w:p w14:paraId="76B5FB5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7.22 越权用药审查：审查医生开出的处方药品是否在其可以使用的权限范围内，如监控医生越级使用抗菌药物、越级使用特殊管制药品等。</w:t>
            </w:r>
          </w:p>
          <w:p w14:paraId="2B79624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7.23 围术期用药审查：审查在围手术期内使用抗菌药物的品种是否合理，使用抗菌药物的时机和时限是否合理。</w:t>
            </w:r>
          </w:p>
        </w:tc>
      </w:tr>
      <w:tr w14:paraId="1BFA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136EA8EC">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688E04B8">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8.审查规则自定义功能（医院专家知识库）</w:t>
            </w:r>
          </w:p>
        </w:tc>
        <w:tc>
          <w:tcPr>
            <w:tcW w:w="6796" w:type="dxa"/>
          </w:tcPr>
          <w:p w14:paraId="616FAB46">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rPr>
              <w:t>支持用户自定义药品规则，能够对所有使用规则（包括引用自说明书规则集的规则和本院自定义的规则）进行新增、修改和删除，实现对用药适应症、禁忌症、用法用量、给药途径、相互作用、重复用药、特殊人群、配伍、过敏、不良反应等精准审查</w:t>
            </w:r>
            <w:r>
              <w:rPr>
                <w:rFonts w:hint="eastAsia" w:ascii="仿宋" w:hAnsi="仿宋" w:eastAsia="仿宋" w:cs="仿宋"/>
                <w:spacing w:val="9"/>
                <w:sz w:val="24"/>
                <w:szCs w:val="24"/>
                <w:lang w:eastAsia="zh-CN"/>
              </w:rPr>
              <w:t>。</w:t>
            </w:r>
          </w:p>
        </w:tc>
      </w:tr>
      <w:tr w14:paraId="5051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798" w:type="dxa"/>
            <w:vMerge w:val="restart"/>
          </w:tcPr>
          <w:p w14:paraId="6FA0E0E2">
            <w:pPr>
              <w:pStyle w:val="16"/>
              <w:widowControl w:val="0"/>
              <w:spacing w:before="109" w:line="219" w:lineRule="auto"/>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二、药物信息咨询功能模块</w:t>
            </w:r>
          </w:p>
          <w:p w14:paraId="1469B161">
            <w:pPr>
              <w:pStyle w:val="16"/>
              <w:widowControl w:val="0"/>
              <w:spacing w:before="109" w:line="219" w:lineRule="auto"/>
              <w:ind w:left="525"/>
              <w:jc w:val="both"/>
              <w:rPr>
                <w:rFonts w:hint="eastAsia" w:ascii="仿宋" w:hAnsi="仿宋" w:eastAsia="仿宋" w:cs="仿宋"/>
                <w:spacing w:val="9"/>
                <w:sz w:val="24"/>
                <w:szCs w:val="24"/>
                <w:lang w:eastAsia="zh-CN"/>
              </w:rPr>
            </w:pPr>
          </w:p>
          <w:p w14:paraId="1F6C08D7">
            <w:pPr>
              <w:pStyle w:val="16"/>
              <w:widowControl w:val="0"/>
              <w:spacing w:before="109" w:line="219" w:lineRule="auto"/>
              <w:ind w:left="525"/>
              <w:jc w:val="both"/>
              <w:rPr>
                <w:rFonts w:hint="eastAsia" w:ascii="仿宋" w:hAnsi="仿宋" w:eastAsia="仿宋" w:cs="仿宋"/>
                <w:spacing w:val="9"/>
                <w:sz w:val="24"/>
                <w:szCs w:val="24"/>
              </w:rPr>
            </w:pPr>
          </w:p>
          <w:p w14:paraId="70537E89">
            <w:pPr>
              <w:pStyle w:val="16"/>
              <w:widowControl w:val="0"/>
              <w:spacing w:before="109" w:line="219" w:lineRule="auto"/>
              <w:ind w:left="525"/>
              <w:jc w:val="both"/>
              <w:rPr>
                <w:rFonts w:hint="eastAsia" w:ascii="仿宋" w:hAnsi="仿宋" w:eastAsia="仿宋" w:cs="仿宋"/>
                <w:spacing w:val="9"/>
                <w:sz w:val="24"/>
                <w:szCs w:val="24"/>
              </w:rPr>
            </w:pPr>
          </w:p>
          <w:p w14:paraId="7D8CDE45">
            <w:pPr>
              <w:pStyle w:val="16"/>
              <w:widowControl w:val="0"/>
              <w:spacing w:before="109" w:line="219" w:lineRule="auto"/>
              <w:ind w:left="525"/>
              <w:jc w:val="both"/>
              <w:rPr>
                <w:rFonts w:hint="eastAsia" w:ascii="仿宋" w:hAnsi="仿宋" w:eastAsia="仿宋" w:cs="仿宋"/>
                <w:spacing w:val="9"/>
                <w:sz w:val="24"/>
                <w:szCs w:val="24"/>
              </w:rPr>
            </w:pPr>
          </w:p>
          <w:p w14:paraId="14DC6345">
            <w:pPr>
              <w:pStyle w:val="16"/>
              <w:widowControl w:val="0"/>
              <w:spacing w:before="109" w:line="219" w:lineRule="auto"/>
              <w:ind w:left="525"/>
              <w:jc w:val="both"/>
              <w:rPr>
                <w:rFonts w:hint="eastAsia" w:ascii="仿宋" w:hAnsi="仿宋" w:eastAsia="仿宋" w:cs="仿宋"/>
                <w:spacing w:val="9"/>
                <w:sz w:val="24"/>
                <w:szCs w:val="24"/>
              </w:rPr>
            </w:pPr>
          </w:p>
          <w:p w14:paraId="6E1E88FD">
            <w:pPr>
              <w:pStyle w:val="16"/>
              <w:widowControl w:val="0"/>
              <w:spacing w:before="109" w:line="219" w:lineRule="auto"/>
              <w:ind w:left="525"/>
              <w:jc w:val="both"/>
              <w:rPr>
                <w:rFonts w:hint="eastAsia" w:ascii="仿宋" w:hAnsi="仿宋" w:eastAsia="仿宋" w:cs="仿宋"/>
                <w:spacing w:val="9"/>
                <w:sz w:val="24"/>
                <w:szCs w:val="24"/>
              </w:rPr>
            </w:pPr>
          </w:p>
          <w:p w14:paraId="1B92E98F">
            <w:pPr>
              <w:pStyle w:val="16"/>
              <w:widowControl w:val="0"/>
              <w:spacing w:before="109" w:line="219" w:lineRule="auto"/>
              <w:ind w:left="525"/>
              <w:jc w:val="both"/>
              <w:rPr>
                <w:rFonts w:hint="eastAsia" w:ascii="仿宋" w:hAnsi="仿宋" w:eastAsia="仿宋" w:cs="仿宋"/>
                <w:spacing w:val="9"/>
                <w:sz w:val="24"/>
                <w:szCs w:val="24"/>
              </w:rPr>
            </w:pPr>
          </w:p>
          <w:p w14:paraId="3B0EBE70">
            <w:pPr>
              <w:pStyle w:val="16"/>
              <w:widowControl w:val="0"/>
              <w:spacing w:before="109" w:line="219" w:lineRule="auto"/>
              <w:ind w:left="525"/>
              <w:jc w:val="both"/>
              <w:rPr>
                <w:rFonts w:hint="eastAsia" w:ascii="仿宋" w:hAnsi="仿宋" w:eastAsia="仿宋" w:cs="仿宋"/>
                <w:spacing w:val="9"/>
                <w:sz w:val="24"/>
                <w:szCs w:val="24"/>
              </w:rPr>
            </w:pPr>
          </w:p>
          <w:p w14:paraId="06D16B11">
            <w:pPr>
              <w:pStyle w:val="16"/>
              <w:widowControl w:val="0"/>
              <w:spacing w:before="109" w:line="219" w:lineRule="auto"/>
              <w:ind w:left="525"/>
              <w:jc w:val="both"/>
              <w:rPr>
                <w:rFonts w:hint="eastAsia" w:ascii="仿宋" w:hAnsi="仿宋" w:eastAsia="仿宋" w:cs="仿宋"/>
                <w:spacing w:val="9"/>
                <w:sz w:val="24"/>
                <w:szCs w:val="24"/>
              </w:rPr>
            </w:pPr>
          </w:p>
          <w:p w14:paraId="4313C9B7">
            <w:pPr>
              <w:pStyle w:val="16"/>
              <w:widowControl w:val="0"/>
              <w:spacing w:before="109" w:line="219" w:lineRule="auto"/>
              <w:ind w:left="525"/>
              <w:jc w:val="both"/>
              <w:rPr>
                <w:rFonts w:hint="eastAsia" w:ascii="仿宋" w:hAnsi="仿宋" w:eastAsia="仿宋" w:cs="仿宋"/>
                <w:spacing w:val="9"/>
                <w:sz w:val="24"/>
                <w:szCs w:val="24"/>
              </w:rPr>
            </w:pPr>
          </w:p>
          <w:p w14:paraId="49B2B2E5">
            <w:pPr>
              <w:pStyle w:val="16"/>
              <w:widowControl w:val="0"/>
              <w:spacing w:before="109" w:line="219" w:lineRule="auto"/>
              <w:ind w:left="525"/>
              <w:jc w:val="both"/>
              <w:rPr>
                <w:rFonts w:hint="eastAsia" w:ascii="仿宋" w:hAnsi="仿宋" w:eastAsia="仿宋" w:cs="仿宋"/>
                <w:spacing w:val="9"/>
                <w:sz w:val="24"/>
                <w:szCs w:val="24"/>
              </w:rPr>
            </w:pPr>
          </w:p>
          <w:p w14:paraId="63A70B9B">
            <w:pPr>
              <w:pStyle w:val="16"/>
              <w:widowControl w:val="0"/>
              <w:spacing w:before="109" w:line="219" w:lineRule="auto"/>
              <w:ind w:left="525"/>
              <w:jc w:val="both"/>
              <w:rPr>
                <w:rFonts w:hint="eastAsia" w:ascii="仿宋" w:hAnsi="仿宋" w:eastAsia="仿宋" w:cs="仿宋"/>
                <w:spacing w:val="9"/>
                <w:sz w:val="24"/>
                <w:szCs w:val="24"/>
              </w:rPr>
            </w:pPr>
          </w:p>
          <w:p w14:paraId="6F537F36">
            <w:pPr>
              <w:pStyle w:val="16"/>
              <w:widowControl w:val="0"/>
              <w:spacing w:before="109" w:line="219" w:lineRule="auto"/>
              <w:ind w:left="525"/>
              <w:jc w:val="both"/>
              <w:rPr>
                <w:rFonts w:hint="eastAsia" w:ascii="仿宋" w:hAnsi="仿宋" w:eastAsia="仿宋" w:cs="仿宋"/>
                <w:spacing w:val="9"/>
                <w:sz w:val="24"/>
                <w:szCs w:val="24"/>
              </w:rPr>
            </w:pPr>
          </w:p>
          <w:p w14:paraId="1BF5EB8B">
            <w:pPr>
              <w:pStyle w:val="16"/>
              <w:widowControl w:val="0"/>
              <w:spacing w:before="109" w:line="219" w:lineRule="auto"/>
              <w:ind w:left="525"/>
              <w:jc w:val="both"/>
              <w:rPr>
                <w:rFonts w:hint="eastAsia" w:ascii="仿宋" w:hAnsi="仿宋" w:eastAsia="仿宋" w:cs="仿宋"/>
                <w:spacing w:val="9"/>
                <w:sz w:val="24"/>
                <w:szCs w:val="24"/>
              </w:rPr>
            </w:pPr>
          </w:p>
          <w:p w14:paraId="0D7EFE27">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B0CC06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9.药物信息参考</w:t>
            </w:r>
          </w:p>
        </w:tc>
        <w:tc>
          <w:tcPr>
            <w:tcW w:w="6796" w:type="dxa"/>
          </w:tcPr>
          <w:p w14:paraId="4F9697D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 1“系统”应提供国内外上市药品的详细临床用药信息，内容包括药物的各种名称、临床应用、用法与用量、注意事项、不良反应、药物相互作用、给药说明、药理、制剂与规格等信息。</w:t>
            </w:r>
          </w:p>
          <w:p w14:paraId="4338048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9.2应可查看特殊人群（老人、儿童、妊娠期妇女、哺乳期妇女）及特殊疾病状态（如肝功能不全、肾功能不全、心力衰竭等）患者用药的注意事项。</w:t>
            </w:r>
          </w:p>
          <w:p w14:paraId="088CCB73">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9.3应提供与药物临床应用密切相关的信息如不良反应处理方法、药物对检验值或诊断的影响等。</w:t>
            </w:r>
          </w:p>
          <w:p w14:paraId="6EE31A8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9.4可提供</w:t>
            </w:r>
            <w:r>
              <w:rPr>
                <w:rFonts w:hint="eastAsia" w:ascii="仿宋" w:hAnsi="仿宋" w:eastAsia="仿宋" w:cs="仿宋"/>
                <w:spacing w:val="9"/>
                <w:sz w:val="24"/>
                <w:szCs w:val="24"/>
                <w:lang w:val="en-US" w:eastAsia="zh-CN"/>
              </w:rPr>
              <w:t>如</w:t>
            </w:r>
            <w:r>
              <w:rPr>
                <w:rFonts w:hint="eastAsia" w:ascii="仿宋" w:hAnsi="仿宋" w:eastAsia="仿宋" w:cs="仿宋"/>
                <w:spacing w:val="9"/>
                <w:sz w:val="24"/>
                <w:szCs w:val="24"/>
              </w:rPr>
              <w:t>高警讯药物、比尔斯标准、国外专科信息</w:t>
            </w:r>
            <w:r>
              <w:rPr>
                <w:rFonts w:hint="eastAsia" w:ascii="仿宋" w:hAnsi="仿宋" w:eastAsia="仿宋" w:cs="仿宋"/>
                <w:spacing w:val="9"/>
                <w:sz w:val="24"/>
                <w:szCs w:val="24"/>
                <w:lang w:val="en-US" w:eastAsia="zh-CN"/>
              </w:rPr>
              <w:t>等</w:t>
            </w:r>
            <w:r>
              <w:rPr>
                <w:rFonts w:hint="eastAsia" w:ascii="仿宋" w:hAnsi="仿宋" w:eastAsia="仿宋" w:cs="仿宋"/>
                <w:spacing w:val="9"/>
                <w:sz w:val="24"/>
                <w:szCs w:val="24"/>
              </w:rPr>
              <w:t>供临床参考。</w:t>
            </w:r>
          </w:p>
          <w:p w14:paraId="7D5C4F4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9.5所有信息均应提供参考文献。</w:t>
            </w:r>
          </w:p>
        </w:tc>
      </w:tr>
      <w:tr w14:paraId="7627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70D1C4E4">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076C841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10</w:t>
            </w:r>
            <w:r>
              <w:rPr>
                <w:rFonts w:hint="eastAsia" w:ascii="仿宋" w:hAnsi="仿宋" w:eastAsia="仿宋" w:cs="仿宋"/>
                <w:spacing w:val="9"/>
                <w:sz w:val="24"/>
                <w:szCs w:val="24"/>
              </w:rPr>
              <w:t>.妊娠哺乳用药</w:t>
            </w:r>
          </w:p>
        </w:tc>
        <w:tc>
          <w:tcPr>
            <w:tcW w:w="6796" w:type="dxa"/>
          </w:tcPr>
          <w:p w14:paraId="3A466384">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基于循证医学原则评价国内外药品说明书、专业数据库、专著、研究文献，对妊娠期和哺乳期药物暴露风险进行评估，提出用药建议、药代动力学、文献报道等供临床参考。所有信息均应提供参考文献。</w:t>
            </w:r>
          </w:p>
        </w:tc>
      </w:tr>
      <w:tr w14:paraId="7D0D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06372FA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1DAC5A35">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11</w:t>
            </w:r>
            <w:r>
              <w:rPr>
                <w:rFonts w:hint="eastAsia" w:ascii="仿宋" w:hAnsi="仿宋" w:eastAsia="仿宋" w:cs="仿宋"/>
                <w:spacing w:val="9"/>
                <w:sz w:val="24"/>
                <w:szCs w:val="24"/>
              </w:rPr>
              <w:t>.临床指南</w:t>
            </w:r>
          </w:p>
        </w:tc>
        <w:tc>
          <w:tcPr>
            <w:tcW w:w="6796" w:type="dxa"/>
          </w:tcPr>
          <w:p w14:paraId="2FE039B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.1“系统”应提供国内外的卫生监管机构、权威医药学专科学会发布的诊疗指南，应涵盖疾病诊断、治疗、预防、护理等方面的指南、规范、共识、解读等。</w:t>
            </w:r>
          </w:p>
          <w:p w14:paraId="385235A1">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.2 英文指南应提供中文翻译。</w:t>
            </w:r>
          </w:p>
          <w:p w14:paraId="5024F972">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.3应提供如《抗菌药物临床应用指导原则》、《中成药临床应用指导原则》等用药指导原则。</w:t>
            </w:r>
          </w:p>
          <w:p w14:paraId="36137DD7">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.4应</w:t>
            </w:r>
            <w:r>
              <w:rPr>
                <w:rFonts w:hint="eastAsia" w:ascii="仿宋" w:hAnsi="仿宋" w:eastAsia="仿宋" w:cs="仿宋"/>
                <w:spacing w:val="9"/>
                <w:sz w:val="24"/>
                <w:szCs w:val="24"/>
                <w:lang w:val="en-US" w:eastAsia="zh-CN"/>
              </w:rPr>
              <w:t>支持多条件筛选，具有</w:t>
            </w:r>
            <w:r>
              <w:rPr>
                <w:rFonts w:hint="eastAsia" w:ascii="仿宋" w:hAnsi="仿宋" w:eastAsia="仿宋" w:cs="仿宋"/>
                <w:spacing w:val="9"/>
                <w:sz w:val="24"/>
                <w:szCs w:val="24"/>
              </w:rPr>
              <w:t>筛选中英文指南和发布时间的功能。</w:t>
            </w:r>
          </w:p>
        </w:tc>
      </w:tr>
      <w:tr w14:paraId="7819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798" w:type="dxa"/>
            <w:vMerge w:val="continue"/>
          </w:tcPr>
          <w:p w14:paraId="77702575">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6896EE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12</w:t>
            </w:r>
            <w:r>
              <w:rPr>
                <w:rFonts w:hint="eastAsia" w:ascii="仿宋" w:hAnsi="仿宋" w:eastAsia="仿宋" w:cs="仿宋"/>
                <w:spacing w:val="9"/>
                <w:sz w:val="24"/>
                <w:szCs w:val="24"/>
              </w:rPr>
              <w:t>.用药教育</w:t>
            </w:r>
          </w:p>
        </w:tc>
        <w:tc>
          <w:tcPr>
            <w:tcW w:w="6796" w:type="dxa"/>
          </w:tcPr>
          <w:p w14:paraId="68289BF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“系统”应为专业人员提供便于辅导病人用药的信息，以通俗易懂的语言，借助图片等形式描述药品的用途、副作用、用药期间注意事项、特殊给药方式图示等信息</w:t>
            </w:r>
          </w:p>
        </w:tc>
      </w:tr>
      <w:tr w14:paraId="17E5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9BDD5D1">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978C4E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13</w:t>
            </w:r>
            <w:r>
              <w:rPr>
                <w:rFonts w:hint="eastAsia" w:ascii="仿宋" w:hAnsi="仿宋" w:eastAsia="仿宋" w:cs="仿宋"/>
                <w:spacing w:val="9"/>
                <w:sz w:val="24"/>
                <w:szCs w:val="24"/>
              </w:rPr>
              <w:t>.超说明书用药</w:t>
            </w:r>
          </w:p>
        </w:tc>
        <w:tc>
          <w:tcPr>
            <w:tcW w:w="6796" w:type="dxa"/>
          </w:tcPr>
          <w:p w14:paraId="617916AF">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“系统”应提供权威的超说明书用药信息，内容应包括用药类型、适应症、用法用量、循证医学证据等。</w:t>
            </w:r>
          </w:p>
        </w:tc>
      </w:tr>
      <w:tr w14:paraId="09CB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98" w:type="dxa"/>
            <w:vMerge w:val="restart"/>
          </w:tcPr>
          <w:p w14:paraId="65CA53C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三、</w:t>
            </w:r>
            <w:r>
              <w:rPr>
                <w:rFonts w:hint="eastAsia" w:ascii="仿宋" w:hAnsi="仿宋" w:eastAsia="仿宋" w:cs="仿宋"/>
                <w:spacing w:val="9"/>
                <w:sz w:val="24"/>
                <w:szCs w:val="24"/>
              </w:rPr>
              <w:t>患者用药教育指导</w:t>
            </w:r>
          </w:p>
          <w:p w14:paraId="38A5945F">
            <w:pPr>
              <w:pStyle w:val="16"/>
              <w:widowControl w:val="0"/>
              <w:spacing w:before="109" w:line="219" w:lineRule="auto"/>
              <w:ind w:left="525"/>
              <w:jc w:val="both"/>
              <w:rPr>
                <w:rFonts w:hint="eastAsia" w:ascii="仿宋" w:hAnsi="仿宋" w:eastAsia="仿宋" w:cs="仿宋"/>
                <w:spacing w:val="9"/>
                <w:sz w:val="24"/>
                <w:szCs w:val="24"/>
              </w:rPr>
            </w:pPr>
          </w:p>
          <w:p w14:paraId="0BB274C2">
            <w:pPr>
              <w:pStyle w:val="16"/>
              <w:widowControl w:val="0"/>
              <w:spacing w:before="109" w:line="219" w:lineRule="auto"/>
              <w:ind w:left="525"/>
              <w:jc w:val="both"/>
              <w:rPr>
                <w:rFonts w:hint="eastAsia" w:ascii="仿宋" w:hAnsi="仿宋" w:eastAsia="仿宋" w:cs="仿宋"/>
                <w:spacing w:val="9"/>
                <w:sz w:val="24"/>
                <w:szCs w:val="24"/>
              </w:rPr>
            </w:pPr>
          </w:p>
          <w:p w14:paraId="56F85AD9">
            <w:pPr>
              <w:pStyle w:val="16"/>
              <w:widowControl w:val="0"/>
              <w:spacing w:before="109" w:line="219" w:lineRule="auto"/>
              <w:ind w:left="525"/>
              <w:jc w:val="both"/>
              <w:rPr>
                <w:rFonts w:hint="eastAsia" w:ascii="仿宋" w:hAnsi="仿宋" w:eastAsia="仿宋" w:cs="仿宋"/>
                <w:spacing w:val="9"/>
                <w:sz w:val="24"/>
                <w:szCs w:val="24"/>
              </w:rPr>
            </w:pPr>
          </w:p>
          <w:p w14:paraId="0C5C4346">
            <w:pPr>
              <w:pStyle w:val="16"/>
              <w:widowControl w:val="0"/>
              <w:spacing w:before="109" w:line="219" w:lineRule="auto"/>
              <w:ind w:left="525"/>
              <w:jc w:val="both"/>
              <w:rPr>
                <w:rFonts w:hint="eastAsia" w:ascii="仿宋" w:hAnsi="仿宋" w:eastAsia="仿宋" w:cs="仿宋"/>
                <w:spacing w:val="9"/>
                <w:sz w:val="24"/>
                <w:szCs w:val="24"/>
              </w:rPr>
            </w:pPr>
          </w:p>
          <w:p w14:paraId="5293C2FF">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02A588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.患者用药教育知识库</w:t>
            </w:r>
          </w:p>
        </w:tc>
        <w:tc>
          <w:tcPr>
            <w:tcW w:w="6796" w:type="dxa"/>
          </w:tcPr>
          <w:p w14:paraId="6FA63688">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.1 提供一套患者用药教育知识库，知识基于说明书、</w:t>
            </w:r>
            <w:r>
              <w:rPr>
                <w:rFonts w:hint="eastAsia" w:ascii="仿宋" w:hAnsi="仿宋" w:eastAsia="仿宋" w:cs="仿宋"/>
                <w:spacing w:val="9"/>
                <w:sz w:val="24"/>
                <w:szCs w:val="24"/>
                <w:lang w:val="en-US" w:eastAsia="zh-CN"/>
              </w:rPr>
              <w:t>指南、共识</w:t>
            </w:r>
            <w:r>
              <w:rPr>
                <w:rFonts w:hint="eastAsia" w:ascii="仿宋" w:hAnsi="仿宋" w:eastAsia="仿宋" w:cs="仿宋"/>
                <w:spacing w:val="9"/>
                <w:sz w:val="24"/>
                <w:szCs w:val="24"/>
              </w:rPr>
              <w:t>等标</w:t>
            </w:r>
            <w:r>
              <w:rPr>
                <w:rFonts w:hint="eastAsia" w:ascii="仿宋" w:hAnsi="仿宋" w:eastAsia="仿宋" w:cs="仿宋"/>
                <w:spacing w:val="9"/>
                <w:sz w:val="24"/>
                <w:szCs w:val="24"/>
                <w:lang w:eastAsia="zh-CN"/>
              </w:rPr>
              <w:t>准维护。</w:t>
            </w:r>
          </w:p>
          <w:p w14:paraId="2E146A79">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.2 提供药品的的患者用药指导内容，涉及：用药方法、间隔服药、特殊药物贮藏方法、常见现象/药物特性、严重/致死不良反应、育龄女性/男性用药提示、孕期用药提示、运动员及特殊人群用药提示、漏服/过量服用处理方法、及其他用药注意事项等。</w:t>
            </w:r>
          </w:p>
          <w:p w14:paraId="27F73320">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.3 系统知识库应</w:t>
            </w:r>
            <w:r>
              <w:rPr>
                <w:rFonts w:hint="eastAsia" w:ascii="仿宋" w:hAnsi="仿宋" w:eastAsia="仿宋" w:cs="仿宋"/>
                <w:spacing w:val="9"/>
                <w:sz w:val="24"/>
                <w:szCs w:val="24"/>
                <w:lang w:val="en-US" w:eastAsia="zh-CN"/>
              </w:rPr>
              <w:t>自动更新</w:t>
            </w:r>
            <w:r>
              <w:rPr>
                <w:rFonts w:hint="eastAsia" w:ascii="仿宋" w:hAnsi="仿宋" w:eastAsia="仿宋" w:cs="仿宋"/>
                <w:spacing w:val="9"/>
                <w:sz w:val="24"/>
                <w:szCs w:val="24"/>
              </w:rPr>
              <w:t>，更新后，会出现提示更新信息。</w:t>
            </w:r>
          </w:p>
        </w:tc>
      </w:tr>
      <w:tr w14:paraId="067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4FF28A3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2630CB3E">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.患者用药教育</w:t>
            </w:r>
          </w:p>
        </w:tc>
        <w:tc>
          <w:tcPr>
            <w:tcW w:w="6796" w:type="dxa"/>
          </w:tcPr>
          <w:p w14:paraId="3BEEF4C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.1药师登录合理用药系统知识建设后，即可对药品/产品的患教规则进行查看和维护，能够对用药教育规则进行新增、修改和删除。</w:t>
            </w:r>
          </w:p>
          <w:p w14:paraId="2199615B">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5</w:t>
            </w:r>
            <w:r>
              <w:rPr>
                <w:rFonts w:hint="eastAsia" w:ascii="仿宋" w:hAnsi="仿宋" w:eastAsia="仿宋" w:cs="仿宋"/>
                <w:spacing w:val="9"/>
                <w:sz w:val="24"/>
                <w:szCs w:val="24"/>
              </w:rPr>
              <w:t>.2系统支持药师根据诊断、药品或合用药品等情况进行患教用药教育信息自定义内容。</w:t>
            </w:r>
          </w:p>
        </w:tc>
      </w:tr>
      <w:tr w14:paraId="629E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Merge w:val="continue"/>
          </w:tcPr>
          <w:p w14:paraId="35215E60">
            <w:pPr>
              <w:pStyle w:val="16"/>
              <w:widowControl w:val="0"/>
              <w:spacing w:before="109" w:line="219" w:lineRule="auto"/>
              <w:ind w:left="525"/>
              <w:jc w:val="both"/>
              <w:rPr>
                <w:rFonts w:hint="eastAsia" w:ascii="仿宋" w:hAnsi="仿宋" w:eastAsia="仿宋" w:cs="仿宋"/>
                <w:spacing w:val="9"/>
                <w:sz w:val="24"/>
                <w:szCs w:val="24"/>
              </w:rPr>
            </w:pPr>
          </w:p>
        </w:tc>
        <w:tc>
          <w:tcPr>
            <w:tcW w:w="1559" w:type="dxa"/>
            <w:shd w:val="clear" w:color="auto" w:fill="auto"/>
          </w:tcPr>
          <w:p w14:paraId="4A22905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val="en-US" w:eastAsia="zh-CN"/>
              </w:rPr>
              <w:t>6</w:t>
            </w:r>
            <w:r>
              <w:rPr>
                <w:rFonts w:hint="eastAsia" w:ascii="仿宋" w:hAnsi="仿宋" w:eastAsia="仿宋" w:cs="仿宋"/>
                <w:spacing w:val="9"/>
                <w:sz w:val="24"/>
                <w:szCs w:val="24"/>
              </w:rPr>
              <w:t>.患者用药指导单</w:t>
            </w:r>
          </w:p>
        </w:tc>
        <w:tc>
          <w:tcPr>
            <w:tcW w:w="6796" w:type="dxa"/>
          </w:tcPr>
          <w:p w14:paraId="1CFF421C">
            <w:pPr>
              <w:pStyle w:val="16"/>
              <w:widowControl w:val="0"/>
              <w:spacing w:before="109" w:line="219" w:lineRule="auto"/>
              <w:jc w:val="both"/>
              <w:rPr>
                <w:rFonts w:hint="eastAsia" w:ascii="仿宋" w:hAnsi="仿宋" w:eastAsia="仿宋" w:cs="仿宋"/>
                <w:spacing w:val="9"/>
                <w:sz w:val="24"/>
                <w:szCs w:val="24"/>
              </w:rPr>
            </w:pPr>
            <w:r>
              <w:rPr>
                <w:rFonts w:hint="eastAsia" w:ascii="仿宋" w:hAnsi="仿宋" w:eastAsia="仿宋" w:cs="仿宋"/>
                <w:spacing w:val="9"/>
                <w:sz w:val="24"/>
                <w:szCs w:val="24"/>
              </w:rPr>
              <w:t>可以根据患者疾病情况和处方药品信息自动生成患者用药教育指导单，并提供电子版指导单编辑、打印功能。</w:t>
            </w:r>
          </w:p>
        </w:tc>
      </w:tr>
    </w:tbl>
    <w:p w14:paraId="38DFAF3C">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三、服务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9C7E3A6">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（一）维保服务</w:t>
      </w:r>
    </w:p>
    <w:p w14:paraId="7981EF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1、维保期为项目验收合格之日起至少2年。</w:t>
      </w:r>
    </w:p>
    <w:p w14:paraId="44DEE2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2、维保期间，供应商需提供 7×24 小时技术支持服务，接到故障报修后，30 分钟内响应，提供电话、远程、现场服务方式。无法电话或远程处理时，供应商必须在6小时内到达现场，解决系统故障，确保系统正常运行。</w:t>
      </w:r>
    </w:p>
    <w:p w14:paraId="6FFB5F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3、维保期间，免费提供系统升级、补丁更新服务、知识库更新服务，确保系统功能持续优化，满足医院政策调整及业务发展需求。</w:t>
      </w:r>
    </w:p>
    <w:p w14:paraId="7AC7F6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4、系统涉及的相关指南、共识、参考文献、用药信息等知识库信息，应每半年进行一次定期更新，必要时按相关政策及医院需求进行不定期更新。</w:t>
      </w:r>
    </w:p>
    <w:p w14:paraId="1B6339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5、系统维保期履行完成后，采购人对供应商的服务质量、服务效率等满意的情况下，可继续由供应商提供后续维保服务，服务费不超过本项目合同金额的8%。</w:t>
      </w:r>
    </w:p>
    <w:p w14:paraId="27906709">
      <w:pPr>
        <w:pageBreakBefore w:val="0"/>
        <w:numPr>
          <w:ilvl w:val="0"/>
          <w:numId w:val="0"/>
        </w:numPr>
        <w:kinsoku/>
        <w:wordWrap/>
        <w:overflowPunct/>
        <w:topLinePunct w:val="0"/>
        <w:autoSpaceDE/>
        <w:autoSpaceDN/>
        <w:bidi w:val="0"/>
        <w:adjustRightInd/>
        <w:snapToGrid/>
        <w:spacing w:beforeLines="50" w:afterLines="50" w:line="560" w:lineRule="exact"/>
        <w:outlineLvl w:val="1"/>
        <w:rPr>
          <w:rFonts w:ascii="宋体" w:hAnsi="宋体" w:eastAsia="宋体" w:cs="宋体"/>
          <w:b/>
          <w:bCs/>
          <w:sz w:val="28"/>
          <w:szCs w:val="16"/>
          <w:lang w:eastAsia="zh-CN" w:bidi="ar"/>
        </w:rPr>
      </w:pPr>
      <w:r>
        <w:rPr>
          <w:rFonts w:hint="eastAsia" w:ascii="仿宋" w:hAnsi="仿宋" w:eastAsia="仿宋" w:cs="仿宋"/>
          <w:b/>
          <w:bCs/>
          <w:kern w:val="2"/>
          <w:sz w:val="28"/>
          <w:szCs w:val="28"/>
          <w:lang w:val="en-US" w:eastAsia="zh-CN" w:bidi="ar-SA"/>
        </w:rPr>
        <w:t>（二）巡检服务</w:t>
      </w:r>
    </w:p>
    <w:p w14:paraId="393C4B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免费维保期内，供应商需每季度安排专业技术人员到采购人进行系统巡查，包括系统运行状态检查、数据备份检查、潜在问题排查等，形成巡查报告提交给采购人，及时发现并解决系统运行过程中存在的问题，保障系统稳定运行。</w:t>
      </w:r>
    </w:p>
    <w:p w14:paraId="4DEFF2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（三）配合医院评级改造服务</w:t>
      </w:r>
    </w:p>
    <w:p w14:paraId="39E056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需积极配合采购人电子病历评级、互联互通测评、智慧医院创建等评级改造工作，根据相关评级标准及采购人需求，对系统功能进行调整、优化，提供必要的技术支持和文档资料，确保采购人顺利通过相关评级评审。</w:t>
      </w:r>
    </w:p>
    <w:p w14:paraId="42E4E4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（四）系统上线要求</w:t>
      </w:r>
    </w:p>
    <w:p w14:paraId="749E24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供应商需在合同签订后一个月内完成系统的安装、调试、接口对接、人员培训等工作，确保系统正式上线运行。若因供应商原因导致系统未能按时上线，供应商需承担相应的违约责任。</w:t>
      </w:r>
    </w:p>
    <w:p w14:paraId="6F1052C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保密义务</w:t>
      </w:r>
    </w:p>
    <w:p w14:paraId="601994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供应商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253C8672">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四、商务要求（此节内容供应商在商务要求应答表中响应）</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（一）合同履约期限</w:t>
      </w:r>
    </w:p>
    <w:p w14:paraId="19393B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标的交付时间为合同签订之日起30日，履行期限为自合同生效之日起至本合同项下双方全部义务履行完毕且维保期届满之日止。</w:t>
      </w:r>
    </w:p>
    <w:p w14:paraId="19266D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（二）项目履行地点：</w:t>
      </w:r>
      <w:r>
        <w:rPr>
          <w:rFonts w:hint="eastAsia" w:ascii="仿宋" w:hAnsi="仿宋" w:eastAsia="仿宋" w:cs="仿宋"/>
          <w:color w:val="auto"/>
          <w:sz w:val="28"/>
          <w:szCs w:val="28"/>
          <w:highlight w:val="none"/>
          <w:lang w:val="en-US" w:eastAsia="zh-CN"/>
        </w:rPr>
        <w:t>大竹县人民医院院内指定地点。</w:t>
      </w:r>
    </w:p>
    <w:p w14:paraId="3A653F79">
      <w:pPr>
        <w:pStyle w:val="11"/>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（三）付款方式</w:t>
      </w:r>
    </w:p>
    <w:p w14:paraId="4DC1C6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1、系统上线正常运行一个月后，供应商可向采购人提交验收申请，采购人应在7日内组织院内验收。按照合同相关约定验收合格后，达到付款条件起 30日内，采购人支付合同总金额的90%。</w:t>
      </w:r>
    </w:p>
    <w:p w14:paraId="0BCCA6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2、按院内验收合格之日起，系统正常运行一年后，达到付款条件起支付合同总金额的10%。</w:t>
      </w:r>
    </w:p>
    <w:p w14:paraId="76CC2B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（四）验收方式和标准</w:t>
      </w:r>
    </w:p>
    <w:p w14:paraId="60D198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1、履约验收时间：系统上线正常运行一个月后，供应商可向采购人提交验收申请，采购人应在7日内组织院内履约验收。</w:t>
      </w:r>
    </w:p>
    <w:p w14:paraId="4E3059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2、验收标准：由采购人组织、供应商配合，按《财政部关于进一步加强政府采购需求和履约验收管理的指导意见》（财库〔2016〕205 号）及本项目招采文件、供应商投标（响应文件）、双方合同约定及相关国家现行法律法规开展验收。</w:t>
      </w:r>
    </w:p>
    <w:p w14:paraId="652465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3、验收要求</w:t>
      </w:r>
    </w:p>
    <w:p w14:paraId="2F08D0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验收时供应商需要提供本项目实施相关的实施方案、实施过程文档、配置文档、接口文档、操作文档、培训记录等原始文档资料。</w:t>
      </w:r>
    </w:p>
    <w:p w14:paraId="666E76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（五）违约责任与解决争议的方法</w:t>
      </w:r>
    </w:p>
    <w:p w14:paraId="48237F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违约责任：</w:t>
      </w:r>
      <w:r>
        <w:rPr>
          <w:rFonts w:hint="default" w:ascii="仿宋" w:hAnsi="仿宋" w:eastAsia="仿宋" w:cs="仿宋"/>
          <w:color w:val="auto"/>
          <w:sz w:val="28"/>
          <w:szCs w:val="28"/>
          <w:highlight w:val="none"/>
          <w:lang w:val="en-US" w:eastAsia="zh-CN"/>
        </w:rPr>
        <w:t>供应商必须严格按照国家相关法律法规和本</w:t>
      </w:r>
      <w:r>
        <w:rPr>
          <w:rFonts w:hint="eastAsia" w:ascii="仿宋" w:hAnsi="仿宋" w:eastAsia="仿宋" w:cs="仿宋"/>
          <w:color w:val="auto"/>
          <w:sz w:val="28"/>
          <w:szCs w:val="28"/>
          <w:highlight w:val="none"/>
          <w:lang w:val="en-US" w:eastAsia="zh-CN"/>
        </w:rPr>
        <w:t>采购</w:t>
      </w:r>
      <w:r>
        <w:rPr>
          <w:rFonts w:hint="default" w:ascii="仿宋" w:hAnsi="仿宋" w:eastAsia="仿宋" w:cs="仿宋"/>
          <w:color w:val="auto"/>
          <w:sz w:val="28"/>
          <w:szCs w:val="28"/>
          <w:highlight w:val="none"/>
          <w:lang w:val="en-US" w:eastAsia="zh-CN"/>
        </w:rPr>
        <w:t>文件要求及供应商提交的响应文件约定履行合同，按时全面履行本项目的各项义务，供应商不履行本项目义务或瑕疵履行本项目义务或延迟履行本项目义务或履行合同义务不符合合同约定的，则供应商违约，采购人有权向供应商主张违约金，因供应商违约导致项目延误，采购人不承担未按时付款的义务。</w:t>
      </w:r>
    </w:p>
    <w:p w14:paraId="0CCF0E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根据《中华人民共和国民法典》的法律规定，采购人有权解除合同，并要求供应商承担相应违约责任并支付相应金额的违约金。采购人有权直接从供应商的合同款中扣除违约金，供应商因违约行为偿付的违约金不足以弥补采购人损失的，还应按采购人损失尚未弥补的部分，支付赔偿金全额赔偿采购人损失。</w:t>
      </w:r>
    </w:p>
    <w:p w14:paraId="47F236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有下列情形之一行为视为供应商违约，采购人有权按照以下条款要求供应商承担违约金及违约责任：</w:t>
      </w:r>
    </w:p>
    <w:p w14:paraId="34CDA3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项目履行期限内，供应商明确表示或者以自己的行为表明不履行本项目合同的主要义务，则供应商违约，供应商应向采购人支付合同总价款10%的违约金,且采购人有权解除合同。</w:t>
      </w:r>
    </w:p>
    <w:p w14:paraId="4413AA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项目履行期限内，采购人明确表示或者以自己的行为表明不履行本项目合同的主要义务，则采购人违约，已支付款项不予退还，采购人应就供应商已完成工作支付相应费用。</w:t>
      </w:r>
    </w:p>
    <w:p w14:paraId="76CF5F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供应商履行本项目的主要义务但不能实现合同目的的，则供应商违约，供应商应向采购人缴纳合同总价款10%的违约金，同时采购人有权解除合同。</w:t>
      </w:r>
    </w:p>
    <w:p w14:paraId="6616F8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供应商延迟履约，供应商未按照</w:t>
      </w:r>
      <w:r>
        <w:rPr>
          <w:rFonts w:hint="eastAsia" w:ascii="仿宋" w:hAnsi="仿宋" w:eastAsia="仿宋" w:cs="仿宋"/>
          <w:color w:val="auto"/>
          <w:sz w:val="28"/>
          <w:szCs w:val="28"/>
          <w:highlight w:val="none"/>
          <w:lang w:val="en-US" w:eastAsia="zh-CN"/>
        </w:rPr>
        <w:t>本项目</w:t>
      </w:r>
      <w:r>
        <w:rPr>
          <w:rFonts w:hint="default" w:ascii="仿宋" w:hAnsi="仿宋" w:eastAsia="仿宋" w:cs="仿宋"/>
          <w:color w:val="auto"/>
          <w:sz w:val="28"/>
          <w:szCs w:val="28"/>
          <w:highlight w:val="none"/>
          <w:lang w:val="en-US" w:eastAsia="zh-CN"/>
        </w:rPr>
        <w:t>合同规定的时间提供服务实现合同目的的，供应商每有一次延迟履约行为，供应商需支付违约金500元给采购人，且供应商必须在延迟履约行为发生后的24小时内弥补完成合同约定内容，否则视为供应商再次延迟履约。供应商一年累计达3次延迟履约行为，则供应商应另向采购人支付合同总价款5%的违约金，同时采购人有权解除合同。</w:t>
      </w:r>
    </w:p>
    <w:p w14:paraId="1F286E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供应商有瑕疵履行本项目义务的行为，但不影响向采购人交付合格标的成果的，供应商应承担及时修理、重作、更换、退货、减少价款或者报酬等违约责任，并承担由此给采购人造成的损失。同时供应商每有一次违约行为，采购人根据供应商瑕疵违约情节轻重减少供应商报酬，每次扣除供应商报酬200-2000元，供应商更正当次瑕疵违约行为后，可以继续按合同约定履行合同。供应商一年累计3次瑕疵违约行为，则供应商应另向采购人支付合同总价款5%的违约金，同时采购人有权解除合同。。</w:t>
      </w:r>
    </w:p>
    <w:p w14:paraId="6EB024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供应商在指定的区域内进行工作，供应商做好各项安全保障工作和预案，做好员工安全教育工作，确保员工安全及职业健康，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4A5E23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7CA826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4、其他条款按合同约定执行。</w:t>
      </w:r>
    </w:p>
    <w:p w14:paraId="6A0592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2" w:firstLineChars="20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五、其他要求（此节内容供应商在技术、服务及其他要求应答表中响应）</w:t>
      </w:r>
    </w:p>
    <w:p w14:paraId="642499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1、本章的所有内容为本次采购项目的实质性要求，不允许有负偏离。</w:t>
      </w:r>
    </w:p>
    <w:p w14:paraId="306606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2、本章内容中有明确的证明材料要求的应提供对应证明材料，否则视为负偏离。</w:t>
      </w:r>
    </w:p>
    <w:p w14:paraId="1A38E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34043543">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both"/>
        <w:textAlignment w:val="auto"/>
        <w:rPr>
          <w:rFonts w:hint="eastAsia" w:ascii="黑体" w:hAnsi="黑体" w:eastAsia="黑体" w:cs="黑体"/>
          <w:b/>
          <w:sz w:val="28"/>
          <w:szCs w:val="28"/>
          <w:highlight w:val="none"/>
        </w:rPr>
      </w:pPr>
      <w:bookmarkStart w:id="0" w:name="★4.4 违约处理"/>
      <w:bookmarkEnd w:id="0"/>
    </w:p>
    <w:p w14:paraId="1021056B">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6555A44D">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010DC641">
      <w:pPr>
        <w:pStyle w:val="11"/>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76AD67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09CCC"/>
    <w:multiLevelType w:val="singleLevel"/>
    <w:tmpl w:val="45B09CC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58B3242"/>
    <w:rsid w:val="14B24416"/>
    <w:rsid w:val="253043DD"/>
    <w:rsid w:val="447B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9"/>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0"/>
    <w:unhideWhenUsed/>
    <w:qFormat/>
    <w:uiPriority w:val="99"/>
    <w:pPr>
      <w:spacing w:before="100" w:beforeAutospacing="1" w:after="120"/>
    </w:pPr>
  </w:style>
  <w:style w:type="paragraph" w:styleId="4">
    <w:name w:val="Body Text First Indent"/>
    <w:basedOn w:val="3"/>
    <w:link w:val="15"/>
    <w:semiHidden/>
    <w:unhideWhenUsed/>
    <w:qFormat/>
    <w:uiPriority w:val="99"/>
    <w:pPr>
      <w:spacing w:before="0" w:beforeAutospacing="0"/>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6 Char"/>
    <w:basedOn w:val="7"/>
    <w:link w:val="2"/>
    <w:qFormat/>
    <w:uiPriority w:val="99"/>
    <w:rPr>
      <w:rFonts w:ascii="宋体" w:hAnsi="宋体" w:eastAsia="宋体" w:cs="宋体"/>
      <w:b/>
      <w:bCs/>
      <w:kern w:val="0"/>
      <w:sz w:val="15"/>
      <w:szCs w:val="15"/>
    </w:rPr>
  </w:style>
  <w:style w:type="character" w:customStyle="1" w:styleId="10">
    <w:name w:val="正文文本 Char"/>
    <w:basedOn w:val="7"/>
    <w:link w:val="3"/>
    <w:qFormat/>
    <w:uiPriority w:val="99"/>
    <w:rPr>
      <w:rFonts w:ascii="Times New Roman" w:hAnsi="Times New Roman" w:eastAsia="宋体" w:cs="Times New Roman"/>
      <w:szCs w:val="21"/>
    </w:rPr>
  </w:style>
  <w:style w:type="paragraph" w:customStyle="1" w:styleId="11">
    <w:name w:val="List Paragraph"/>
    <w:basedOn w:val="1"/>
    <w:qFormat/>
    <w:uiPriority w:val="0"/>
    <w:pPr>
      <w:ind w:firstLine="420" w:firstLineChars="200"/>
    </w:pPr>
  </w:style>
  <w:style w:type="paragraph" w:customStyle="1" w:styleId="12">
    <w:name w:val="null3"/>
    <w:basedOn w:val="1"/>
    <w:qFormat/>
    <w:uiPriority w:val="0"/>
    <w:pPr>
      <w:widowControl/>
      <w:jc w:val="left"/>
    </w:pPr>
    <w:rPr>
      <w:rFonts w:ascii="Calibri" w:hAnsi="Calibri"/>
      <w:kern w:val="0"/>
      <w:sz w:val="24"/>
      <w:szCs w:val="24"/>
    </w:rPr>
  </w:style>
  <w:style w:type="paragraph" w:customStyle="1" w:styleId="13">
    <w:name w:val="正文_1"/>
    <w:basedOn w:val="1"/>
    <w:next w:val="1"/>
    <w:qFormat/>
    <w:uiPriority w:val="0"/>
    <w:pPr>
      <w:spacing w:line="480" w:lineRule="exact"/>
    </w:pPr>
  </w:style>
  <w:style w:type="character" w:customStyle="1" w:styleId="14">
    <w:name w:val="15"/>
    <w:basedOn w:val="7"/>
    <w:qFormat/>
    <w:uiPriority w:val="0"/>
    <w:rPr>
      <w:rFonts w:hint="default" w:ascii="Calibri" w:hAnsi="Calibri" w:cs="Calibri"/>
      <w:b/>
    </w:rPr>
  </w:style>
  <w:style w:type="character" w:customStyle="1" w:styleId="15">
    <w:name w:val="正文首行缩进 Char"/>
    <w:basedOn w:val="10"/>
    <w:link w:val="4"/>
    <w:semiHidden/>
    <w:qFormat/>
    <w:uiPriority w:val="99"/>
    <w:rPr>
      <w:rFonts w:ascii="Times New Roman" w:hAnsi="Times New Roman" w:eastAsia="宋体" w:cs="Times New Roman"/>
      <w:szCs w:val="21"/>
    </w:rPr>
  </w:style>
  <w:style w:type="paragraph" w:customStyle="1" w:styleId="16">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743</Words>
  <Characters>771</Characters>
  <Lines>62</Lines>
  <Paragraphs>17</Paragraphs>
  <TotalTime>8</TotalTime>
  <ScaleCrop>false</ScaleCrop>
  <LinksUpToDate>false</LinksUpToDate>
  <CharactersWithSpaces>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2026-05-09T08:31:34Z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2052-12.1.0.25865</vt:lpwstr>
  </property>
  <property fmtid="{D5CDD505-2E9C-101B-9397-08002B2CF9AE}" pid="4" name="ICV">
    <vt:lpwstr>3E892C0FAC0E436E8B4716AA329CB817_13</vt:lpwstr>
  </property>
</Properties>
</file>