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364F1">
      <w:pPr>
        <w:pStyle w:val="33"/>
        <w:numPr>
          <w:ilvl w:val="0"/>
          <w:numId w:val="0"/>
        </w:numPr>
        <w:spacing w:line="360" w:lineRule="auto"/>
        <w:jc w:val="left"/>
        <w:rPr>
          <w:rFonts w:hint="eastAsia" w:ascii="仿宋" w:hAnsi="仿宋" w:eastAsia="仿宋" w:cs="仿宋"/>
          <w:b/>
          <w:bCs/>
          <w:sz w:val="28"/>
          <w:szCs w:val="28"/>
          <w:lang w:val="en-US" w:eastAsia="zh-CN"/>
        </w:rPr>
      </w:pPr>
    </w:p>
    <w:p w14:paraId="4717F07E">
      <w:pPr>
        <w:pStyle w:val="38"/>
        <w:spacing w:line="360" w:lineRule="auto"/>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大竹县人民医院达州市公立医院改革与高质量发展示范项目大竹县智慧大竹健康服务体系示范项目处方前置审核系统</w:t>
      </w:r>
    </w:p>
    <w:p w14:paraId="3CB4DEB6">
      <w:pPr>
        <w:pStyle w:val="38"/>
        <w:spacing w:line="360" w:lineRule="auto"/>
        <w:jc w:val="center"/>
        <w:rPr>
          <w:rFonts w:hint="default"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rPr>
        <w:t>采购项目</w:t>
      </w:r>
      <w:r>
        <w:rPr>
          <w:rFonts w:hint="eastAsia" w:ascii="方正公文小标宋" w:hAnsi="方正公文小标宋" w:eastAsia="方正公文小标宋" w:cs="方正公文小标宋"/>
          <w:sz w:val="32"/>
          <w:szCs w:val="32"/>
          <w:lang w:val="en-US" w:eastAsia="zh-CN"/>
        </w:rPr>
        <w:t>需求调查</w:t>
      </w:r>
    </w:p>
    <w:p w14:paraId="17945F03">
      <w:pPr>
        <w:pStyle w:val="33"/>
        <w:numPr>
          <w:ilvl w:val="0"/>
          <w:numId w:val="0"/>
        </w:numPr>
        <w:spacing w:line="360" w:lineRule="auto"/>
        <w:ind w:firstLine="560"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（需供应商逐页盖章）</w:t>
      </w:r>
    </w:p>
    <w:p w14:paraId="28F21972">
      <w:pPr>
        <w:pStyle w:val="33"/>
        <w:numPr>
          <w:ilvl w:val="0"/>
          <w:numId w:val="0"/>
        </w:numPr>
        <w:spacing w:line="360" w:lineRule="auto"/>
        <w:ind w:firstLine="560" w:firstLineChars="200"/>
        <w:jc w:val="left"/>
        <w:rPr>
          <w:rFonts w:hint="eastAsia" w:ascii="仿宋" w:hAnsi="仿宋" w:eastAsia="仿宋" w:cs="仿宋"/>
          <w:b/>
          <w:bCs/>
          <w:sz w:val="28"/>
          <w:szCs w:val="28"/>
          <w:lang w:val="en-US" w:eastAsia="zh-CN"/>
        </w:rPr>
      </w:pPr>
    </w:p>
    <w:p w14:paraId="43811D80">
      <w:pPr>
        <w:pStyle w:val="33"/>
        <w:numPr>
          <w:ilvl w:val="0"/>
          <w:numId w:val="0"/>
        </w:numPr>
        <w:spacing w:line="360" w:lineRule="auto"/>
        <w:ind w:firstLine="560" w:firstLineChars="200"/>
        <w:jc w:val="left"/>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一、</w:t>
      </w:r>
      <w:r>
        <w:rPr>
          <w:rFonts w:hint="eastAsia" w:ascii="仿宋" w:hAnsi="仿宋" w:eastAsia="仿宋" w:cs="仿宋"/>
          <w:b/>
          <w:bCs/>
          <w:sz w:val="28"/>
          <w:szCs w:val="28"/>
          <w:lang w:val="en-US" w:eastAsia="zh-CN"/>
        </w:rPr>
        <w:t>未来拟采购品目</w:t>
      </w:r>
    </w:p>
    <w:p w14:paraId="1F02CC80">
      <w:pPr>
        <w:rPr>
          <w:rFonts w:ascii="宋体" w:hAnsi="宋体" w:eastAsia="宋体" w:cs="宋体"/>
          <w:b/>
          <w:sz w:val="27"/>
          <w:szCs w:val="27"/>
          <w:lang w:eastAsia="zh-CN"/>
        </w:rPr>
      </w:pPr>
      <w:r>
        <w:rPr>
          <w:rFonts w:hint="eastAsia" w:ascii="宋体" w:hAnsi="宋体" w:eastAsia="宋体" w:cs="宋体"/>
          <w:b/>
          <w:sz w:val="27"/>
          <w:szCs w:val="27"/>
          <w:lang w:eastAsia="zh-CN"/>
        </w:rPr>
        <w:t>（一）系统整体要求</w:t>
      </w:r>
    </w:p>
    <w:p w14:paraId="35CE22BA">
      <w:pPr>
        <w:numPr>
          <w:ilvl w:val="0"/>
          <w:numId w:val="3"/>
        </w:numPr>
        <w:kinsoku/>
        <w:autoSpaceDE/>
        <w:autoSpaceDN/>
        <w:adjustRightInd/>
        <w:snapToGrid/>
        <w:spacing w:after="120" w:line="360" w:lineRule="auto"/>
        <w:ind w:left="480" w:hanging="480" w:hangingChars="200"/>
        <w:jc w:val="both"/>
        <w:textAlignment w:val="auto"/>
        <w:rPr>
          <w:rFonts w:ascii="宋体" w:hAnsi="宋体" w:eastAsia="宋体" w:cs="宋体"/>
          <w:sz w:val="24"/>
          <w:szCs w:val="27"/>
          <w:lang w:eastAsia="zh-CN"/>
        </w:rPr>
      </w:pPr>
      <w:r>
        <w:rPr>
          <w:rFonts w:hint="eastAsia" w:ascii="宋体" w:hAnsi="宋体" w:eastAsia="宋体" w:cs="宋体"/>
          <w:sz w:val="24"/>
          <w:szCs w:val="27"/>
          <w:lang w:eastAsia="zh-CN"/>
        </w:rPr>
        <w:t>支持与 HIS 系统建立熔断机制以保障意外情况下临床业务不受影响。</w:t>
      </w:r>
    </w:p>
    <w:p w14:paraId="12BDE834">
      <w:pPr>
        <w:numPr>
          <w:ilvl w:val="0"/>
          <w:numId w:val="3"/>
        </w:numPr>
        <w:kinsoku/>
        <w:autoSpaceDE/>
        <w:autoSpaceDN/>
        <w:adjustRightInd/>
        <w:snapToGrid/>
        <w:spacing w:after="120" w:line="360" w:lineRule="auto"/>
        <w:ind w:left="480" w:hanging="480" w:hangingChars="200"/>
        <w:jc w:val="both"/>
        <w:textAlignment w:val="auto"/>
        <w:rPr>
          <w:rFonts w:ascii="宋体" w:hAnsi="宋体" w:eastAsia="宋体" w:cs="宋体"/>
          <w:sz w:val="24"/>
          <w:szCs w:val="27"/>
          <w:lang w:eastAsia="zh-CN"/>
        </w:rPr>
      </w:pPr>
      <w:r>
        <w:rPr>
          <w:rFonts w:hint="eastAsia" w:ascii="宋体" w:hAnsi="宋体" w:eastAsia="宋体" w:cs="宋体"/>
          <w:sz w:val="24"/>
          <w:szCs w:val="27"/>
          <w:lang w:eastAsia="zh-CN"/>
        </w:rPr>
        <w:t>支持药品目录按国家食品药品管理局发布的本位码进行管理。</w:t>
      </w:r>
    </w:p>
    <w:p w14:paraId="171596A1">
      <w:pPr>
        <w:numPr>
          <w:ilvl w:val="0"/>
          <w:numId w:val="3"/>
        </w:numPr>
        <w:kinsoku/>
        <w:autoSpaceDE/>
        <w:autoSpaceDN/>
        <w:adjustRightInd/>
        <w:snapToGrid/>
        <w:spacing w:after="120" w:line="360" w:lineRule="auto"/>
        <w:ind w:left="480" w:hanging="480" w:hangingChars="200"/>
        <w:jc w:val="both"/>
        <w:textAlignment w:val="auto"/>
        <w:rPr>
          <w:rFonts w:ascii="宋体" w:hAnsi="宋体" w:eastAsia="宋体" w:cs="宋体"/>
          <w:sz w:val="24"/>
          <w:szCs w:val="27"/>
          <w:lang w:eastAsia="zh-CN"/>
        </w:rPr>
      </w:pPr>
      <w:r>
        <w:rPr>
          <w:rFonts w:hint="eastAsia" w:ascii="宋体" w:hAnsi="宋体" w:eastAsia="宋体" w:cs="宋体"/>
          <w:sz w:val="24"/>
          <w:szCs w:val="27"/>
          <w:lang w:eastAsia="zh-CN"/>
        </w:rPr>
        <w:t>支持服务器缓存技术以避免软件长期使用后可能会出现的卡顿问题。</w:t>
      </w:r>
    </w:p>
    <w:p w14:paraId="3E509194">
      <w:pPr>
        <w:numPr>
          <w:ilvl w:val="0"/>
          <w:numId w:val="3"/>
        </w:numPr>
        <w:kinsoku/>
        <w:autoSpaceDE/>
        <w:autoSpaceDN/>
        <w:adjustRightInd/>
        <w:snapToGrid/>
        <w:spacing w:after="120" w:line="360" w:lineRule="auto"/>
        <w:ind w:left="480" w:hanging="480" w:hangingChars="200"/>
        <w:jc w:val="both"/>
        <w:textAlignment w:val="auto"/>
        <w:rPr>
          <w:rFonts w:hint="eastAsia" w:ascii="宋体" w:hAnsi="宋体" w:eastAsia="宋体" w:cs="宋体"/>
          <w:sz w:val="24"/>
          <w:szCs w:val="27"/>
          <w:lang w:eastAsia="zh-CN"/>
        </w:rPr>
      </w:pPr>
      <w:r>
        <w:rPr>
          <w:rFonts w:hint="eastAsia" w:ascii="宋体" w:hAnsi="宋体" w:eastAsia="宋体" w:cs="宋体"/>
          <w:sz w:val="24"/>
          <w:szCs w:val="27"/>
          <w:lang w:eastAsia="zh-CN"/>
        </w:rPr>
        <w:t>支持权限管理，药师可对现有系统所有功能模块及使用系统的药师角色进行快速的权限对应，实现药剂科室更高效的人员管理，有助于工作效率的提升。</w:t>
      </w:r>
    </w:p>
    <w:p w14:paraId="06A2C7C1">
      <w:pPr>
        <w:numPr>
          <w:ilvl w:val="0"/>
          <w:numId w:val="3"/>
        </w:numPr>
        <w:kinsoku/>
        <w:autoSpaceDE/>
        <w:autoSpaceDN/>
        <w:adjustRightInd/>
        <w:snapToGrid/>
        <w:spacing w:after="120" w:line="360" w:lineRule="auto"/>
        <w:ind w:left="480" w:hanging="480" w:hangingChars="200"/>
        <w:jc w:val="both"/>
        <w:textAlignment w:val="auto"/>
        <w:rPr>
          <w:rFonts w:hint="eastAsia" w:ascii="宋体" w:hAnsi="宋体" w:eastAsia="宋体" w:cs="宋体"/>
          <w:sz w:val="24"/>
          <w:szCs w:val="27"/>
          <w:lang w:eastAsia="zh-CN"/>
        </w:rPr>
      </w:pPr>
      <w:r>
        <w:rPr>
          <w:rFonts w:hint="eastAsia" w:ascii="宋体" w:hAnsi="宋体" w:eastAsia="宋体" w:cs="宋体"/>
          <w:sz w:val="24"/>
          <w:szCs w:val="27"/>
          <w:lang w:eastAsia="zh-CN"/>
        </w:rPr>
        <w:t>支持规则自定义，所有药品规则包括禁忌症、适应症、相互作用、注射剂配伍、重复用药等均需支持用户自定义。</w:t>
      </w:r>
    </w:p>
    <w:p w14:paraId="485B4D02">
      <w:pPr>
        <w:numPr>
          <w:ilvl w:val="0"/>
          <w:numId w:val="3"/>
        </w:numPr>
        <w:kinsoku/>
        <w:autoSpaceDE/>
        <w:autoSpaceDN/>
        <w:adjustRightInd/>
        <w:snapToGrid/>
        <w:spacing w:after="120" w:line="360" w:lineRule="auto"/>
        <w:ind w:left="480" w:hanging="480" w:hangingChars="200"/>
        <w:jc w:val="both"/>
        <w:textAlignment w:val="auto"/>
        <w:rPr>
          <w:rFonts w:hint="eastAsia" w:ascii="宋体" w:hAnsi="宋体" w:eastAsia="宋体" w:cs="宋体"/>
          <w:sz w:val="24"/>
          <w:szCs w:val="27"/>
          <w:lang w:eastAsia="zh-CN"/>
        </w:rPr>
      </w:pPr>
      <w:r>
        <w:rPr>
          <w:rFonts w:hint="eastAsia" w:ascii="宋体" w:hAnsi="宋体" w:eastAsia="宋体" w:cs="宋体"/>
          <w:sz w:val="24"/>
          <w:szCs w:val="27"/>
          <w:lang w:eastAsia="zh-CN"/>
        </w:rPr>
        <w:t>为提高本项目相关的业务系统操作便利性，供应商在与采购人现有HIS、</w:t>
      </w:r>
      <w:r>
        <w:rPr>
          <w:rFonts w:hint="eastAsia" w:ascii="宋体" w:hAnsi="宋体" w:eastAsia="宋体" w:cs="宋体"/>
          <w:color w:val="auto"/>
          <w:sz w:val="24"/>
          <w:szCs w:val="16"/>
          <w:lang w:eastAsia="zh-CN" w:bidi="ar"/>
        </w:rPr>
        <w:t>电子病历、LIS、PACS、</w:t>
      </w:r>
      <w:r>
        <w:rPr>
          <w:rFonts w:hint="eastAsia" w:ascii="宋体" w:hAnsi="宋体" w:eastAsia="宋体" w:cs="宋体"/>
          <w:sz w:val="24"/>
          <w:szCs w:val="27"/>
          <w:lang w:eastAsia="zh-CN"/>
        </w:rPr>
        <w:t>合理用药、处方点评等信息系统进行系统对接时，需实现嵌入式对接，医护人员无感切换，</w:t>
      </w:r>
      <w:r>
        <w:rPr>
          <w:rFonts w:hint="eastAsia" w:ascii="宋体" w:hAnsi="宋体" w:eastAsia="宋体" w:cs="宋体"/>
          <w:color w:val="auto"/>
          <w:sz w:val="24"/>
          <w:szCs w:val="16"/>
          <w:lang w:eastAsia="zh-CN" w:bidi="ar"/>
        </w:rPr>
        <w:t>满足业务流程需求</w:t>
      </w:r>
      <w:r>
        <w:rPr>
          <w:rFonts w:hint="eastAsia" w:ascii="宋体" w:hAnsi="宋体" w:eastAsia="宋体" w:cs="宋体"/>
          <w:sz w:val="24"/>
          <w:szCs w:val="27"/>
          <w:lang w:eastAsia="zh-CN"/>
        </w:rPr>
        <w:t>。</w:t>
      </w:r>
    </w:p>
    <w:p w14:paraId="46ADD6F7">
      <w:pPr>
        <w:numPr>
          <w:ilvl w:val="0"/>
          <w:numId w:val="3"/>
        </w:numPr>
        <w:kinsoku/>
        <w:autoSpaceDE/>
        <w:autoSpaceDN/>
        <w:adjustRightInd/>
        <w:snapToGrid/>
        <w:spacing w:after="120" w:line="360" w:lineRule="auto"/>
        <w:ind w:left="480" w:hanging="480" w:hangingChars="200"/>
        <w:jc w:val="both"/>
        <w:textAlignment w:val="auto"/>
        <w:rPr>
          <w:rFonts w:hint="eastAsia" w:ascii="宋体" w:hAnsi="宋体" w:eastAsia="宋体" w:cs="宋体"/>
          <w:sz w:val="24"/>
          <w:szCs w:val="27"/>
          <w:lang w:eastAsia="zh-CN"/>
        </w:rPr>
      </w:pPr>
      <w:r>
        <w:rPr>
          <w:rFonts w:hint="eastAsia" w:ascii="宋体" w:hAnsi="宋体" w:eastAsia="宋体" w:cs="宋体"/>
          <w:sz w:val="24"/>
          <w:szCs w:val="27"/>
          <w:lang w:eastAsia="zh-CN"/>
        </w:rPr>
        <w:t>本项目包含采购人现有相关业务系统与之对接的所有接口费用。</w:t>
      </w:r>
    </w:p>
    <w:p w14:paraId="5FDD4CB2">
      <w:pPr>
        <w:pStyle w:val="33"/>
        <w:numPr>
          <w:ilvl w:val="0"/>
          <w:numId w:val="0"/>
        </w:numPr>
        <w:spacing w:line="360" w:lineRule="auto"/>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二、技术要求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1549"/>
        <w:gridCol w:w="6634"/>
      </w:tblGrid>
      <w:tr w14:paraId="1BFF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14:paraId="02396BFE">
            <w:pPr>
              <w:pStyle w:val="54"/>
              <w:widowControl w:val="0"/>
              <w:spacing w:before="109" w:line="219" w:lineRule="auto"/>
              <w:ind w:left="525"/>
              <w:jc w:val="both"/>
              <w:rPr>
                <w:spacing w:val="9"/>
              </w:rPr>
            </w:pPr>
            <w:r>
              <w:rPr>
                <w:rFonts w:hint="eastAsia"/>
                <w:spacing w:val="9"/>
              </w:rPr>
              <w:t>功能模块</w:t>
            </w:r>
          </w:p>
        </w:tc>
        <w:tc>
          <w:tcPr>
            <w:tcW w:w="1559" w:type="dxa"/>
          </w:tcPr>
          <w:p w14:paraId="7925DA25">
            <w:pPr>
              <w:pStyle w:val="54"/>
              <w:widowControl w:val="0"/>
              <w:spacing w:before="109" w:line="219" w:lineRule="auto"/>
              <w:jc w:val="both"/>
              <w:rPr>
                <w:spacing w:val="9"/>
              </w:rPr>
            </w:pPr>
            <w:r>
              <w:rPr>
                <w:rFonts w:hint="eastAsia"/>
                <w:spacing w:val="9"/>
              </w:rPr>
              <w:t>具体功能</w:t>
            </w:r>
          </w:p>
        </w:tc>
        <w:tc>
          <w:tcPr>
            <w:tcW w:w="6796" w:type="dxa"/>
          </w:tcPr>
          <w:p w14:paraId="483F54A7">
            <w:pPr>
              <w:pStyle w:val="54"/>
              <w:widowControl w:val="0"/>
              <w:spacing w:before="109" w:line="219" w:lineRule="auto"/>
              <w:ind w:left="525"/>
              <w:jc w:val="both"/>
              <w:rPr>
                <w:spacing w:val="9"/>
              </w:rPr>
            </w:pPr>
            <w:r>
              <w:rPr>
                <w:rFonts w:hint="eastAsia"/>
                <w:spacing w:val="9"/>
              </w:rPr>
              <w:t>详细要求</w:t>
            </w:r>
          </w:p>
        </w:tc>
      </w:tr>
      <w:tr w14:paraId="73B9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restart"/>
          </w:tcPr>
          <w:p w14:paraId="07A6F1D0">
            <w:pPr>
              <w:pStyle w:val="54"/>
              <w:widowControl w:val="0"/>
              <w:spacing w:before="109" w:line="219" w:lineRule="auto"/>
              <w:jc w:val="both"/>
              <w:rPr>
                <w:spacing w:val="9"/>
                <w:lang w:eastAsia="zh-CN"/>
              </w:rPr>
            </w:pPr>
            <w:r>
              <w:rPr>
                <w:spacing w:val="9"/>
                <w:lang w:eastAsia="zh-CN"/>
              </w:rPr>
              <w:t>一、药师审方干预模块</w:t>
            </w:r>
          </w:p>
          <w:p w14:paraId="3E31B633">
            <w:pPr>
              <w:pStyle w:val="54"/>
              <w:widowControl w:val="0"/>
              <w:spacing w:before="109" w:line="219" w:lineRule="auto"/>
              <w:ind w:left="525"/>
              <w:jc w:val="both"/>
              <w:rPr>
                <w:spacing w:val="9"/>
                <w:lang w:eastAsia="zh-CN"/>
              </w:rPr>
            </w:pPr>
          </w:p>
          <w:p w14:paraId="3567EB64">
            <w:pPr>
              <w:pStyle w:val="54"/>
              <w:widowControl w:val="0"/>
              <w:spacing w:before="109" w:line="219" w:lineRule="auto"/>
              <w:ind w:left="525"/>
              <w:jc w:val="both"/>
              <w:rPr>
                <w:spacing w:val="9"/>
                <w:lang w:eastAsia="zh-CN"/>
              </w:rPr>
            </w:pPr>
          </w:p>
          <w:p w14:paraId="27364BF6">
            <w:pPr>
              <w:pStyle w:val="54"/>
              <w:widowControl w:val="0"/>
              <w:spacing w:before="109" w:line="219" w:lineRule="auto"/>
              <w:ind w:left="525"/>
              <w:jc w:val="both"/>
              <w:rPr>
                <w:spacing w:val="9"/>
                <w:lang w:eastAsia="zh-CN"/>
              </w:rPr>
            </w:pPr>
          </w:p>
          <w:p w14:paraId="58DD2449">
            <w:pPr>
              <w:pStyle w:val="54"/>
              <w:widowControl w:val="0"/>
              <w:spacing w:before="109" w:line="219" w:lineRule="auto"/>
              <w:ind w:left="525"/>
              <w:jc w:val="both"/>
              <w:rPr>
                <w:spacing w:val="9"/>
                <w:lang w:eastAsia="zh-CN"/>
              </w:rPr>
            </w:pPr>
          </w:p>
          <w:p w14:paraId="7D8F99D0">
            <w:pPr>
              <w:pStyle w:val="54"/>
              <w:widowControl w:val="0"/>
              <w:spacing w:before="109" w:line="219" w:lineRule="auto"/>
              <w:ind w:left="525"/>
              <w:jc w:val="both"/>
              <w:rPr>
                <w:spacing w:val="9"/>
                <w:lang w:eastAsia="zh-CN"/>
              </w:rPr>
            </w:pPr>
          </w:p>
          <w:p w14:paraId="032F0C83">
            <w:pPr>
              <w:pStyle w:val="54"/>
              <w:widowControl w:val="0"/>
              <w:spacing w:before="109" w:line="219" w:lineRule="auto"/>
              <w:ind w:left="525"/>
              <w:jc w:val="both"/>
              <w:rPr>
                <w:spacing w:val="9"/>
                <w:lang w:eastAsia="zh-CN"/>
              </w:rPr>
            </w:pPr>
          </w:p>
          <w:p w14:paraId="3FA3CFA1">
            <w:pPr>
              <w:pStyle w:val="54"/>
              <w:widowControl w:val="0"/>
              <w:spacing w:before="109" w:line="219" w:lineRule="auto"/>
              <w:ind w:left="525"/>
              <w:jc w:val="both"/>
              <w:rPr>
                <w:spacing w:val="9"/>
                <w:lang w:eastAsia="zh-CN"/>
              </w:rPr>
            </w:pPr>
          </w:p>
          <w:p w14:paraId="1DC1B539">
            <w:pPr>
              <w:pStyle w:val="54"/>
              <w:widowControl w:val="0"/>
              <w:spacing w:before="109" w:line="219" w:lineRule="auto"/>
              <w:ind w:left="525"/>
              <w:jc w:val="both"/>
              <w:rPr>
                <w:spacing w:val="9"/>
                <w:lang w:eastAsia="zh-CN"/>
              </w:rPr>
            </w:pPr>
          </w:p>
          <w:p w14:paraId="1477F62F">
            <w:pPr>
              <w:pStyle w:val="54"/>
              <w:widowControl w:val="0"/>
              <w:spacing w:before="109" w:line="219" w:lineRule="auto"/>
              <w:ind w:left="525"/>
              <w:jc w:val="both"/>
              <w:rPr>
                <w:spacing w:val="9"/>
                <w:lang w:eastAsia="zh-CN"/>
              </w:rPr>
            </w:pPr>
          </w:p>
          <w:p w14:paraId="549ACA17">
            <w:pPr>
              <w:pStyle w:val="54"/>
              <w:widowControl w:val="0"/>
              <w:spacing w:before="109" w:line="219" w:lineRule="auto"/>
              <w:ind w:left="525"/>
              <w:jc w:val="both"/>
              <w:rPr>
                <w:spacing w:val="9"/>
                <w:lang w:eastAsia="zh-CN"/>
              </w:rPr>
            </w:pPr>
          </w:p>
          <w:p w14:paraId="7BCE8AFD">
            <w:pPr>
              <w:pStyle w:val="54"/>
              <w:widowControl w:val="0"/>
              <w:spacing w:before="109" w:line="219" w:lineRule="auto"/>
              <w:ind w:left="525"/>
              <w:jc w:val="both"/>
              <w:rPr>
                <w:spacing w:val="9"/>
                <w:lang w:eastAsia="zh-CN"/>
              </w:rPr>
            </w:pPr>
          </w:p>
          <w:p w14:paraId="0564E4A0">
            <w:pPr>
              <w:pStyle w:val="54"/>
              <w:widowControl w:val="0"/>
              <w:spacing w:before="109" w:line="219" w:lineRule="auto"/>
              <w:ind w:left="525"/>
              <w:jc w:val="both"/>
              <w:rPr>
                <w:spacing w:val="9"/>
                <w:lang w:eastAsia="zh-CN"/>
              </w:rPr>
            </w:pPr>
          </w:p>
          <w:p w14:paraId="39CEDF50">
            <w:pPr>
              <w:pStyle w:val="54"/>
              <w:widowControl w:val="0"/>
              <w:spacing w:before="109" w:line="219" w:lineRule="auto"/>
              <w:ind w:left="525"/>
              <w:jc w:val="both"/>
              <w:rPr>
                <w:spacing w:val="9"/>
                <w:lang w:eastAsia="zh-CN"/>
              </w:rPr>
            </w:pPr>
          </w:p>
          <w:p w14:paraId="6599D80D">
            <w:pPr>
              <w:pStyle w:val="54"/>
              <w:widowControl w:val="0"/>
              <w:spacing w:before="109" w:line="219" w:lineRule="auto"/>
              <w:ind w:left="525"/>
              <w:jc w:val="both"/>
              <w:rPr>
                <w:spacing w:val="9"/>
                <w:lang w:eastAsia="zh-CN"/>
              </w:rPr>
            </w:pPr>
          </w:p>
          <w:p w14:paraId="1A416745">
            <w:pPr>
              <w:pStyle w:val="54"/>
              <w:widowControl w:val="0"/>
              <w:spacing w:before="109" w:line="219" w:lineRule="auto"/>
              <w:ind w:left="525"/>
              <w:jc w:val="both"/>
              <w:rPr>
                <w:spacing w:val="9"/>
                <w:lang w:eastAsia="zh-CN"/>
              </w:rPr>
            </w:pPr>
          </w:p>
          <w:p w14:paraId="34C01545">
            <w:pPr>
              <w:pStyle w:val="54"/>
              <w:widowControl w:val="0"/>
              <w:spacing w:before="109" w:line="219" w:lineRule="auto"/>
              <w:ind w:left="525"/>
              <w:jc w:val="both"/>
              <w:rPr>
                <w:spacing w:val="9"/>
                <w:lang w:eastAsia="zh-CN"/>
              </w:rPr>
            </w:pPr>
          </w:p>
          <w:p w14:paraId="22513FB2">
            <w:pPr>
              <w:pStyle w:val="54"/>
              <w:widowControl w:val="0"/>
              <w:spacing w:before="109" w:line="219" w:lineRule="auto"/>
              <w:ind w:left="525"/>
              <w:jc w:val="both"/>
              <w:rPr>
                <w:spacing w:val="9"/>
                <w:lang w:eastAsia="zh-CN"/>
              </w:rPr>
            </w:pPr>
          </w:p>
          <w:p w14:paraId="1E71F1D5">
            <w:pPr>
              <w:pStyle w:val="54"/>
              <w:widowControl w:val="0"/>
              <w:spacing w:before="109" w:line="219" w:lineRule="auto"/>
              <w:ind w:left="525"/>
              <w:jc w:val="both"/>
              <w:rPr>
                <w:spacing w:val="9"/>
                <w:lang w:eastAsia="zh-CN"/>
              </w:rPr>
            </w:pPr>
          </w:p>
          <w:p w14:paraId="20BF139B">
            <w:pPr>
              <w:pStyle w:val="54"/>
              <w:widowControl w:val="0"/>
              <w:spacing w:before="109" w:line="219" w:lineRule="auto"/>
              <w:ind w:left="525"/>
              <w:jc w:val="both"/>
              <w:rPr>
                <w:spacing w:val="9"/>
                <w:lang w:eastAsia="zh-CN"/>
              </w:rPr>
            </w:pPr>
          </w:p>
          <w:p w14:paraId="11390F4C">
            <w:pPr>
              <w:pStyle w:val="54"/>
              <w:widowControl w:val="0"/>
              <w:spacing w:before="109" w:line="219" w:lineRule="auto"/>
              <w:ind w:left="525"/>
              <w:jc w:val="both"/>
              <w:rPr>
                <w:spacing w:val="9"/>
              </w:rPr>
            </w:pPr>
          </w:p>
          <w:p w14:paraId="4DA278D2">
            <w:pPr>
              <w:pStyle w:val="54"/>
              <w:widowControl w:val="0"/>
              <w:spacing w:before="109" w:line="219" w:lineRule="auto"/>
              <w:ind w:left="525"/>
              <w:jc w:val="both"/>
              <w:rPr>
                <w:spacing w:val="9"/>
              </w:rPr>
            </w:pPr>
          </w:p>
          <w:p w14:paraId="252A50AB">
            <w:pPr>
              <w:pStyle w:val="54"/>
              <w:widowControl w:val="0"/>
              <w:spacing w:before="109" w:line="219" w:lineRule="auto"/>
              <w:ind w:left="525"/>
              <w:jc w:val="both"/>
              <w:rPr>
                <w:spacing w:val="9"/>
              </w:rPr>
            </w:pPr>
          </w:p>
          <w:p w14:paraId="72A9597A">
            <w:pPr>
              <w:pStyle w:val="54"/>
              <w:widowControl w:val="0"/>
              <w:spacing w:before="109" w:line="219" w:lineRule="auto"/>
              <w:ind w:left="525"/>
              <w:jc w:val="both"/>
              <w:rPr>
                <w:spacing w:val="9"/>
              </w:rPr>
            </w:pPr>
          </w:p>
          <w:p w14:paraId="5D613466">
            <w:pPr>
              <w:pStyle w:val="54"/>
              <w:widowControl w:val="0"/>
              <w:spacing w:before="109" w:line="219" w:lineRule="auto"/>
              <w:ind w:left="525"/>
              <w:jc w:val="both"/>
              <w:rPr>
                <w:spacing w:val="9"/>
              </w:rPr>
            </w:pPr>
          </w:p>
          <w:p w14:paraId="70B9EC18">
            <w:pPr>
              <w:pStyle w:val="54"/>
              <w:widowControl w:val="0"/>
              <w:spacing w:before="109" w:line="219" w:lineRule="auto"/>
              <w:ind w:left="525"/>
              <w:jc w:val="both"/>
              <w:rPr>
                <w:spacing w:val="9"/>
              </w:rPr>
            </w:pPr>
          </w:p>
          <w:p w14:paraId="7D7A2DFC">
            <w:pPr>
              <w:pStyle w:val="54"/>
              <w:widowControl w:val="0"/>
              <w:spacing w:before="109" w:line="219" w:lineRule="auto"/>
              <w:ind w:left="525"/>
              <w:jc w:val="both"/>
              <w:rPr>
                <w:spacing w:val="9"/>
              </w:rPr>
            </w:pPr>
          </w:p>
          <w:p w14:paraId="1B27B29D">
            <w:pPr>
              <w:pStyle w:val="54"/>
              <w:widowControl w:val="0"/>
              <w:spacing w:before="109" w:line="219" w:lineRule="auto"/>
              <w:ind w:left="525"/>
              <w:jc w:val="both"/>
              <w:rPr>
                <w:spacing w:val="9"/>
              </w:rPr>
            </w:pPr>
          </w:p>
          <w:p w14:paraId="42DC1E16">
            <w:pPr>
              <w:pStyle w:val="54"/>
              <w:widowControl w:val="0"/>
              <w:spacing w:before="109" w:line="219" w:lineRule="auto"/>
              <w:ind w:left="525"/>
              <w:jc w:val="both"/>
              <w:rPr>
                <w:spacing w:val="9"/>
              </w:rPr>
            </w:pPr>
          </w:p>
          <w:p w14:paraId="3F6B9310">
            <w:pPr>
              <w:pStyle w:val="54"/>
              <w:widowControl w:val="0"/>
              <w:spacing w:before="109" w:line="219" w:lineRule="auto"/>
              <w:ind w:left="525"/>
              <w:jc w:val="both"/>
              <w:rPr>
                <w:spacing w:val="9"/>
              </w:rPr>
            </w:pPr>
          </w:p>
          <w:p w14:paraId="679D0B2D">
            <w:pPr>
              <w:pStyle w:val="54"/>
              <w:widowControl w:val="0"/>
              <w:spacing w:before="109" w:line="219" w:lineRule="auto"/>
              <w:ind w:left="525"/>
              <w:jc w:val="both"/>
              <w:rPr>
                <w:spacing w:val="9"/>
              </w:rPr>
            </w:pPr>
          </w:p>
          <w:p w14:paraId="28E41B22">
            <w:pPr>
              <w:pStyle w:val="54"/>
              <w:widowControl w:val="0"/>
              <w:spacing w:before="109" w:line="219" w:lineRule="auto"/>
              <w:ind w:left="525"/>
              <w:jc w:val="both"/>
              <w:rPr>
                <w:spacing w:val="9"/>
              </w:rPr>
            </w:pPr>
          </w:p>
          <w:p w14:paraId="28574A28">
            <w:pPr>
              <w:pStyle w:val="54"/>
              <w:widowControl w:val="0"/>
              <w:spacing w:before="109" w:line="219" w:lineRule="auto"/>
              <w:ind w:left="525"/>
              <w:jc w:val="both"/>
              <w:rPr>
                <w:spacing w:val="9"/>
              </w:rPr>
            </w:pPr>
          </w:p>
          <w:p w14:paraId="3ED7EB8A">
            <w:pPr>
              <w:pStyle w:val="54"/>
              <w:widowControl w:val="0"/>
              <w:spacing w:before="109" w:line="219" w:lineRule="auto"/>
              <w:ind w:left="525"/>
              <w:jc w:val="both"/>
              <w:rPr>
                <w:spacing w:val="9"/>
              </w:rPr>
            </w:pPr>
          </w:p>
          <w:p w14:paraId="1E3CD826">
            <w:pPr>
              <w:pStyle w:val="54"/>
              <w:widowControl w:val="0"/>
              <w:spacing w:before="109" w:line="219" w:lineRule="auto"/>
              <w:ind w:left="525"/>
              <w:jc w:val="both"/>
              <w:rPr>
                <w:spacing w:val="9"/>
              </w:rPr>
            </w:pPr>
          </w:p>
          <w:p w14:paraId="4FCF6386">
            <w:pPr>
              <w:pStyle w:val="54"/>
              <w:widowControl w:val="0"/>
              <w:spacing w:before="109" w:line="219" w:lineRule="auto"/>
              <w:ind w:left="525"/>
              <w:jc w:val="both"/>
              <w:rPr>
                <w:spacing w:val="9"/>
              </w:rPr>
            </w:pPr>
          </w:p>
          <w:p w14:paraId="4199B0FC">
            <w:pPr>
              <w:pStyle w:val="54"/>
              <w:widowControl w:val="0"/>
              <w:spacing w:before="109" w:line="219" w:lineRule="auto"/>
              <w:ind w:left="525"/>
              <w:jc w:val="both"/>
              <w:rPr>
                <w:spacing w:val="9"/>
              </w:rPr>
            </w:pPr>
          </w:p>
          <w:p w14:paraId="6D785896">
            <w:pPr>
              <w:pStyle w:val="54"/>
              <w:widowControl w:val="0"/>
              <w:spacing w:before="109" w:line="219" w:lineRule="auto"/>
              <w:ind w:left="525"/>
              <w:jc w:val="both"/>
              <w:rPr>
                <w:spacing w:val="9"/>
              </w:rPr>
            </w:pPr>
          </w:p>
          <w:p w14:paraId="1062CC6D">
            <w:pPr>
              <w:pStyle w:val="54"/>
              <w:widowControl w:val="0"/>
              <w:spacing w:before="109" w:line="219" w:lineRule="auto"/>
              <w:ind w:left="525"/>
              <w:jc w:val="both"/>
              <w:rPr>
                <w:spacing w:val="9"/>
              </w:rPr>
            </w:pPr>
          </w:p>
          <w:p w14:paraId="02DA6CE6">
            <w:pPr>
              <w:pStyle w:val="54"/>
              <w:widowControl w:val="0"/>
              <w:spacing w:before="109" w:line="219" w:lineRule="auto"/>
              <w:ind w:left="525"/>
              <w:jc w:val="both"/>
              <w:rPr>
                <w:spacing w:val="9"/>
              </w:rPr>
            </w:pPr>
          </w:p>
          <w:p w14:paraId="7C031631">
            <w:pPr>
              <w:pStyle w:val="54"/>
              <w:widowControl w:val="0"/>
              <w:spacing w:before="109" w:line="219" w:lineRule="auto"/>
              <w:ind w:left="525"/>
              <w:jc w:val="both"/>
              <w:rPr>
                <w:spacing w:val="9"/>
              </w:rPr>
            </w:pPr>
          </w:p>
          <w:p w14:paraId="3AD870FD">
            <w:pPr>
              <w:pStyle w:val="54"/>
              <w:widowControl w:val="0"/>
              <w:spacing w:before="109" w:line="219" w:lineRule="auto"/>
              <w:ind w:left="525"/>
              <w:jc w:val="both"/>
              <w:rPr>
                <w:spacing w:val="9"/>
              </w:rPr>
            </w:pPr>
          </w:p>
          <w:p w14:paraId="4BD34DC3">
            <w:pPr>
              <w:pStyle w:val="54"/>
              <w:widowControl w:val="0"/>
              <w:spacing w:before="109" w:line="219" w:lineRule="auto"/>
              <w:ind w:left="525"/>
              <w:jc w:val="both"/>
              <w:rPr>
                <w:spacing w:val="9"/>
              </w:rPr>
            </w:pPr>
          </w:p>
          <w:p w14:paraId="1FC58B60">
            <w:pPr>
              <w:pStyle w:val="54"/>
              <w:widowControl w:val="0"/>
              <w:spacing w:before="109" w:line="219" w:lineRule="auto"/>
              <w:ind w:left="525"/>
              <w:jc w:val="both"/>
              <w:rPr>
                <w:spacing w:val="9"/>
              </w:rPr>
            </w:pPr>
          </w:p>
          <w:p w14:paraId="188FF839">
            <w:pPr>
              <w:pStyle w:val="54"/>
              <w:widowControl w:val="0"/>
              <w:spacing w:before="109" w:line="219" w:lineRule="auto"/>
              <w:ind w:left="525"/>
              <w:jc w:val="both"/>
              <w:rPr>
                <w:spacing w:val="9"/>
              </w:rPr>
            </w:pPr>
          </w:p>
          <w:p w14:paraId="1A49AC42">
            <w:pPr>
              <w:pStyle w:val="54"/>
              <w:widowControl w:val="0"/>
              <w:spacing w:before="109" w:line="219" w:lineRule="auto"/>
              <w:ind w:left="525"/>
              <w:jc w:val="both"/>
              <w:rPr>
                <w:spacing w:val="9"/>
              </w:rPr>
            </w:pPr>
          </w:p>
          <w:p w14:paraId="45F31AB7">
            <w:pPr>
              <w:pStyle w:val="54"/>
              <w:widowControl w:val="0"/>
              <w:spacing w:before="109" w:line="219" w:lineRule="auto"/>
              <w:ind w:left="525"/>
              <w:jc w:val="both"/>
              <w:rPr>
                <w:spacing w:val="9"/>
              </w:rPr>
            </w:pPr>
          </w:p>
          <w:p w14:paraId="46D3793B">
            <w:pPr>
              <w:pStyle w:val="54"/>
              <w:widowControl w:val="0"/>
              <w:spacing w:before="109" w:line="219" w:lineRule="auto"/>
              <w:ind w:left="525"/>
              <w:jc w:val="both"/>
              <w:rPr>
                <w:spacing w:val="9"/>
              </w:rPr>
            </w:pPr>
          </w:p>
          <w:p w14:paraId="5BE8C2A7">
            <w:pPr>
              <w:pStyle w:val="54"/>
              <w:widowControl w:val="0"/>
              <w:spacing w:before="109" w:line="219" w:lineRule="auto"/>
              <w:ind w:left="525"/>
              <w:jc w:val="both"/>
              <w:rPr>
                <w:spacing w:val="9"/>
              </w:rPr>
            </w:pPr>
          </w:p>
          <w:p w14:paraId="3A17D6F7">
            <w:pPr>
              <w:pStyle w:val="54"/>
              <w:widowControl w:val="0"/>
              <w:spacing w:before="109" w:line="219" w:lineRule="auto"/>
              <w:ind w:left="525"/>
              <w:jc w:val="both"/>
              <w:rPr>
                <w:spacing w:val="9"/>
              </w:rPr>
            </w:pPr>
          </w:p>
          <w:p w14:paraId="25687C20">
            <w:pPr>
              <w:pStyle w:val="54"/>
              <w:widowControl w:val="0"/>
              <w:spacing w:before="109" w:line="219" w:lineRule="auto"/>
              <w:ind w:left="525"/>
              <w:jc w:val="both"/>
              <w:rPr>
                <w:spacing w:val="9"/>
              </w:rPr>
            </w:pPr>
          </w:p>
          <w:p w14:paraId="26D7744D">
            <w:pPr>
              <w:pStyle w:val="54"/>
              <w:widowControl w:val="0"/>
              <w:spacing w:before="109" w:line="219" w:lineRule="auto"/>
              <w:ind w:left="525"/>
              <w:jc w:val="both"/>
              <w:rPr>
                <w:spacing w:val="9"/>
              </w:rPr>
            </w:pPr>
          </w:p>
          <w:p w14:paraId="13E232CC">
            <w:pPr>
              <w:pStyle w:val="54"/>
              <w:widowControl w:val="0"/>
              <w:spacing w:before="109" w:line="219" w:lineRule="auto"/>
              <w:ind w:left="525"/>
              <w:jc w:val="both"/>
              <w:rPr>
                <w:spacing w:val="9"/>
              </w:rPr>
            </w:pPr>
          </w:p>
          <w:p w14:paraId="189F8291">
            <w:pPr>
              <w:pStyle w:val="54"/>
              <w:widowControl w:val="0"/>
              <w:spacing w:before="109" w:line="219" w:lineRule="auto"/>
              <w:ind w:left="525"/>
              <w:jc w:val="both"/>
              <w:rPr>
                <w:spacing w:val="9"/>
              </w:rPr>
            </w:pPr>
          </w:p>
          <w:p w14:paraId="0410CE14">
            <w:pPr>
              <w:pStyle w:val="54"/>
              <w:widowControl w:val="0"/>
              <w:spacing w:before="109" w:line="219" w:lineRule="auto"/>
              <w:ind w:left="525"/>
              <w:jc w:val="both"/>
              <w:rPr>
                <w:spacing w:val="9"/>
              </w:rPr>
            </w:pPr>
          </w:p>
          <w:p w14:paraId="1348D4D5">
            <w:pPr>
              <w:pStyle w:val="54"/>
              <w:widowControl w:val="0"/>
              <w:spacing w:before="109" w:line="219" w:lineRule="auto"/>
              <w:ind w:left="525"/>
              <w:jc w:val="both"/>
              <w:rPr>
                <w:spacing w:val="9"/>
              </w:rPr>
            </w:pPr>
          </w:p>
          <w:p w14:paraId="4BE429E0">
            <w:pPr>
              <w:pStyle w:val="54"/>
              <w:widowControl w:val="0"/>
              <w:spacing w:before="109" w:line="219" w:lineRule="auto"/>
              <w:ind w:left="525"/>
              <w:jc w:val="both"/>
              <w:rPr>
                <w:spacing w:val="9"/>
              </w:rPr>
            </w:pPr>
          </w:p>
          <w:p w14:paraId="767DAB90">
            <w:pPr>
              <w:pStyle w:val="54"/>
              <w:widowControl w:val="0"/>
              <w:spacing w:before="109" w:line="219" w:lineRule="auto"/>
              <w:ind w:left="525"/>
              <w:jc w:val="both"/>
              <w:rPr>
                <w:spacing w:val="9"/>
              </w:rPr>
            </w:pPr>
          </w:p>
          <w:p w14:paraId="78845FA5">
            <w:pPr>
              <w:pStyle w:val="54"/>
              <w:widowControl w:val="0"/>
              <w:spacing w:before="109" w:line="219" w:lineRule="auto"/>
              <w:ind w:left="525"/>
              <w:jc w:val="both"/>
              <w:rPr>
                <w:spacing w:val="9"/>
              </w:rPr>
            </w:pPr>
          </w:p>
          <w:p w14:paraId="5A837915">
            <w:pPr>
              <w:pStyle w:val="54"/>
              <w:widowControl w:val="0"/>
              <w:spacing w:before="109" w:line="219" w:lineRule="auto"/>
              <w:ind w:left="525"/>
              <w:jc w:val="both"/>
              <w:rPr>
                <w:spacing w:val="9"/>
              </w:rPr>
            </w:pPr>
          </w:p>
          <w:p w14:paraId="5776BAEF">
            <w:pPr>
              <w:pStyle w:val="54"/>
              <w:widowControl w:val="0"/>
              <w:spacing w:before="109" w:line="219" w:lineRule="auto"/>
              <w:ind w:left="525"/>
              <w:jc w:val="both"/>
              <w:rPr>
                <w:spacing w:val="9"/>
              </w:rPr>
            </w:pPr>
          </w:p>
          <w:p w14:paraId="3C0328EE">
            <w:pPr>
              <w:pStyle w:val="54"/>
              <w:widowControl w:val="0"/>
              <w:spacing w:before="109" w:line="219" w:lineRule="auto"/>
              <w:ind w:left="525"/>
              <w:jc w:val="both"/>
              <w:rPr>
                <w:spacing w:val="9"/>
              </w:rPr>
            </w:pPr>
          </w:p>
        </w:tc>
        <w:tc>
          <w:tcPr>
            <w:tcW w:w="1559" w:type="dxa"/>
          </w:tcPr>
          <w:p w14:paraId="3C771504">
            <w:pPr>
              <w:pStyle w:val="54"/>
              <w:widowControl w:val="0"/>
              <w:spacing w:before="109" w:line="219" w:lineRule="auto"/>
              <w:jc w:val="both"/>
              <w:rPr>
                <w:spacing w:val="9"/>
              </w:rPr>
            </w:pPr>
            <w:r>
              <w:rPr>
                <w:spacing w:val="9"/>
              </w:rPr>
              <w:t>1.审方时机和过程</w:t>
            </w:r>
          </w:p>
        </w:tc>
        <w:tc>
          <w:tcPr>
            <w:tcW w:w="6796" w:type="dxa"/>
          </w:tcPr>
          <w:p w14:paraId="3B91B99B">
            <w:pPr>
              <w:pStyle w:val="54"/>
              <w:widowControl w:val="0"/>
              <w:spacing w:before="109" w:line="219" w:lineRule="auto"/>
              <w:jc w:val="both"/>
              <w:rPr>
                <w:spacing w:val="9"/>
              </w:rPr>
            </w:pPr>
            <w:r>
              <w:rPr>
                <w:rFonts w:hint="eastAsia"/>
                <w:spacing w:val="9"/>
                <w:lang w:eastAsia="zh-CN"/>
              </w:rPr>
              <w:t>系统可以为药师提供专门的审方工作平台，帮助门诊药师在患者缴费前完成门诊处方实时审查、住院药师在护士领药前完成住院医嘱审查。</w:t>
            </w:r>
            <w:r>
              <w:rPr>
                <w:rFonts w:hint="eastAsia"/>
                <w:spacing w:val="9"/>
              </w:rPr>
              <w:t>系统先自动审查出问题处方（医嘱），再由药师人工审查，审查过程中药师可以与医生实时互动，直到处方（医嘱）通过。必要时，药师可同时接收门诊、住院任务。</w:t>
            </w:r>
          </w:p>
        </w:tc>
      </w:tr>
      <w:tr w14:paraId="7B3F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1E7D5E97">
            <w:pPr>
              <w:pStyle w:val="54"/>
              <w:widowControl w:val="0"/>
              <w:spacing w:before="109" w:line="219" w:lineRule="auto"/>
              <w:ind w:left="525"/>
              <w:jc w:val="both"/>
              <w:rPr>
                <w:spacing w:val="9"/>
              </w:rPr>
            </w:pPr>
          </w:p>
        </w:tc>
        <w:tc>
          <w:tcPr>
            <w:tcW w:w="1559" w:type="dxa"/>
          </w:tcPr>
          <w:p w14:paraId="459B1C65">
            <w:pPr>
              <w:pStyle w:val="54"/>
              <w:widowControl w:val="0"/>
              <w:spacing w:before="109" w:line="219" w:lineRule="auto"/>
              <w:jc w:val="both"/>
              <w:rPr>
                <w:spacing w:val="9"/>
              </w:rPr>
            </w:pPr>
            <w:r>
              <w:rPr>
                <w:spacing w:val="9"/>
              </w:rPr>
              <w:t>2.审方干预功能</w:t>
            </w:r>
          </w:p>
        </w:tc>
        <w:tc>
          <w:tcPr>
            <w:tcW w:w="6796" w:type="dxa"/>
          </w:tcPr>
          <w:p w14:paraId="14EA6A19">
            <w:pPr>
              <w:pStyle w:val="54"/>
              <w:widowControl w:val="0"/>
              <w:spacing w:before="109" w:line="219" w:lineRule="auto"/>
              <w:jc w:val="both"/>
              <w:rPr>
                <w:spacing w:val="9"/>
                <w:lang w:eastAsia="zh-CN"/>
              </w:rPr>
            </w:pPr>
            <w:r>
              <w:rPr>
                <w:spacing w:val="9"/>
                <w:lang w:eastAsia="zh-CN"/>
              </w:rPr>
              <w:t>2.1系统可主动分配任务给药师，任务来临时可用弹框提醒药师，点击弹框后即可自动跳转至审方页面。</w:t>
            </w:r>
          </w:p>
          <w:p w14:paraId="51661617">
            <w:pPr>
              <w:pStyle w:val="54"/>
              <w:widowControl w:val="0"/>
              <w:spacing w:before="109" w:line="219" w:lineRule="auto"/>
              <w:jc w:val="both"/>
              <w:rPr>
                <w:spacing w:val="9"/>
                <w:lang w:eastAsia="zh-CN"/>
              </w:rPr>
            </w:pPr>
            <w:r>
              <w:rPr>
                <w:spacing w:val="9"/>
                <w:lang w:eastAsia="zh-CN"/>
              </w:rPr>
              <w:t>2.2药师可设置单次可获取任务数，所获取的任务按时间先后顺序排列。</w:t>
            </w:r>
          </w:p>
          <w:p w14:paraId="7E557272">
            <w:pPr>
              <w:pStyle w:val="54"/>
              <w:widowControl w:val="0"/>
              <w:spacing w:before="109" w:line="219" w:lineRule="auto"/>
              <w:jc w:val="both"/>
              <w:rPr>
                <w:spacing w:val="9"/>
                <w:lang w:eastAsia="zh-CN"/>
              </w:rPr>
            </w:pPr>
            <w:r>
              <w:rPr>
                <w:spacing w:val="9"/>
                <w:lang w:eastAsia="zh-CN"/>
              </w:rPr>
              <w:t>2.3药师审查时，可在审查界面一体化查看当前处方（医嘱）历史干预记录，如医生操作、用药理由等。</w:t>
            </w:r>
          </w:p>
          <w:p w14:paraId="03458A11">
            <w:pPr>
              <w:pStyle w:val="54"/>
              <w:widowControl w:val="0"/>
              <w:spacing w:before="109" w:line="219" w:lineRule="auto"/>
              <w:jc w:val="both"/>
              <w:rPr>
                <w:spacing w:val="9"/>
                <w:lang w:eastAsia="zh-CN"/>
              </w:rPr>
            </w:pPr>
            <w:r>
              <w:rPr>
                <w:spacing w:val="9"/>
                <w:lang w:eastAsia="zh-CN"/>
              </w:rPr>
              <w:t>2.4药师审查时可查看当前处方（医嘱）历史修改版本信息。</w:t>
            </w:r>
          </w:p>
          <w:p w14:paraId="1A52DBEA">
            <w:pPr>
              <w:pStyle w:val="54"/>
              <w:widowControl w:val="0"/>
              <w:spacing w:before="109" w:line="219" w:lineRule="auto"/>
              <w:jc w:val="both"/>
              <w:rPr>
                <w:spacing w:val="9"/>
              </w:rPr>
            </w:pPr>
            <w:r>
              <w:rPr>
                <w:spacing w:val="9"/>
                <w:lang w:eastAsia="zh-CN"/>
              </w:rPr>
              <w:t>2.5药师可选择审核意见中的重点文字变色处理后发给医生。</w:t>
            </w:r>
            <w:r>
              <w:rPr>
                <w:spacing w:val="9"/>
              </w:rPr>
              <w:t>药师还可预设常用问题模板。</w:t>
            </w:r>
          </w:p>
          <w:p w14:paraId="0403C5E8">
            <w:pPr>
              <w:pStyle w:val="54"/>
              <w:widowControl w:val="0"/>
              <w:spacing w:before="109" w:line="219" w:lineRule="auto"/>
              <w:jc w:val="both"/>
              <w:rPr>
                <w:spacing w:val="9"/>
                <w:lang w:eastAsia="zh-CN"/>
              </w:rPr>
            </w:pPr>
            <w:r>
              <w:rPr>
                <w:spacing w:val="9"/>
                <w:lang w:eastAsia="zh-CN"/>
              </w:rPr>
              <w:t>2.6药师可以根据不同任务情况选择医生处方（医嘱），可选择双签通过或药师复核。</w:t>
            </w:r>
          </w:p>
          <w:p w14:paraId="48D2EBFA">
            <w:pPr>
              <w:pStyle w:val="54"/>
              <w:widowControl w:val="0"/>
              <w:spacing w:before="109" w:line="219" w:lineRule="auto"/>
              <w:jc w:val="both"/>
              <w:rPr>
                <w:spacing w:val="9"/>
                <w:lang w:eastAsia="zh-CN"/>
              </w:rPr>
            </w:pPr>
            <w:r>
              <w:rPr>
                <w:spacing w:val="9"/>
                <w:lang w:eastAsia="zh-CN"/>
              </w:rPr>
              <w:t>2.7若一张处方（医嘱）通过前有多个修改版本，系统可以标记每个版本的处置状态。</w:t>
            </w:r>
          </w:p>
        </w:tc>
      </w:tr>
      <w:tr w14:paraId="5DF2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51E90FEB">
            <w:pPr>
              <w:pStyle w:val="54"/>
              <w:widowControl w:val="0"/>
              <w:spacing w:before="109" w:line="219" w:lineRule="auto"/>
              <w:ind w:left="525"/>
              <w:jc w:val="both"/>
              <w:rPr>
                <w:spacing w:val="9"/>
                <w:lang w:eastAsia="zh-CN"/>
              </w:rPr>
            </w:pPr>
          </w:p>
        </w:tc>
        <w:tc>
          <w:tcPr>
            <w:tcW w:w="1559" w:type="dxa"/>
          </w:tcPr>
          <w:p w14:paraId="7E0DE71A">
            <w:pPr>
              <w:pStyle w:val="54"/>
              <w:widowControl w:val="0"/>
              <w:spacing w:before="109" w:line="219" w:lineRule="auto"/>
              <w:jc w:val="both"/>
              <w:rPr>
                <w:spacing w:val="9"/>
              </w:rPr>
            </w:pPr>
            <w:r>
              <w:rPr>
                <w:spacing w:val="9"/>
              </w:rPr>
              <w:t>3.审方干预自定义功能</w:t>
            </w:r>
          </w:p>
        </w:tc>
        <w:tc>
          <w:tcPr>
            <w:tcW w:w="6796" w:type="dxa"/>
          </w:tcPr>
          <w:p w14:paraId="3C0D1C3D">
            <w:pPr>
              <w:pStyle w:val="54"/>
              <w:widowControl w:val="0"/>
              <w:spacing w:before="109" w:line="219" w:lineRule="auto"/>
              <w:jc w:val="both"/>
              <w:rPr>
                <w:spacing w:val="9"/>
                <w:lang w:eastAsia="zh-CN"/>
              </w:rPr>
            </w:pPr>
            <w:r>
              <w:rPr>
                <w:rFonts w:hint="eastAsia"/>
                <w:spacing w:val="9"/>
                <w:lang w:eastAsia="zh-CN"/>
              </w:rPr>
              <w:t>3.1可将任意科室、医生、患者、疾病、药品设置为重点关注，可按科室、医生、患者、疾病、药品、问题类型、警示级别多条件组合设置重点关注，包含重点关注信息的处方由药师进行全面审查。</w:t>
            </w:r>
          </w:p>
          <w:p w14:paraId="306E4EB3">
            <w:pPr>
              <w:pStyle w:val="54"/>
              <w:widowControl w:val="0"/>
              <w:spacing w:before="109" w:line="219" w:lineRule="auto"/>
              <w:jc w:val="both"/>
              <w:rPr>
                <w:spacing w:val="9"/>
              </w:rPr>
            </w:pPr>
            <w:r>
              <w:rPr>
                <w:rFonts w:hint="eastAsia"/>
                <w:spacing w:val="9"/>
                <w:lang w:eastAsia="zh-CN"/>
              </w:rPr>
              <w:t>3.2可以设置需要药师人工审查的问题处方（医嘱）审查项目和问题严重程度。</w:t>
            </w:r>
            <w:r>
              <w:rPr>
                <w:rFonts w:hint="eastAsia"/>
                <w:spacing w:val="9"/>
              </w:rPr>
              <w:t>系统审查后，问题严重程度低的处方（医嘱）直接通过，药师只审查问题严重程度高的问题处方（医嘱）即可。</w:t>
            </w:r>
          </w:p>
          <w:p w14:paraId="0325C1C3">
            <w:pPr>
              <w:pStyle w:val="54"/>
              <w:widowControl w:val="0"/>
              <w:spacing w:before="109" w:line="219" w:lineRule="auto"/>
              <w:jc w:val="both"/>
              <w:rPr>
                <w:spacing w:val="9"/>
              </w:rPr>
            </w:pPr>
            <w:r>
              <w:rPr>
                <w:rFonts w:hint="eastAsia"/>
                <w:spacing w:val="9"/>
              </w:rPr>
              <w:t>3.3审方时限设置：支持全院和分科室审方时限设置。超过规定时限，待审查处方自动通过。</w:t>
            </w:r>
          </w:p>
          <w:p w14:paraId="1D0DF4DA">
            <w:pPr>
              <w:pStyle w:val="54"/>
              <w:widowControl w:val="0"/>
              <w:spacing w:before="109" w:line="219" w:lineRule="auto"/>
              <w:jc w:val="both"/>
              <w:rPr>
                <w:spacing w:val="9"/>
              </w:rPr>
            </w:pPr>
            <w:r>
              <w:rPr>
                <w:rFonts w:hint="eastAsia"/>
                <w:spacing w:val="9"/>
              </w:rPr>
              <w:t>3.4可设置自动干预模式，并设置医生填写用药理由的模式。药师不在岗时，系统自动干预，医生填写用药理由后方可执行，支持全院和分科室设置</w:t>
            </w:r>
          </w:p>
          <w:p w14:paraId="6E74F4FE">
            <w:pPr>
              <w:pStyle w:val="54"/>
              <w:widowControl w:val="0"/>
              <w:spacing w:before="109" w:line="219" w:lineRule="auto"/>
              <w:jc w:val="both"/>
              <w:rPr>
                <w:spacing w:val="9"/>
              </w:rPr>
            </w:pPr>
            <w:r>
              <w:rPr>
                <w:rFonts w:hint="eastAsia"/>
                <w:spacing w:val="9"/>
              </w:rPr>
              <w:t>3.5 用户可设置双签模式，如所有任务医生双签药师都需复核、所有任务医生可双签通过药师无需复核、药师处理任务时再选择医生双签是否需要药师复核。</w:t>
            </w:r>
          </w:p>
        </w:tc>
      </w:tr>
      <w:tr w14:paraId="1F3F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2FED216F">
            <w:pPr>
              <w:pStyle w:val="54"/>
              <w:widowControl w:val="0"/>
              <w:spacing w:before="109" w:line="219" w:lineRule="auto"/>
              <w:ind w:left="525"/>
              <w:jc w:val="both"/>
              <w:rPr>
                <w:spacing w:val="9"/>
              </w:rPr>
            </w:pPr>
          </w:p>
        </w:tc>
        <w:tc>
          <w:tcPr>
            <w:tcW w:w="1559" w:type="dxa"/>
          </w:tcPr>
          <w:p w14:paraId="4068F6C5">
            <w:pPr>
              <w:pStyle w:val="54"/>
              <w:widowControl w:val="0"/>
              <w:spacing w:before="109" w:line="219" w:lineRule="auto"/>
              <w:ind w:left="525"/>
              <w:jc w:val="both"/>
              <w:rPr>
                <w:spacing w:val="9"/>
              </w:rPr>
            </w:pPr>
            <w:r>
              <w:rPr>
                <w:spacing w:val="9"/>
              </w:rPr>
              <w:t>4.系统审查</w:t>
            </w:r>
          </w:p>
        </w:tc>
        <w:tc>
          <w:tcPr>
            <w:tcW w:w="6796" w:type="dxa"/>
          </w:tcPr>
          <w:p w14:paraId="00D369E9">
            <w:pPr>
              <w:pStyle w:val="54"/>
              <w:widowControl w:val="0"/>
              <w:spacing w:before="109" w:line="219" w:lineRule="auto"/>
              <w:ind w:left="525"/>
              <w:jc w:val="both"/>
              <w:rPr>
                <w:spacing w:val="9"/>
              </w:rPr>
            </w:pPr>
            <w:r>
              <w:rPr>
                <w:rFonts w:hint="eastAsia"/>
                <w:spacing w:val="9"/>
              </w:rPr>
              <w:t>系统审查项目、规则等应与医生端审方系统保持一致，并能实现无缝对接，即药师端可查看医生端审方系统的详细审查结果信息，同时药师审核问题标准可按医生端审方系统的审查项目和问题级别进行设置。</w:t>
            </w:r>
          </w:p>
        </w:tc>
      </w:tr>
      <w:tr w14:paraId="3B6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2F6EEA13">
            <w:pPr>
              <w:pStyle w:val="54"/>
              <w:widowControl w:val="0"/>
              <w:spacing w:before="109" w:line="219" w:lineRule="auto"/>
              <w:ind w:left="525"/>
              <w:jc w:val="both"/>
              <w:rPr>
                <w:spacing w:val="9"/>
              </w:rPr>
            </w:pPr>
          </w:p>
        </w:tc>
        <w:tc>
          <w:tcPr>
            <w:tcW w:w="1559" w:type="dxa"/>
          </w:tcPr>
          <w:p w14:paraId="370A725E">
            <w:pPr>
              <w:pStyle w:val="54"/>
              <w:widowControl w:val="0"/>
              <w:spacing w:before="109" w:line="219" w:lineRule="auto"/>
              <w:ind w:left="525"/>
              <w:jc w:val="both"/>
              <w:rPr>
                <w:spacing w:val="9"/>
              </w:rPr>
            </w:pPr>
            <w:r>
              <w:rPr>
                <w:spacing w:val="9"/>
              </w:rPr>
              <w:t>5.统计分析</w:t>
            </w:r>
          </w:p>
        </w:tc>
        <w:tc>
          <w:tcPr>
            <w:tcW w:w="6796" w:type="dxa"/>
          </w:tcPr>
          <w:p w14:paraId="05AAB909">
            <w:pPr>
              <w:pStyle w:val="54"/>
              <w:widowControl w:val="0"/>
              <w:spacing w:before="109" w:line="219" w:lineRule="auto"/>
              <w:ind w:left="525"/>
              <w:jc w:val="both"/>
              <w:rPr>
                <w:spacing w:val="9"/>
              </w:rPr>
            </w:pPr>
            <w:r>
              <w:rPr>
                <w:rFonts w:hint="eastAsia"/>
                <w:spacing w:val="9"/>
              </w:rPr>
              <w:t>5.1可以分别统计门诊、住院任务的审核率、干预率、合格率等重要指标，并可提供统计图。可按照科室、医生、药品、药师进行干预情况分类统计。</w:t>
            </w:r>
          </w:p>
          <w:p w14:paraId="6669452D">
            <w:pPr>
              <w:pStyle w:val="54"/>
              <w:widowControl w:val="0"/>
              <w:spacing w:before="109" w:line="219" w:lineRule="auto"/>
              <w:ind w:left="525"/>
              <w:jc w:val="both"/>
              <w:rPr>
                <w:spacing w:val="9"/>
              </w:rPr>
            </w:pPr>
            <w:r>
              <w:rPr>
                <w:rFonts w:hint="eastAsia"/>
                <w:spacing w:val="9"/>
              </w:rPr>
              <w:t>5.2可以统计每个药师的监测时长、审核工作量、干预工作量和干预有效率，并可提供统计图。</w:t>
            </w:r>
          </w:p>
          <w:p w14:paraId="73D0B17E">
            <w:pPr>
              <w:pStyle w:val="54"/>
              <w:widowControl w:val="0"/>
              <w:spacing w:before="109" w:line="219" w:lineRule="auto"/>
              <w:ind w:left="525"/>
              <w:jc w:val="both"/>
              <w:rPr>
                <w:spacing w:val="9"/>
              </w:rPr>
            </w:pPr>
            <w:r>
              <w:rPr>
                <w:rFonts w:hint="eastAsia"/>
                <w:spacing w:val="9"/>
              </w:rPr>
              <w:t>5.3可以提供不合理问题统计分析，支持按时间、问题类型、警示等级等条件进行统计，并可生成统计图。可以查看在人工审方时药师主动添加问题的发生次数、发生率。</w:t>
            </w:r>
          </w:p>
          <w:p w14:paraId="0E2CAFF6">
            <w:pPr>
              <w:pStyle w:val="54"/>
              <w:widowControl w:val="0"/>
              <w:spacing w:before="109" w:line="219" w:lineRule="auto"/>
              <w:ind w:left="525"/>
              <w:jc w:val="both"/>
              <w:rPr>
                <w:spacing w:val="9"/>
              </w:rPr>
            </w:pPr>
            <w:r>
              <w:rPr>
                <w:rFonts w:hint="eastAsia"/>
                <w:spacing w:val="9"/>
              </w:rPr>
              <w:t>5.4可以分科室、医生、药品、问题类型提供干预效果追踪，并以统计图的方式体现干预效果。</w:t>
            </w:r>
          </w:p>
          <w:p w14:paraId="74C1D08A">
            <w:pPr>
              <w:pStyle w:val="54"/>
              <w:widowControl w:val="0"/>
              <w:spacing w:before="109" w:line="219" w:lineRule="auto"/>
              <w:ind w:left="525"/>
              <w:jc w:val="both"/>
              <w:rPr>
                <w:spacing w:val="9"/>
              </w:rPr>
            </w:pPr>
            <w:r>
              <w:rPr>
                <w:rFonts w:hint="eastAsia"/>
                <w:spacing w:val="9"/>
              </w:rPr>
              <w:t>5.5可按不同的处方（医嘱）通过状态进行统计，并可生成统计图。</w:t>
            </w:r>
          </w:p>
          <w:p w14:paraId="32DA5D12">
            <w:pPr>
              <w:pStyle w:val="54"/>
              <w:widowControl w:val="0"/>
              <w:spacing w:before="109" w:line="219" w:lineRule="auto"/>
              <w:ind w:left="525"/>
              <w:jc w:val="both"/>
              <w:rPr>
                <w:spacing w:val="9"/>
              </w:rPr>
            </w:pPr>
            <w:r>
              <w:rPr>
                <w:rFonts w:hint="eastAsia"/>
                <w:spacing w:val="9"/>
              </w:rPr>
              <w:t>5.6医生端可通过用药自查，查看自身任务的审核干预相关统计数据。</w:t>
            </w:r>
          </w:p>
        </w:tc>
      </w:tr>
      <w:tr w14:paraId="3F3F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8" w:type="dxa"/>
            <w:vMerge w:val="continue"/>
          </w:tcPr>
          <w:p w14:paraId="378B1E98">
            <w:pPr>
              <w:pStyle w:val="54"/>
              <w:widowControl w:val="0"/>
              <w:spacing w:before="109" w:line="219" w:lineRule="auto"/>
              <w:ind w:left="525"/>
              <w:jc w:val="both"/>
              <w:rPr>
                <w:spacing w:val="9"/>
              </w:rPr>
            </w:pPr>
          </w:p>
        </w:tc>
        <w:tc>
          <w:tcPr>
            <w:tcW w:w="1559" w:type="dxa"/>
            <w:shd w:val="clear" w:color="auto" w:fill="auto"/>
          </w:tcPr>
          <w:p w14:paraId="2F708E78">
            <w:pPr>
              <w:pStyle w:val="54"/>
              <w:widowControl w:val="0"/>
              <w:spacing w:before="109" w:line="219" w:lineRule="auto"/>
              <w:ind w:left="525"/>
              <w:jc w:val="both"/>
              <w:rPr>
                <w:spacing w:val="9"/>
              </w:rPr>
            </w:pPr>
            <w:r>
              <w:rPr>
                <w:spacing w:val="9"/>
              </w:rPr>
              <w:t>6.处方/医嘱查询</w:t>
            </w:r>
          </w:p>
        </w:tc>
        <w:tc>
          <w:tcPr>
            <w:tcW w:w="6796" w:type="dxa"/>
          </w:tcPr>
          <w:p w14:paraId="3E357054">
            <w:pPr>
              <w:pStyle w:val="54"/>
              <w:widowControl w:val="0"/>
              <w:spacing w:before="109" w:line="219" w:lineRule="auto"/>
              <w:ind w:left="525"/>
              <w:jc w:val="both"/>
              <w:rPr>
                <w:spacing w:val="9"/>
              </w:rPr>
            </w:pPr>
            <w:r>
              <w:rPr>
                <w:rFonts w:hint="eastAsia"/>
                <w:spacing w:val="9"/>
              </w:rPr>
              <w:t>6.1“系统”应提供查看历史处方/医嘱以及药师干预记录功能，可以时间线查看任务流程，各个时间点的任务详情都可点击查看。</w:t>
            </w:r>
          </w:p>
          <w:p w14:paraId="356244C1">
            <w:pPr>
              <w:pStyle w:val="54"/>
              <w:widowControl w:val="0"/>
              <w:spacing w:before="109" w:line="219" w:lineRule="auto"/>
              <w:ind w:left="525"/>
              <w:jc w:val="both"/>
              <w:rPr>
                <w:spacing w:val="9"/>
              </w:rPr>
            </w:pPr>
            <w:r>
              <w:rPr>
                <w:rFonts w:hint="eastAsia"/>
                <w:spacing w:val="9"/>
              </w:rPr>
              <w:t>6.2可筛选医生选择主动修改的问题处方，可筛选药师已收藏、拒绝发药、重点关注的案例，可按照药房进行处方（医嘱）查询。</w:t>
            </w:r>
          </w:p>
          <w:p w14:paraId="47D67FB4">
            <w:pPr>
              <w:pStyle w:val="54"/>
              <w:widowControl w:val="0"/>
              <w:spacing w:before="109" w:line="219" w:lineRule="auto"/>
              <w:ind w:left="525"/>
              <w:jc w:val="both"/>
              <w:rPr>
                <w:spacing w:val="9"/>
              </w:rPr>
            </w:pPr>
            <w:r>
              <w:rPr>
                <w:rFonts w:hint="eastAsia"/>
                <w:spacing w:val="9"/>
              </w:rPr>
              <w:t>6.3可以设置处方查询权限。</w:t>
            </w:r>
          </w:p>
        </w:tc>
      </w:tr>
      <w:tr w14:paraId="7D2B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3D4620D8">
            <w:pPr>
              <w:pStyle w:val="54"/>
              <w:widowControl w:val="0"/>
              <w:spacing w:before="109" w:line="219" w:lineRule="auto"/>
              <w:ind w:left="525"/>
              <w:jc w:val="both"/>
              <w:rPr>
                <w:spacing w:val="9"/>
              </w:rPr>
            </w:pPr>
          </w:p>
        </w:tc>
        <w:tc>
          <w:tcPr>
            <w:tcW w:w="1559" w:type="dxa"/>
            <w:shd w:val="clear" w:color="auto" w:fill="auto"/>
          </w:tcPr>
          <w:p w14:paraId="0777AC98">
            <w:pPr>
              <w:pStyle w:val="54"/>
              <w:widowControl w:val="0"/>
              <w:spacing w:before="109" w:line="219" w:lineRule="auto"/>
              <w:ind w:left="525"/>
              <w:jc w:val="both"/>
              <w:rPr>
                <w:spacing w:val="9"/>
              </w:rPr>
            </w:pPr>
            <w:r>
              <w:rPr>
                <w:spacing w:val="9"/>
              </w:rPr>
              <w:t>处方（医嘱）用药审查功能</w:t>
            </w:r>
          </w:p>
          <w:p w14:paraId="2F0C8364">
            <w:pPr>
              <w:pStyle w:val="54"/>
              <w:widowControl w:val="0"/>
              <w:spacing w:before="109" w:line="219" w:lineRule="auto"/>
              <w:ind w:left="525"/>
              <w:jc w:val="both"/>
              <w:rPr>
                <w:spacing w:val="9"/>
              </w:rPr>
            </w:pPr>
          </w:p>
          <w:p w14:paraId="70292659">
            <w:pPr>
              <w:pStyle w:val="54"/>
              <w:widowControl w:val="0"/>
              <w:spacing w:before="109" w:line="219" w:lineRule="auto"/>
              <w:ind w:left="525"/>
              <w:jc w:val="both"/>
              <w:rPr>
                <w:spacing w:val="9"/>
              </w:rPr>
            </w:pPr>
          </w:p>
          <w:p w14:paraId="07134CB7">
            <w:pPr>
              <w:pStyle w:val="54"/>
              <w:widowControl w:val="0"/>
              <w:spacing w:before="109" w:line="219" w:lineRule="auto"/>
              <w:ind w:left="525"/>
              <w:jc w:val="both"/>
              <w:rPr>
                <w:spacing w:val="9"/>
              </w:rPr>
            </w:pPr>
          </w:p>
          <w:p w14:paraId="6AE15603">
            <w:pPr>
              <w:pStyle w:val="54"/>
              <w:widowControl w:val="0"/>
              <w:spacing w:before="109" w:line="219" w:lineRule="auto"/>
              <w:ind w:left="525"/>
              <w:jc w:val="both"/>
              <w:rPr>
                <w:spacing w:val="9"/>
              </w:rPr>
            </w:pPr>
          </w:p>
          <w:p w14:paraId="0188C811">
            <w:pPr>
              <w:pStyle w:val="54"/>
              <w:widowControl w:val="0"/>
              <w:spacing w:before="109" w:line="219" w:lineRule="auto"/>
              <w:ind w:left="525"/>
              <w:jc w:val="both"/>
              <w:rPr>
                <w:spacing w:val="9"/>
              </w:rPr>
            </w:pPr>
          </w:p>
          <w:p w14:paraId="3BC8E220">
            <w:pPr>
              <w:pStyle w:val="54"/>
              <w:widowControl w:val="0"/>
              <w:spacing w:before="109" w:line="219" w:lineRule="auto"/>
              <w:ind w:left="525"/>
              <w:jc w:val="both"/>
              <w:rPr>
                <w:spacing w:val="9"/>
              </w:rPr>
            </w:pPr>
          </w:p>
          <w:p w14:paraId="4C70765B">
            <w:pPr>
              <w:pStyle w:val="54"/>
              <w:widowControl w:val="0"/>
              <w:spacing w:before="109" w:line="219" w:lineRule="auto"/>
              <w:ind w:left="525"/>
              <w:jc w:val="both"/>
              <w:rPr>
                <w:spacing w:val="9"/>
              </w:rPr>
            </w:pPr>
          </w:p>
          <w:p w14:paraId="343EC248">
            <w:pPr>
              <w:pStyle w:val="54"/>
              <w:widowControl w:val="0"/>
              <w:spacing w:before="109" w:line="219" w:lineRule="auto"/>
              <w:ind w:left="525"/>
              <w:jc w:val="both"/>
              <w:rPr>
                <w:spacing w:val="9"/>
              </w:rPr>
            </w:pPr>
          </w:p>
        </w:tc>
        <w:tc>
          <w:tcPr>
            <w:tcW w:w="6796" w:type="dxa"/>
          </w:tcPr>
          <w:p w14:paraId="095913F8">
            <w:pPr>
              <w:pStyle w:val="54"/>
              <w:widowControl w:val="0"/>
              <w:spacing w:before="109" w:line="219" w:lineRule="auto"/>
              <w:ind w:left="525"/>
              <w:jc w:val="both"/>
              <w:rPr>
                <w:rFonts w:hint="eastAsia"/>
                <w:spacing w:val="9"/>
              </w:rPr>
            </w:pPr>
            <w:r>
              <w:rPr>
                <w:rFonts w:hint="eastAsia"/>
                <w:spacing w:val="9"/>
              </w:rPr>
              <w:t>7.1剂量审查：结合年龄、给药途径等信息审查处方（医嘱）中药品剂量、给药频率是否在药品厂家说明书推荐范围内。包括审查每次和每日剂量的最大最小推荐量、每次和每日极量、给药频率、肝肾功能不全患者的给药剂量、疗程总剂量、给药持续时间。</w:t>
            </w:r>
          </w:p>
          <w:p w14:paraId="6281E307">
            <w:pPr>
              <w:pStyle w:val="54"/>
              <w:widowControl w:val="0"/>
              <w:spacing w:before="109" w:line="219" w:lineRule="auto"/>
              <w:ind w:left="525"/>
              <w:jc w:val="both"/>
              <w:rPr>
                <w:spacing w:val="9"/>
              </w:rPr>
            </w:pPr>
            <w:r>
              <w:rPr>
                <w:rFonts w:hint="eastAsia"/>
                <w:spacing w:val="9"/>
              </w:rPr>
              <w:t>7.2中药材剂量审查：结合给药途径、处方医生审查处方（医嘱）中的中药饮片使用量是否超出规定。</w:t>
            </w:r>
          </w:p>
          <w:p w14:paraId="6737282E">
            <w:pPr>
              <w:pStyle w:val="54"/>
              <w:widowControl w:val="0"/>
              <w:spacing w:before="109" w:line="219" w:lineRule="auto"/>
              <w:ind w:left="525"/>
              <w:jc w:val="both"/>
              <w:rPr>
                <w:spacing w:val="9"/>
              </w:rPr>
            </w:pPr>
            <w:r>
              <w:rPr>
                <w:rFonts w:hint="eastAsia"/>
                <w:spacing w:val="9"/>
              </w:rPr>
              <w:t>7.3 根据有关处方管理规定对门、急诊处方药品、特殊药品、出院带药超多日用量进行审查提示，支持当前处方和历史处方多处方审查。</w:t>
            </w:r>
          </w:p>
          <w:p w14:paraId="4AF4D8DE">
            <w:pPr>
              <w:pStyle w:val="54"/>
              <w:widowControl w:val="0"/>
              <w:spacing w:before="109" w:line="219" w:lineRule="auto"/>
              <w:ind w:left="525"/>
              <w:jc w:val="both"/>
              <w:rPr>
                <w:spacing w:val="9"/>
              </w:rPr>
            </w:pPr>
            <w:r>
              <w:rPr>
                <w:rFonts w:hint="eastAsia"/>
                <w:spacing w:val="9"/>
              </w:rPr>
              <w:t>7.4 可以审查药品以不同累积方式的使用量是否超出规定。</w:t>
            </w:r>
          </w:p>
          <w:p w14:paraId="70D7EF1F">
            <w:pPr>
              <w:pStyle w:val="54"/>
              <w:widowControl w:val="0"/>
              <w:spacing w:before="109" w:line="219" w:lineRule="auto"/>
              <w:ind w:left="525"/>
              <w:jc w:val="both"/>
              <w:rPr>
                <w:spacing w:val="9"/>
              </w:rPr>
            </w:pPr>
            <w:r>
              <w:rPr>
                <w:rFonts w:hint="eastAsia"/>
                <w:spacing w:val="9"/>
              </w:rPr>
              <w:t>7.5 给药途径审查：根据不同的药品和剂型，审查处方（医嘱）药品的给药途径是否合理。系统不仅可以对说明书明确禁止的给药途径进行审查，还应能对说明书未推荐的给药途径进行提示。</w:t>
            </w:r>
          </w:p>
          <w:p w14:paraId="23612D69">
            <w:pPr>
              <w:pStyle w:val="54"/>
              <w:widowControl w:val="0"/>
              <w:spacing w:before="109" w:line="219" w:lineRule="auto"/>
              <w:ind w:left="525"/>
              <w:jc w:val="both"/>
              <w:rPr>
                <w:spacing w:val="9"/>
              </w:rPr>
            </w:pPr>
            <w:r>
              <w:rPr>
                <w:rFonts w:hint="eastAsia"/>
                <w:spacing w:val="9"/>
              </w:rPr>
              <w:t>7.6 药物相互作用审查：审查处方（医嘱）中是否存在发生相互作用的药品，包括西药和西药、中药（中成药、草药）和中药、中药和西药,应提供药物相互作用详细信息，包括相互作用结果、相互作用机制、处理办法。可以结合给药频次，根据用药的奇偶日期、星期日期审查是否有相互作用问题。</w:t>
            </w:r>
          </w:p>
          <w:p w14:paraId="505A6C28">
            <w:pPr>
              <w:pStyle w:val="54"/>
              <w:widowControl w:val="0"/>
              <w:spacing w:before="109" w:line="219" w:lineRule="auto"/>
              <w:ind w:left="525"/>
              <w:jc w:val="both"/>
              <w:rPr>
                <w:spacing w:val="9"/>
              </w:rPr>
            </w:pPr>
            <w:r>
              <w:rPr>
                <w:rFonts w:hint="eastAsia"/>
                <w:spacing w:val="9"/>
              </w:rPr>
              <w:t>7.7 体外注射剂配伍审查：审查同组注射药品包括溶媒在同一容器（大输液容器或针管）中配制是否可能发生理化反应。同时提供注射剂配伍的详细信息，包括相互配伍结果、配制方法、讨论及参考文献等。</w:t>
            </w:r>
          </w:p>
          <w:p w14:paraId="0582D72A">
            <w:pPr>
              <w:pStyle w:val="54"/>
              <w:widowControl w:val="0"/>
              <w:spacing w:before="109" w:line="219" w:lineRule="auto"/>
              <w:ind w:left="525"/>
              <w:jc w:val="both"/>
              <w:rPr>
                <w:spacing w:val="9"/>
              </w:rPr>
            </w:pPr>
            <w:r>
              <w:rPr>
                <w:rFonts w:hint="eastAsia"/>
                <w:spacing w:val="9"/>
              </w:rPr>
              <w:t>7.8 配伍浓度审查：审查同组注射药品配伍后的药品浓度是否在规定浓度范围内，同时提供相关详细信息，包括配置浓度、配制方法、参考文献。</w:t>
            </w:r>
          </w:p>
          <w:p w14:paraId="1C84E01A">
            <w:pPr>
              <w:pStyle w:val="54"/>
              <w:widowControl w:val="0"/>
              <w:spacing w:before="109" w:line="219" w:lineRule="auto"/>
              <w:ind w:left="525"/>
              <w:jc w:val="both"/>
              <w:rPr>
                <w:spacing w:val="9"/>
              </w:rPr>
            </w:pPr>
            <w:r>
              <w:rPr>
                <w:rFonts w:hint="eastAsia"/>
                <w:spacing w:val="9"/>
              </w:rPr>
              <w:t>7.9 TPN 处方审查：系统可审查 TPN 处方的营养均衡性、肠外营养浓度、溶液中渗透压浓度，详细警示信息中可展示计算过程。</w:t>
            </w:r>
          </w:p>
          <w:p w14:paraId="27271C12">
            <w:pPr>
              <w:pStyle w:val="54"/>
              <w:widowControl w:val="0"/>
              <w:spacing w:before="109" w:line="219" w:lineRule="auto"/>
              <w:ind w:left="525"/>
              <w:jc w:val="both"/>
              <w:rPr>
                <w:spacing w:val="9"/>
              </w:rPr>
            </w:pPr>
            <w:r>
              <w:rPr>
                <w:rFonts w:hint="eastAsia"/>
                <w:spacing w:val="9"/>
              </w:rPr>
              <w:t>7.10 禁忌症审查：结合患者诊断和病生状态信息，审查处方（医嘱）中是否存在该患者禁用的药品，包括中药。。</w:t>
            </w:r>
          </w:p>
          <w:p w14:paraId="3EA5EF5C">
            <w:pPr>
              <w:pStyle w:val="54"/>
              <w:widowControl w:val="0"/>
              <w:spacing w:before="109" w:line="219" w:lineRule="auto"/>
              <w:ind w:left="525"/>
              <w:jc w:val="both"/>
              <w:rPr>
                <w:spacing w:val="9"/>
              </w:rPr>
            </w:pPr>
            <w:r>
              <w:rPr>
                <w:rFonts w:hint="eastAsia"/>
                <w:spacing w:val="9"/>
              </w:rPr>
              <w:t>7.11 不良反应审查：结合患者的诊断和病生状态信息，审查处方（医嘱）中是否存在可能引起或加重患者当前病理状况的药品。系统相关审查数据应包括国家药监局发布的不良反应通报。。</w:t>
            </w:r>
          </w:p>
          <w:p w14:paraId="4BAFC233">
            <w:pPr>
              <w:pStyle w:val="54"/>
              <w:widowControl w:val="0"/>
              <w:spacing w:before="109" w:line="219" w:lineRule="auto"/>
              <w:ind w:left="525"/>
              <w:jc w:val="both"/>
              <w:rPr>
                <w:spacing w:val="9"/>
              </w:rPr>
            </w:pPr>
            <w:r>
              <w:rPr>
                <w:rFonts w:hint="eastAsia"/>
                <w:spacing w:val="9"/>
              </w:rPr>
              <w:t>7.12 特殊人群用药审查：根据患者年龄和病生状态判断审查处方（医嘱）中是否存在儿童、成人、老人禁用或慎用的药品。。</w:t>
            </w:r>
          </w:p>
          <w:p w14:paraId="6884C05F">
            <w:pPr>
              <w:pStyle w:val="54"/>
              <w:widowControl w:val="0"/>
              <w:spacing w:before="109" w:line="219" w:lineRule="auto"/>
              <w:ind w:left="525"/>
              <w:jc w:val="both"/>
              <w:rPr>
                <w:spacing w:val="9"/>
              </w:rPr>
            </w:pPr>
            <w:r>
              <w:rPr>
                <w:rFonts w:hint="eastAsia"/>
                <w:spacing w:val="9"/>
              </w:rPr>
              <w:t>7.13 妊娠哺乳用药审查：当患者为妊娠期或哺乳期妇女时，可以结合患者诊断和妊娠、哺乳状态，审查处方（医嘱）中是否存在患者禁用或慎用的药品。。</w:t>
            </w:r>
          </w:p>
          <w:p w14:paraId="72B5AFCE">
            <w:pPr>
              <w:pStyle w:val="54"/>
              <w:widowControl w:val="0"/>
              <w:spacing w:before="109" w:line="219" w:lineRule="auto"/>
              <w:ind w:left="525"/>
              <w:jc w:val="both"/>
              <w:rPr>
                <w:spacing w:val="9"/>
              </w:rPr>
            </w:pPr>
            <w:r>
              <w:rPr>
                <w:rFonts w:hint="eastAsia"/>
                <w:spacing w:val="9"/>
              </w:rPr>
              <w:t>7.14 性别用药审查：审查处方（医嘱）药物是否存在不适用于当前患者性别的药品。</w:t>
            </w:r>
          </w:p>
          <w:p w14:paraId="5426203F">
            <w:pPr>
              <w:pStyle w:val="54"/>
              <w:widowControl w:val="0"/>
              <w:spacing w:before="109" w:line="219" w:lineRule="auto"/>
              <w:ind w:left="525"/>
              <w:jc w:val="both"/>
              <w:rPr>
                <w:spacing w:val="9"/>
              </w:rPr>
            </w:pPr>
            <w:r>
              <w:rPr>
                <w:rFonts w:hint="eastAsia"/>
                <w:spacing w:val="9"/>
              </w:rPr>
              <w:t>7.15 重复用药审查：</w:t>
            </w:r>
          </w:p>
          <w:p w14:paraId="3DDE4FC5">
            <w:pPr>
              <w:pStyle w:val="54"/>
              <w:widowControl w:val="0"/>
              <w:spacing w:before="109" w:line="219" w:lineRule="auto"/>
              <w:ind w:left="525"/>
              <w:jc w:val="both"/>
              <w:rPr>
                <w:spacing w:val="9"/>
              </w:rPr>
            </w:pPr>
            <w:r>
              <w:rPr>
                <w:rFonts w:hint="eastAsia"/>
                <w:spacing w:val="9"/>
              </w:rPr>
              <w:t>A. 对处方（医嘱）中多个药品进行重复用药审查，支持根据住院药品用药时间段是否重合进行审查配置。</w:t>
            </w:r>
          </w:p>
          <w:p w14:paraId="0E3CB598">
            <w:pPr>
              <w:pStyle w:val="54"/>
              <w:widowControl w:val="0"/>
              <w:spacing w:before="109" w:line="219" w:lineRule="auto"/>
              <w:ind w:left="525"/>
              <w:jc w:val="both"/>
              <w:rPr>
                <w:spacing w:val="9"/>
              </w:rPr>
            </w:pPr>
            <w:r>
              <w:rPr>
                <w:rFonts w:hint="eastAsia"/>
                <w:spacing w:val="9"/>
              </w:rPr>
              <w:t>B. 是否存在同一有效药物成分；</w:t>
            </w:r>
          </w:p>
          <w:p w14:paraId="3DD21EE5">
            <w:pPr>
              <w:pStyle w:val="54"/>
              <w:widowControl w:val="0"/>
              <w:spacing w:before="109" w:line="219" w:lineRule="auto"/>
              <w:ind w:left="525"/>
              <w:jc w:val="both"/>
              <w:rPr>
                <w:spacing w:val="9"/>
              </w:rPr>
            </w:pPr>
            <w:r>
              <w:rPr>
                <w:rFonts w:hint="eastAsia"/>
                <w:spacing w:val="9"/>
              </w:rPr>
              <w:t>C. 药理作用分类同属一类。</w:t>
            </w:r>
          </w:p>
          <w:p w14:paraId="666CE96D">
            <w:pPr>
              <w:pStyle w:val="54"/>
              <w:widowControl w:val="0"/>
              <w:spacing w:before="109" w:line="219" w:lineRule="auto"/>
              <w:ind w:left="525"/>
              <w:jc w:val="both"/>
              <w:rPr>
                <w:spacing w:val="9"/>
              </w:rPr>
            </w:pPr>
            <w:r>
              <w:rPr>
                <w:rFonts w:hint="eastAsia"/>
                <w:spacing w:val="9"/>
              </w:rPr>
              <w:t>7.16 适应症审查：根据患者的疾病诊断信息，审查处方（医嘱）中药品的适应症是否与患者的疾病情况相符。</w:t>
            </w:r>
          </w:p>
          <w:p w14:paraId="269018BF">
            <w:pPr>
              <w:pStyle w:val="54"/>
              <w:widowControl w:val="0"/>
              <w:spacing w:before="109" w:line="219" w:lineRule="auto"/>
              <w:ind w:left="525"/>
              <w:jc w:val="both"/>
              <w:rPr>
                <w:spacing w:val="9"/>
              </w:rPr>
            </w:pPr>
            <w:r>
              <w:rPr>
                <w:rFonts w:hint="eastAsia"/>
                <w:spacing w:val="9"/>
              </w:rPr>
              <w:t>7.17 药物过敏审查：结合患者既往药物过敏史、皮试结果，审查处方（医嘱）中是否存在可能引起病人过敏或者交叉过敏的药物。</w:t>
            </w:r>
          </w:p>
          <w:p w14:paraId="1250F91E">
            <w:pPr>
              <w:pStyle w:val="54"/>
              <w:widowControl w:val="0"/>
              <w:spacing w:before="109" w:line="219" w:lineRule="auto"/>
              <w:ind w:left="525"/>
              <w:jc w:val="both"/>
              <w:rPr>
                <w:spacing w:val="9"/>
              </w:rPr>
            </w:pPr>
            <w:r>
              <w:rPr>
                <w:rFonts w:hint="eastAsia"/>
                <w:spacing w:val="9"/>
              </w:rPr>
              <w:t>7.18 药物检验值审查：可实时结合患者检验值审查药物使用是否合理。</w:t>
            </w:r>
          </w:p>
          <w:p w14:paraId="473A542C">
            <w:pPr>
              <w:pStyle w:val="54"/>
              <w:widowControl w:val="0"/>
              <w:spacing w:before="109" w:line="219" w:lineRule="auto"/>
              <w:ind w:left="525"/>
              <w:jc w:val="both"/>
              <w:rPr>
                <w:spacing w:val="9"/>
              </w:rPr>
            </w:pPr>
            <w:r>
              <w:rPr>
                <w:rFonts w:hint="eastAsia"/>
                <w:spacing w:val="9"/>
              </w:rPr>
              <w:t>7.19 规范性审查：根据《处方管理办法》审查医生开出的处方是否规范，如是否填写诊断、是否按规定填写年龄等。</w:t>
            </w:r>
          </w:p>
          <w:p w14:paraId="60247401">
            <w:pPr>
              <w:pStyle w:val="54"/>
              <w:widowControl w:val="0"/>
              <w:spacing w:before="109" w:line="219" w:lineRule="auto"/>
              <w:ind w:left="525"/>
              <w:jc w:val="both"/>
              <w:rPr>
                <w:spacing w:val="9"/>
              </w:rPr>
            </w:pPr>
            <w:r>
              <w:rPr>
                <w:rFonts w:hint="eastAsia"/>
                <w:spacing w:val="9"/>
              </w:rPr>
              <w:t>7.20 医保审查：根据国家医保和省医保报销限定要求，对处方药品是否符合报销规定进行审查。</w:t>
            </w:r>
          </w:p>
          <w:p w14:paraId="0248E2A8">
            <w:pPr>
              <w:pStyle w:val="54"/>
              <w:widowControl w:val="0"/>
              <w:spacing w:before="109" w:line="219" w:lineRule="auto"/>
              <w:ind w:left="525"/>
              <w:jc w:val="both"/>
              <w:rPr>
                <w:spacing w:val="9"/>
              </w:rPr>
            </w:pPr>
            <w:r>
              <w:rPr>
                <w:rFonts w:hint="eastAsia"/>
                <w:spacing w:val="9"/>
              </w:rPr>
              <w:t>7.21 监测指标审查：可结合医嘱药品提醒医生应做相关检查，如果住院病人在使用这些药品期间未监测这些指标，则给予警示。</w:t>
            </w:r>
          </w:p>
          <w:p w14:paraId="4DC18271">
            <w:pPr>
              <w:pStyle w:val="54"/>
              <w:widowControl w:val="0"/>
              <w:spacing w:before="109" w:line="219" w:lineRule="auto"/>
              <w:ind w:left="525"/>
              <w:jc w:val="both"/>
              <w:rPr>
                <w:spacing w:val="9"/>
              </w:rPr>
            </w:pPr>
            <w:r>
              <w:rPr>
                <w:rFonts w:hint="eastAsia"/>
                <w:spacing w:val="9"/>
              </w:rPr>
              <w:t>7.22 越权用药审查：审查医生开出的处方药品是否在其可以使用的权限范围内，如监控医生越级使用抗菌药物、越级使用特殊管制药品等。</w:t>
            </w:r>
          </w:p>
          <w:p w14:paraId="566AE06A">
            <w:pPr>
              <w:pStyle w:val="54"/>
              <w:widowControl w:val="0"/>
              <w:spacing w:before="109" w:line="219" w:lineRule="auto"/>
              <w:ind w:left="525"/>
              <w:jc w:val="both"/>
              <w:rPr>
                <w:spacing w:val="9"/>
              </w:rPr>
            </w:pPr>
            <w:r>
              <w:rPr>
                <w:rFonts w:hint="eastAsia"/>
                <w:spacing w:val="9"/>
              </w:rPr>
              <w:t>7.23 围术期用药审查：审查在围手术期内使用抗菌药物的品种是否合理，使用抗菌药物的时机和时限是否合理。</w:t>
            </w:r>
          </w:p>
        </w:tc>
      </w:tr>
      <w:tr w14:paraId="4CC6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2B842AAE">
            <w:pPr>
              <w:pStyle w:val="54"/>
              <w:widowControl w:val="0"/>
              <w:spacing w:before="109" w:line="219" w:lineRule="auto"/>
              <w:ind w:left="525"/>
              <w:jc w:val="both"/>
              <w:rPr>
                <w:spacing w:val="9"/>
              </w:rPr>
            </w:pPr>
          </w:p>
        </w:tc>
        <w:tc>
          <w:tcPr>
            <w:tcW w:w="1559" w:type="dxa"/>
            <w:shd w:val="clear" w:color="auto" w:fill="auto"/>
          </w:tcPr>
          <w:p w14:paraId="03E55658">
            <w:pPr>
              <w:pStyle w:val="54"/>
              <w:widowControl w:val="0"/>
              <w:spacing w:before="109" w:line="219" w:lineRule="auto"/>
              <w:ind w:left="525"/>
              <w:jc w:val="both"/>
              <w:rPr>
                <w:spacing w:val="9"/>
              </w:rPr>
            </w:pPr>
            <w:r>
              <w:rPr>
                <w:spacing w:val="9"/>
              </w:rPr>
              <w:t>8.审查规则自定义功能（医院专家知识库）</w:t>
            </w:r>
          </w:p>
        </w:tc>
        <w:tc>
          <w:tcPr>
            <w:tcW w:w="6796" w:type="dxa"/>
          </w:tcPr>
          <w:p w14:paraId="0950942C">
            <w:pPr>
              <w:pStyle w:val="54"/>
              <w:widowControl w:val="0"/>
              <w:spacing w:before="109" w:line="219" w:lineRule="auto"/>
              <w:ind w:left="525"/>
              <w:jc w:val="both"/>
              <w:rPr>
                <w:rFonts w:hint="eastAsia" w:eastAsia="宋体"/>
                <w:spacing w:val="9"/>
                <w:lang w:eastAsia="zh-CN"/>
              </w:rPr>
            </w:pPr>
            <w:r>
              <w:rPr>
                <w:rFonts w:hint="eastAsia"/>
                <w:spacing w:val="9"/>
              </w:rPr>
              <w:t>支持用户自定义药品规则，能够对所有使用规则（包括引用自说明书规则集的规则和本院自定义的规则）进行新增、修改和删除，实现对用药适应症、禁忌症、用法用量、给药途径、相互作用、重复用药、特殊人群、配伍、过敏、不良反应等精准审查</w:t>
            </w:r>
            <w:r>
              <w:rPr>
                <w:rFonts w:hint="eastAsia"/>
                <w:spacing w:val="9"/>
                <w:lang w:eastAsia="zh-CN"/>
              </w:rPr>
              <w:t>。</w:t>
            </w:r>
          </w:p>
        </w:tc>
      </w:tr>
      <w:tr w14:paraId="7DE8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798" w:type="dxa"/>
            <w:vMerge w:val="restart"/>
          </w:tcPr>
          <w:p w14:paraId="73B306A5">
            <w:pPr>
              <w:pStyle w:val="54"/>
              <w:widowControl w:val="0"/>
              <w:spacing w:before="109" w:line="219" w:lineRule="auto"/>
              <w:ind w:left="525"/>
              <w:jc w:val="both"/>
              <w:rPr>
                <w:spacing w:val="9"/>
                <w:lang w:eastAsia="zh-CN"/>
              </w:rPr>
            </w:pPr>
            <w:r>
              <w:rPr>
                <w:rFonts w:hint="eastAsia"/>
                <w:spacing w:val="9"/>
                <w:lang w:eastAsia="zh-CN"/>
              </w:rPr>
              <w:t>二、药物信息咨询功能模块</w:t>
            </w:r>
          </w:p>
          <w:p w14:paraId="1305A75D">
            <w:pPr>
              <w:pStyle w:val="54"/>
              <w:widowControl w:val="0"/>
              <w:spacing w:before="109" w:line="219" w:lineRule="auto"/>
              <w:ind w:left="525"/>
              <w:jc w:val="both"/>
              <w:rPr>
                <w:spacing w:val="9"/>
                <w:lang w:eastAsia="zh-CN"/>
              </w:rPr>
            </w:pPr>
          </w:p>
          <w:p w14:paraId="40468D20">
            <w:pPr>
              <w:pStyle w:val="54"/>
              <w:widowControl w:val="0"/>
              <w:spacing w:before="109" w:line="219" w:lineRule="auto"/>
              <w:ind w:left="525"/>
              <w:jc w:val="both"/>
              <w:rPr>
                <w:spacing w:val="9"/>
              </w:rPr>
            </w:pPr>
            <w:r>
              <w:rPr>
                <w:rFonts w:hint="eastAsia"/>
                <w:spacing w:val="9"/>
              </w:rPr>
              <w:t>二、药物信息咨询功能模块</w:t>
            </w:r>
          </w:p>
          <w:p w14:paraId="765581DA">
            <w:pPr>
              <w:pStyle w:val="54"/>
              <w:widowControl w:val="0"/>
              <w:spacing w:before="109" w:line="219" w:lineRule="auto"/>
              <w:ind w:left="525"/>
              <w:jc w:val="both"/>
              <w:rPr>
                <w:spacing w:val="9"/>
              </w:rPr>
            </w:pPr>
          </w:p>
          <w:p w14:paraId="6367EF93">
            <w:pPr>
              <w:pStyle w:val="54"/>
              <w:widowControl w:val="0"/>
              <w:spacing w:before="109" w:line="219" w:lineRule="auto"/>
              <w:ind w:left="525"/>
              <w:jc w:val="both"/>
              <w:rPr>
                <w:spacing w:val="9"/>
              </w:rPr>
            </w:pPr>
          </w:p>
          <w:p w14:paraId="1F9B739D">
            <w:pPr>
              <w:pStyle w:val="54"/>
              <w:widowControl w:val="0"/>
              <w:spacing w:before="109" w:line="219" w:lineRule="auto"/>
              <w:ind w:left="525"/>
              <w:jc w:val="both"/>
              <w:rPr>
                <w:spacing w:val="9"/>
              </w:rPr>
            </w:pPr>
          </w:p>
          <w:p w14:paraId="4FA5BAB6">
            <w:pPr>
              <w:pStyle w:val="54"/>
              <w:widowControl w:val="0"/>
              <w:spacing w:before="109" w:line="219" w:lineRule="auto"/>
              <w:ind w:left="525"/>
              <w:jc w:val="both"/>
              <w:rPr>
                <w:spacing w:val="9"/>
              </w:rPr>
            </w:pPr>
          </w:p>
          <w:p w14:paraId="2738D9A0">
            <w:pPr>
              <w:pStyle w:val="54"/>
              <w:widowControl w:val="0"/>
              <w:spacing w:before="109" w:line="219" w:lineRule="auto"/>
              <w:ind w:left="525"/>
              <w:jc w:val="both"/>
              <w:rPr>
                <w:spacing w:val="9"/>
              </w:rPr>
            </w:pPr>
          </w:p>
          <w:p w14:paraId="1BA80665">
            <w:pPr>
              <w:pStyle w:val="54"/>
              <w:widowControl w:val="0"/>
              <w:spacing w:before="109" w:line="219" w:lineRule="auto"/>
              <w:ind w:left="525"/>
              <w:jc w:val="both"/>
              <w:rPr>
                <w:spacing w:val="9"/>
              </w:rPr>
            </w:pPr>
          </w:p>
          <w:p w14:paraId="697E03A0">
            <w:pPr>
              <w:pStyle w:val="54"/>
              <w:widowControl w:val="0"/>
              <w:spacing w:before="109" w:line="219" w:lineRule="auto"/>
              <w:ind w:left="525"/>
              <w:jc w:val="both"/>
              <w:rPr>
                <w:spacing w:val="9"/>
              </w:rPr>
            </w:pPr>
          </w:p>
          <w:p w14:paraId="5766F8DE">
            <w:pPr>
              <w:pStyle w:val="54"/>
              <w:widowControl w:val="0"/>
              <w:spacing w:before="109" w:line="219" w:lineRule="auto"/>
              <w:ind w:left="525"/>
              <w:jc w:val="both"/>
              <w:rPr>
                <w:spacing w:val="9"/>
              </w:rPr>
            </w:pPr>
          </w:p>
          <w:p w14:paraId="6C5E5EEE">
            <w:pPr>
              <w:pStyle w:val="54"/>
              <w:widowControl w:val="0"/>
              <w:spacing w:before="109" w:line="219" w:lineRule="auto"/>
              <w:ind w:left="525"/>
              <w:jc w:val="both"/>
              <w:rPr>
                <w:spacing w:val="9"/>
              </w:rPr>
            </w:pPr>
          </w:p>
          <w:p w14:paraId="20A65467">
            <w:pPr>
              <w:pStyle w:val="54"/>
              <w:widowControl w:val="0"/>
              <w:spacing w:before="109" w:line="219" w:lineRule="auto"/>
              <w:ind w:left="525"/>
              <w:jc w:val="both"/>
              <w:rPr>
                <w:spacing w:val="9"/>
              </w:rPr>
            </w:pPr>
          </w:p>
          <w:p w14:paraId="500A0AC9">
            <w:pPr>
              <w:pStyle w:val="54"/>
              <w:widowControl w:val="0"/>
              <w:spacing w:before="109" w:line="219" w:lineRule="auto"/>
              <w:ind w:left="525"/>
              <w:jc w:val="both"/>
              <w:rPr>
                <w:spacing w:val="9"/>
              </w:rPr>
            </w:pPr>
          </w:p>
          <w:p w14:paraId="0A153C77">
            <w:pPr>
              <w:pStyle w:val="54"/>
              <w:widowControl w:val="0"/>
              <w:spacing w:before="109" w:line="219" w:lineRule="auto"/>
              <w:ind w:left="525"/>
              <w:jc w:val="both"/>
              <w:rPr>
                <w:spacing w:val="9"/>
              </w:rPr>
            </w:pPr>
          </w:p>
          <w:p w14:paraId="7A1FDC77">
            <w:pPr>
              <w:pStyle w:val="54"/>
              <w:widowControl w:val="0"/>
              <w:spacing w:before="109" w:line="219" w:lineRule="auto"/>
              <w:ind w:left="525"/>
              <w:jc w:val="both"/>
              <w:rPr>
                <w:spacing w:val="9"/>
              </w:rPr>
            </w:pPr>
            <w:r>
              <w:rPr>
                <w:rFonts w:hint="eastAsia"/>
                <w:spacing w:val="9"/>
              </w:rPr>
              <w:t>二、药物信息咨询功能模块</w:t>
            </w:r>
          </w:p>
          <w:p w14:paraId="4420973B">
            <w:pPr>
              <w:pStyle w:val="54"/>
              <w:widowControl w:val="0"/>
              <w:spacing w:before="109" w:line="219" w:lineRule="auto"/>
              <w:ind w:left="525"/>
              <w:jc w:val="both"/>
              <w:rPr>
                <w:spacing w:val="9"/>
              </w:rPr>
            </w:pPr>
          </w:p>
        </w:tc>
        <w:tc>
          <w:tcPr>
            <w:tcW w:w="1559" w:type="dxa"/>
            <w:shd w:val="clear" w:color="auto" w:fill="auto"/>
          </w:tcPr>
          <w:p w14:paraId="0455D397">
            <w:pPr>
              <w:pStyle w:val="54"/>
              <w:widowControl w:val="0"/>
              <w:spacing w:before="109" w:line="219" w:lineRule="auto"/>
              <w:ind w:left="525"/>
              <w:jc w:val="both"/>
              <w:rPr>
                <w:spacing w:val="9"/>
              </w:rPr>
            </w:pPr>
            <w:r>
              <w:rPr>
                <w:spacing w:val="9"/>
              </w:rPr>
              <w:t>9.药物信息参考</w:t>
            </w:r>
          </w:p>
        </w:tc>
        <w:tc>
          <w:tcPr>
            <w:tcW w:w="6796" w:type="dxa"/>
          </w:tcPr>
          <w:p w14:paraId="23F44A77">
            <w:pPr>
              <w:pStyle w:val="54"/>
              <w:widowControl w:val="0"/>
              <w:spacing w:before="109" w:line="219" w:lineRule="auto"/>
              <w:ind w:left="525"/>
              <w:jc w:val="both"/>
              <w:rPr>
                <w:spacing w:val="9"/>
              </w:rPr>
            </w:pPr>
            <w:r>
              <w:rPr>
                <w:rFonts w:hint="eastAsia"/>
                <w:spacing w:val="9"/>
              </w:rPr>
              <w:t>9 1“系统”应提供国内外上市药品的详细临床用药信息，内容包括药物的各种名称、临床应用、用法与用量、注意事项、不良反应、药物相互作用、给药说明、药理、制剂与规格等信息。</w:t>
            </w:r>
          </w:p>
          <w:p w14:paraId="4C6BDE2E">
            <w:pPr>
              <w:pStyle w:val="54"/>
              <w:widowControl w:val="0"/>
              <w:spacing w:before="109" w:line="219" w:lineRule="auto"/>
              <w:ind w:left="525"/>
              <w:jc w:val="both"/>
              <w:rPr>
                <w:spacing w:val="9"/>
              </w:rPr>
            </w:pPr>
            <w:r>
              <w:rPr>
                <w:rFonts w:hint="eastAsia"/>
                <w:spacing w:val="9"/>
              </w:rPr>
              <w:t>9.2应可查看特殊人群（老人、儿童、妊娠期妇女、哺乳期妇女）及特殊疾病状态（如肝功能不全、肾功能不全、心力衰竭等）患者用药的注意事项。</w:t>
            </w:r>
          </w:p>
          <w:p w14:paraId="1A0EB900">
            <w:pPr>
              <w:pStyle w:val="54"/>
              <w:widowControl w:val="0"/>
              <w:spacing w:before="109" w:line="219" w:lineRule="auto"/>
              <w:ind w:left="525"/>
              <w:jc w:val="both"/>
              <w:rPr>
                <w:spacing w:val="9"/>
              </w:rPr>
            </w:pPr>
            <w:r>
              <w:rPr>
                <w:rFonts w:hint="eastAsia"/>
                <w:spacing w:val="9"/>
              </w:rPr>
              <w:t>9.3应提供与药物临床应用密切相关的信息如不良反应处理方法、药物对检验值或诊断的影响等。</w:t>
            </w:r>
          </w:p>
          <w:p w14:paraId="6DB8B12C">
            <w:pPr>
              <w:pStyle w:val="54"/>
              <w:widowControl w:val="0"/>
              <w:spacing w:before="109" w:line="219" w:lineRule="auto"/>
              <w:ind w:left="525"/>
              <w:jc w:val="both"/>
              <w:rPr>
                <w:spacing w:val="9"/>
              </w:rPr>
            </w:pPr>
            <w:r>
              <w:rPr>
                <w:rFonts w:hint="eastAsia"/>
                <w:spacing w:val="9"/>
              </w:rPr>
              <w:t>9.4可提供高警讯药物、比尔斯标准、国外专科信息供临床参考。</w:t>
            </w:r>
          </w:p>
          <w:p w14:paraId="2BE5A41A">
            <w:pPr>
              <w:pStyle w:val="54"/>
              <w:widowControl w:val="0"/>
              <w:spacing w:before="109" w:line="219" w:lineRule="auto"/>
              <w:ind w:left="525"/>
              <w:jc w:val="both"/>
              <w:rPr>
                <w:spacing w:val="9"/>
              </w:rPr>
            </w:pPr>
            <w:r>
              <w:rPr>
                <w:rFonts w:hint="eastAsia"/>
                <w:spacing w:val="9"/>
              </w:rPr>
              <w:t>9.5所有信息均应提供参考文献。</w:t>
            </w:r>
          </w:p>
        </w:tc>
      </w:tr>
      <w:tr w14:paraId="748F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4571DB41">
            <w:pPr>
              <w:pStyle w:val="54"/>
              <w:widowControl w:val="0"/>
              <w:spacing w:before="109" w:line="219" w:lineRule="auto"/>
              <w:ind w:left="525"/>
              <w:jc w:val="both"/>
              <w:rPr>
                <w:spacing w:val="9"/>
              </w:rPr>
            </w:pPr>
          </w:p>
        </w:tc>
        <w:tc>
          <w:tcPr>
            <w:tcW w:w="1559" w:type="dxa"/>
            <w:shd w:val="clear" w:color="auto" w:fill="auto"/>
          </w:tcPr>
          <w:p w14:paraId="1BD21574">
            <w:pPr>
              <w:pStyle w:val="54"/>
              <w:widowControl w:val="0"/>
              <w:spacing w:before="109" w:line="219" w:lineRule="auto"/>
              <w:ind w:left="525"/>
              <w:jc w:val="both"/>
              <w:rPr>
                <w:spacing w:val="9"/>
              </w:rPr>
            </w:pPr>
            <w:r>
              <w:rPr>
                <w:rFonts w:hint="eastAsia"/>
                <w:spacing w:val="9"/>
                <w:lang w:val="en-US" w:eastAsia="zh-CN"/>
              </w:rPr>
              <w:t>10</w:t>
            </w:r>
            <w:r>
              <w:rPr>
                <w:spacing w:val="9"/>
              </w:rPr>
              <w:t>.妊娠哺乳用药</w:t>
            </w:r>
          </w:p>
        </w:tc>
        <w:tc>
          <w:tcPr>
            <w:tcW w:w="6796" w:type="dxa"/>
          </w:tcPr>
          <w:p w14:paraId="2872841D">
            <w:pPr>
              <w:pStyle w:val="54"/>
              <w:widowControl w:val="0"/>
              <w:spacing w:before="109" w:line="219" w:lineRule="auto"/>
              <w:ind w:left="525"/>
              <w:jc w:val="both"/>
              <w:rPr>
                <w:spacing w:val="9"/>
              </w:rPr>
            </w:pPr>
            <w:r>
              <w:rPr>
                <w:rFonts w:hint="eastAsia"/>
                <w:spacing w:val="9"/>
              </w:rPr>
              <w:t>“系统”应基于循证医学原则评价国内外药品说明书、专业数据库、专著、研究文献，对妊娠期和哺乳期药物暴露风险进行评估，提出用药建议、药代动力学、文献报道等供临床参考。所有信息均应提供参考文献。</w:t>
            </w:r>
          </w:p>
        </w:tc>
      </w:tr>
      <w:tr w14:paraId="1BB8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61620244">
            <w:pPr>
              <w:pStyle w:val="54"/>
              <w:widowControl w:val="0"/>
              <w:spacing w:before="109" w:line="219" w:lineRule="auto"/>
              <w:ind w:left="525"/>
              <w:jc w:val="both"/>
              <w:rPr>
                <w:spacing w:val="9"/>
              </w:rPr>
            </w:pPr>
          </w:p>
        </w:tc>
        <w:tc>
          <w:tcPr>
            <w:tcW w:w="1559" w:type="dxa"/>
            <w:shd w:val="clear" w:color="auto" w:fill="auto"/>
          </w:tcPr>
          <w:p w14:paraId="76B43185">
            <w:pPr>
              <w:pStyle w:val="54"/>
              <w:widowControl w:val="0"/>
              <w:spacing w:before="109" w:line="219" w:lineRule="auto"/>
              <w:ind w:left="525"/>
              <w:jc w:val="both"/>
              <w:rPr>
                <w:spacing w:val="9"/>
              </w:rPr>
            </w:pPr>
            <w:r>
              <w:rPr>
                <w:rFonts w:hint="eastAsia"/>
                <w:spacing w:val="9"/>
                <w:lang w:val="en-US" w:eastAsia="zh-CN"/>
              </w:rPr>
              <w:t>11</w:t>
            </w:r>
            <w:r>
              <w:rPr>
                <w:spacing w:val="9"/>
              </w:rPr>
              <w:t>.临床指南</w:t>
            </w:r>
          </w:p>
        </w:tc>
        <w:tc>
          <w:tcPr>
            <w:tcW w:w="6796" w:type="dxa"/>
          </w:tcPr>
          <w:p w14:paraId="71458463">
            <w:pPr>
              <w:pStyle w:val="54"/>
              <w:widowControl w:val="0"/>
              <w:spacing w:before="109" w:line="219" w:lineRule="auto"/>
              <w:ind w:left="525"/>
              <w:jc w:val="both"/>
              <w:rPr>
                <w:spacing w:val="9"/>
              </w:rPr>
            </w:pPr>
            <w:r>
              <w:rPr>
                <w:rFonts w:hint="eastAsia"/>
                <w:spacing w:val="9"/>
              </w:rPr>
              <w:t>12.1“系统”应提供国内外的卫生监管机构、权威医药学专科学会发布的诊疗指南，应涵盖疾病诊断、治疗、预防、护理等方面的指南、规范、共识、解读等。</w:t>
            </w:r>
          </w:p>
          <w:p w14:paraId="65252F30">
            <w:pPr>
              <w:pStyle w:val="54"/>
              <w:widowControl w:val="0"/>
              <w:spacing w:before="109" w:line="219" w:lineRule="auto"/>
              <w:ind w:left="525"/>
              <w:jc w:val="both"/>
              <w:rPr>
                <w:spacing w:val="9"/>
              </w:rPr>
            </w:pPr>
            <w:r>
              <w:rPr>
                <w:rFonts w:hint="eastAsia"/>
                <w:spacing w:val="9"/>
              </w:rPr>
              <w:t>12.2 英文指南应提供中文翻译。</w:t>
            </w:r>
          </w:p>
          <w:p w14:paraId="612323E1">
            <w:pPr>
              <w:pStyle w:val="54"/>
              <w:widowControl w:val="0"/>
              <w:spacing w:before="109" w:line="219" w:lineRule="auto"/>
              <w:ind w:left="525"/>
              <w:jc w:val="both"/>
              <w:rPr>
                <w:spacing w:val="9"/>
              </w:rPr>
            </w:pPr>
            <w:r>
              <w:rPr>
                <w:rFonts w:hint="eastAsia"/>
                <w:spacing w:val="9"/>
              </w:rPr>
              <w:t>12.3应提供如《抗菌药物临床应用指导原则》、《中成药临床应用指导原则》等用药指导原则。</w:t>
            </w:r>
          </w:p>
          <w:p w14:paraId="102F0C9D">
            <w:pPr>
              <w:pStyle w:val="54"/>
              <w:widowControl w:val="0"/>
              <w:spacing w:before="109" w:line="219" w:lineRule="auto"/>
              <w:ind w:left="525"/>
              <w:jc w:val="both"/>
              <w:rPr>
                <w:spacing w:val="9"/>
              </w:rPr>
            </w:pPr>
            <w:r>
              <w:rPr>
                <w:rFonts w:hint="eastAsia"/>
                <w:spacing w:val="9"/>
              </w:rPr>
              <w:t>12.4应具有筛选中英文指南和发布时间的功能。</w:t>
            </w:r>
          </w:p>
        </w:tc>
      </w:tr>
      <w:tr w14:paraId="029C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10CFA105">
            <w:pPr>
              <w:pStyle w:val="54"/>
              <w:widowControl w:val="0"/>
              <w:spacing w:before="109" w:line="219" w:lineRule="auto"/>
              <w:ind w:left="525"/>
              <w:jc w:val="both"/>
              <w:rPr>
                <w:spacing w:val="9"/>
              </w:rPr>
            </w:pPr>
          </w:p>
        </w:tc>
        <w:tc>
          <w:tcPr>
            <w:tcW w:w="1559" w:type="dxa"/>
            <w:shd w:val="clear" w:color="auto" w:fill="auto"/>
          </w:tcPr>
          <w:p w14:paraId="4B18F295">
            <w:pPr>
              <w:pStyle w:val="54"/>
              <w:widowControl w:val="0"/>
              <w:spacing w:before="109" w:line="219" w:lineRule="auto"/>
              <w:ind w:left="525"/>
              <w:jc w:val="both"/>
              <w:rPr>
                <w:spacing w:val="9"/>
              </w:rPr>
            </w:pPr>
            <w:r>
              <w:rPr>
                <w:rFonts w:hint="eastAsia"/>
                <w:spacing w:val="9"/>
                <w:lang w:val="en-US" w:eastAsia="zh-CN"/>
              </w:rPr>
              <w:t>12</w:t>
            </w:r>
            <w:r>
              <w:rPr>
                <w:spacing w:val="9"/>
              </w:rPr>
              <w:t>.用药教育</w:t>
            </w:r>
          </w:p>
        </w:tc>
        <w:tc>
          <w:tcPr>
            <w:tcW w:w="6796" w:type="dxa"/>
          </w:tcPr>
          <w:p w14:paraId="08D5CE05">
            <w:pPr>
              <w:pStyle w:val="54"/>
              <w:widowControl w:val="0"/>
              <w:spacing w:before="109" w:line="219" w:lineRule="auto"/>
              <w:ind w:left="525"/>
              <w:jc w:val="both"/>
              <w:rPr>
                <w:spacing w:val="9"/>
              </w:rPr>
            </w:pPr>
            <w:r>
              <w:rPr>
                <w:rFonts w:hint="eastAsia"/>
                <w:spacing w:val="9"/>
              </w:rPr>
              <w:t>“系统”应为专业人员提供便于辅导病人用药的信息，以通俗易懂的语言，借助图片等形式描述药品的用途、副作用、用药期间注意事项、特殊给药方式图示等信息。</w:t>
            </w:r>
          </w:p>
        </w:tc>
      </w:tr>
      <w:tr w14:paraId="785F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5B960128">
            <w:pPr>
              <w:pStyle w:val="54"/>
              <w:widowControl w:val="0"/>
              <w:spacing w:before="109" w:line="219" w:lineRule="auto"/>
              <w:ind w:left="525"/>
              <w:jc w:val="both"/>
              <w:rPr>
                <w:spacing w:val="9"/>
              </w:rPr>
            </w:pPr>
          </w:p>
        </w:tc>
        <w:tc>
          <w:tcPr>
            <w:tcW w:w="1559" w:type="dxa"/>
            <w:shd w:val="clear" w:color="auto" w:fill="auto"/>
          </w:tcPr>
          <w:p w14:paraId="3A27764F">
            <w:pPr>
              <w:pStyle w:val="54"/>
              <w:widowControl w:val="0"/>
              <w:spacing w:before="109" w:line="219" w:lineRule="auto"/>
              <w:ind w:left="525"/>
              <w:jc w:val="both"/>
              <w:rPr>
                <w:spacing w:val="9"/>
              </w:rPr>
            </w:pPr>
            <w:r>
              <w:rPr>
                <w:rFonts w:hint="eastAsia"/>
                <w:spacing w:val="9"/>
                <w:lang w:val="en-US" w:eastAsia="zh-CN"/>
              </w:rPr>
              <w:t>13</w:t>
            </w:r>
            <w:r>
              <w:rPr>
                <w:spacing w:val="9"/>
              </w:rPr>
              <w:t>.超说明书用药</w:t>
            </w:r>
          </w:p>
        </w:tc>
        <w:tc>
          <w:tcPr>
            <w:tcW w:w="6796" w:type="dxa"/>
          </w:tcPr>
          <w:p w14:paraId="6CE70025">
            <w:pPr>
              <w:pStyle w:val="54"/>
              <w:widowControl w:val="0"/>
              <w:spacing w:before="109" w:line="219" w:lineRule="auto"/>
              <w:ind w:left="525"/>
              <w:jc w:val="both"/>
              <w:rPr>
                <w:spacing w:val="9"/>
              </w:rPr>
            </w:pPr>
            <w:r>
              <w:rPr>
                <w:rFonts w:hint="eastAsia"/>
                <w:spacing w:val="9"/>
              </w:rPr>
              <w:t>“系统”应提供权威的超说明书用药信息，内容应包括用药类型、适应症、用法用量、循证医学证据等。</w:t>
            </w:r>
          </w:p>
        </w:tc>
      </w:tr>
      <w:tr w14:paraId="4D6F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798" w:type="dxa"/>
            <w:vMerge w:val="restart"/>
          </w:tcPr>
          <w:p w14:paraId="535BD318">
            <w:pPr>
              <w:pStyle w:val="54"/>
              <w:widowControl w:val="0"/>
              <w:spacing w:before="109" w:line="219" w:lineRule="auto"/>
              <w:ind w:left="525"/>
              <w:jc w:val="both"/>
              <w:rPr>
                <w:spacing w:val="9"/>
              </w:rPr>
            </w:pPr>
            <w:r>
              <w:rPr>
                <w:rFonts w:hint="eastAsia"/>
                <w:spacing w:val="9"/>
                <w:lang w:val="en-US" w:eastAsia="zh-CN"/>
              </w:rPr>
              <w:t>三、</w:t>
            </w:r>
            <w:r>
              <w:rPr>
                <w:rFonts w:hint="eastAsia"/>
                <w:spacing w:val="9"/>
              </w:rPr>
              <w:t>患者用药教育指导</w:t>
            </w:r>
          </w:p>
          <w:p w14:paraId="1D25FE5F">
            <w:pPr>
              <w:pStyle w:val="54"/>
              <w:widowControl w:val="0"/>
              <w:spacing w:before="109" w:line="219" w:lineRule="auto"/>
              <w:ind w:left="525"/>
              <w:jc w:val="both"/>
              <w:rPr>
                <w:spacing w:val="9"/>
              </w:rPr>
            </w:pPr>
          </w:p>
          <w:p w14:paraId="04AF411E">
            <w:pPr>
              <w:pStyle w:val="54"/>
              <w:widowControl w:val="0"/>
              <w:spacing w:before="109" w:line="219" w:lineRule="auto"/>
              <w:ind w:left="525"/>
              <w:jc w:val="both"/>
              <w:rPr>
                <w:spacing w:val="9"/>
              </w:rPr>
            </w:pPr>
          </w:p>
          <w:p w14:paraId="191DF2D3">
            <w:pPr>
              <w:pStyle w:val="54"/>
              <w:widowControl w:val="0"/>
              <w:spacing w:before="109" w:line="219" w:lineRule="auto"/>
              <w:ind w:left="525"/>
              <w:jc w:val="both"/>
              <w:rPr>
                <w:spacing w:val="9"/>
              </w:rPr>
            </w:pPr>
          </w:p>
          <w:p w14:paraId="27B167C3">
            <w:pPr>
              <w:pStyle w:val="54"/>
              <w:widowControl w:val="0"/>
              <w:spacing w:before="109" w:line="219" w:lineRule="auto"/>
              <w:ind w:left="525"/>
              <w:jc w:val="both"/>
              <w:rPr>
                <w:spacing w:val="9"/>
              </w:rPr>
            </w:pPr>
          </w:p>
          <w:p w14:paraId="6249A92B">
            <w:pPr>
              <w:pStyle w:val="54"/>
              <w:widowControl w:val="0"/>
              <w:spacing w:before="109" w:line="219" w:lineRule="auto"/>
              <w:ind w:left="525"/>
              <w:jc w:val="both"/>
              <w:rPr>
                <w:spacing w:val="9"/>
              </w:rPr>
            </w:pPr>
          </w:p>
        </w:tc>
        <w:tc>
          <w:tcPr>
            <w:tcW w:w="1559" w:type="dxa"/>
            <w:shd w:val="clear" w:color="auto" w:fill="auto"/>
          </w:tcPr>
          <w:p w14:paraId="2F54B51A">
            <w:pPr>
              <w:pStyle w:val="54"/>
              <w:widowControl w:val="0"/>
              <w:spacing w:before="109" w:line="219" w:lineRule="auto"/>
              <w:ind w:left="525"/>
              <w:jc w:val="both"/>
              <w:rPr>
                <w:spacing w:val="9"/>
              </w:rPr>
            </w:pPr>
            <w:r>
              <w:rPr>
                <w:spacing w:val="9"/>
              </w:rPr>
              <w:t>15.患者用药教育知识库</w:t>
            </w:r>
          </w:p>
        </w:tc>
        <w:tc>
          <w:tcPr>
            <w:tcW w:w="6796" w:type="dxa"/>
          </w:tcPr>
          <w:p w14:paraId="428BE325">
            <w:pPr>
              <w:pStyle w:val="54"/>
              <w:widowControl w:val="0"/>
              <w:spacing w:before="109" w:line="219" w:lineRule="auto"/>
              <w:ind w:left="525"/>
              <w:jc w:val="both"/>
              <w:rPr>
                <w:spacing w:val="9"/>
              </w:rPr>
            </w:pPr>
            <w:r>
              <w:rPr>
                <w:rFonts w:hint="eastAsia"/>
                <w:spacing w:val="9"/>
              </w:rPr>
              <w:t>15.1 提供一套患者用药教育知识库，知识基于说明书、</w:t>
            </w:r>
            <w:r>
              <w:rPr>
                <w:rFonts w:hint="eastAsia"/>
                <w:spacing w:val="9"/>
                <w:lang w:val="en-US" w:eastAsia="zh-CN"/>
              </w:rPr>
              <w:t>指南、共识</w:t>
            </w:r>
            <w:r>
              <w:rPr>
                <w:rFonts w:hint="eastAsia"/>
                <w:spacing w:val="9"/>
              </w:rPr>
              <w:t>等标</w:t>
            </w:r>
            <w:r>
              <w:rPr>
                <w:rFonts w:hint="eastAsia"/>
                <w:spacing w:val="9"/>
                <w:lang w:eastAsia="zh-CN"/>
              </w:rPr>
              <w:t>准</w:t>
            </w:r>
            <w:r>
              <w:rPr>
                <w:rFonts w:hint="eastAsia"/>
                <w:color w:val="000000"/>
                <w:spacing w:val="9"/>
                <w:szCs w:val="24"/>
                <w:u w:val="none"/>
                <w:lang w:eastAsia="zh-CN" w:bidi="ar"/>
              </w:rPr>
              <w:t>维护。</w:t>
            </w:r>
          </w:p>
          <w:p w14:paraId="138EB10D">
            <w:pPr>
              <w:pStyle w:val="54"/>
              <w:widowControl w:val="0"/>
              <w:spacing w:before="109" w:line="219" w:lineRule="auto"/>
              <w:ind w:left="525"/>
              <w:jc w:val="both"/>
              <w:rPr>
                <w:spacing w:val="9"/>
              </w:rPr>
            </w:pPr>
            <w:r>
              <w:rPr>
                <w:rFonts w:hint="eastAsia"/>
                <w:spacing w:val="9"/>
              </w:rPr>
              <w:t>15.2 提供药品的的患者用药指导内容，涉及：用药方法、间隔服药、特殊药物贮藏方法、常见现象/药物特性、严重/致死不良反应、育龄女性/男性用药提示、孕期用药提示、运动员及特殊人群用药提示、漏服/过量服用处理方法、及其他用药注意事项等。</w:t>
            </w:r>
          </w:p>
          <w:p w14:paraId="2FC19628">
            <w:pPr>
              <w:pStyle w:val="54"/>
              <w:widowControl w:val="0"/>
              <w:spacing w:before="109" w:line="219" w:lineRule="auto"/>
              <w:ind w:left="525"/>
              <w:jc w:val="both"/>
              <w:rPr>
                <w:spacing w:val="9"/>
              </w:rPr>
            </w:pPr>
            <w:r>
              <w:rPr>
                <w:rFonts w:hint="eastAsia"/>
                <w:spacing w:val="9"/>
              </w:rPr>
              <w:t>15.3 系统知识库应，更新后，会出现提示更新信息。</w:t>
            </w:r>
          </w:p>
        </w:tc>
      </w:tr>
      <w:tr w14:paraId="7118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51349EEA">
            <w:pPr>
              <w:pStyle w:val="54"/>
              <w:widowControl w:val="0"/>
              <w:spacing w:before="109" w:line="219" w:lineRule="auto"/>
              <w:ind w:left="525"/>
              <w:jc w:val="both"/>
              <w:rPr>
                <w:spacing w:val="9"/>
              </w:rPr>
            </w:pPr>
          </w:p>
        </w:tc>
        <w:tc>
          <w:tcPr>
            <w:tcW w:w="1559" w:type="dxa"/>
            <w:shd w:val="clear" w:color="auto" w:fill="auto"/>
          </w:tcPr>
          <w:p w14:paraId="57B08822">
            <w:pPr>
              <w:pStyle w:val="54"/>
              <w:widowControl w:val="0"/>
              <w:spacing w:before="109" w:line="219" w:lineRule="auto"/>
              <w:ind w:left="525"/>
              <w:jc w:val="both"/>
              <w:rPr>
                <w:spacing w:val="9"/>
              </w:rPr>
            </w:pPr>
            <w:r>
              <w:rPr>
                <w:spacing w:val="9"/>
              </w:rPr>
              <w:t>16.患者用药教育</w:t>
            </w:r>
          </w:p>
        </w:tc>
        <w:tc>
          <w:tcPr>
            <w:tcW w:w="6796" w:type="dxa"/>
          </w:tcPr>
          <w:p w14:paraId="351CE904">
            <w:pPr>
              <w:pStyle w:val="54"/>
              <w:widowControl w:val="0"/>
              <w:spacing w:before="109" w:line="219" w:lineRule="auto"/>
              <w:ind w:left="525"/>
              <w:jc w:val="both"/>
              <w:rPr>
                <w:spacing w:val="9"/>
              </w:rPr>
            </w:pPr>
            <w:r>
              <w:rPr>
                <w:rFonts w:hint="eastAsia"/>
                <w:spacing w:val="9"/>
              </w:rPr>
              <w:t>16.1药师登录合理用药系统知识建设后，即可对药品/产品的患教规则进行查看和维护，能够对用药教育规则进行新增、修改和删除。</w:t>
            </w:r>
          </w:p>
          <w:p w14:paraId="560A78C2">
            <w:pPr>
              <w:pStyle w:val="54"/>
              <w:widowControl w:val="0"/>
              <w:spacing w:before="109" w:line="219" w:lineRule="auto"/>
              <w:ind w:left="525"/>
              <w:jc w:val="both"/>
              <w:rPr>
                <w:spacing w:val="9"/>
              </w:rPr>
            </w:pPr>
            <w:r>
              <w:rPr>
                <w:rFonts w:hint="eastAsia"/>
                <w:spacing w:val="9"/>
              </w:rPr>
              <w:t>16.2系统支持药师根据诊断、药品或合用药品等情况进行患教用药教育信息自定义内容。</w:t>
            </w:r>
          </w:p>
        </w:tc>
      </w:tr>
      <w:tr w14:paraId="6E57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3D001139">
            <w:pPr>
              <w:pStyle w:val="54"/>
              <w:widowControl w:val="0"/>
              <w:spacing w:before="109" w:line="219" w:lineRule="auto"/>
              <w:ind w:left="525"/>
              <w:jc w:val="both"/>
              <w:rPr>
                <w:spacing w:val="9"/>
              </w:rPr>
            </w:pPr>
          </w:p>
        </w:tc>
        <w:tc>
          <w:tcPr>
            <w:tcW w:w="1559" w:type="dxa"/>
            <w:shd w:val="clear" w:color="auto" w:fill="auto"/>
          </w:tcPr>
          <w:p w14:paraId="43C817F8">
            <w:pPr>
              <w:pStyle w:val="54"/>
              <w:widowControl w:val="0"/>
              <w:spacing w:before="109" w:line="219" w:lineRule="auto"/>
              <w:ind w:left="525"/>
              <w:jc w:val="both"/>
              <w:rPr>
                <w:spacing w:val="9"/>
              </w:rPr>
            </w:pPr>
            <w:r>
              <w:rPr>
                <w:spacing w:val="9"/>
              </w:rPr>
              <w:t>17.患者用药指导单</w:t>
            </w:r>
          </w:p>
        </w:tc>
        <w:tc>
          <w:tcPr>
            <w:tcW w:w="6796" w:type="dxa"/>
          </w:tcPr>
          <w:p w14:paraId="5AA855DF">
            <w:pPr>
              <w:pStyle w:val="54"/>
              <w:widowControl w:val="0"/>
              <w:spacing w:before="109" w:line="219" w:lineRule="auto"/>
              <w:ind w:left="525"/>
              <w:jc w:val="both"/>
              <w:rPr>
                <w:spacing w:val="9"/>
              </w:rPr>
            </w:pPr>
            <w:r>
              <w:rPr>
                <w:rFonts w:hint="eastAsia"/>
                <w:spacing w:val="9"/>
              </w:rPr>
              <w:t>可以根据患者疾病情况和处方药品信息自动生成患者用药教育指导单，并提供电子版指导单编辑、打印功能。</w:t>
            </w:r>
          </w:p>
        </w:tc>
      </w:tr>
    </w:tbl>
    <w:p w14:paraId="7AF18675">
      <w:pPr>
        <w:spacing w:line="560" w:lineRule="exact"/>
        <w:jc w:val="left"/>
        <w:rPr>
          <w:rFonts w:hint="eastAsia" w:ascii="黑体" w:hAnsi="黑体" w:eastAsia="黑体" w:cs="黑体"/>
          <w:sz w:val="28"/>
          <w:szCs w:val="28"/>
        </w:rPr>
      </w:pPr>
    </w:p>
    <w:p w14:paraId="6814F861">
      <w:pPr>
        <w:spacing w:line="240" w:lineRule="auto"/>
        <w:ind w:firstLine="560" w:firstLineChars="200"/>
        <w:jc w:val="left"/>
        <w:rPr>
          <w:rFonts w:hint="eastAsia" w:ascii="仿宋_GB2312" w:hAnsi="仿宋_GB2312" w:eastAsia="仿宋_GB2312" w:cs="仿宋_GB2312"/>
          <w:b/>
          <w:bCs/>
          <w:sz w:val="28"/>
          <w:szCs w:val="28"/>
          <w:lang w:val="en-US" w:eastAsia="zh-CN"/>
        </w:rPr>
      </w:pPr>
    </w:p>
    <w:p w14:paraId="39254C25">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leftChars="0" w:right="0" w:rightChars="0" w:firstLine="555" w:firstLineChars="0"/>
        <w:jc w:val="both"/>
        <w:textAlignment w:val="baseline"/>
        <w:rPr>
          <w:rStyle w:val="18"/>
          <w:rFonts w:hint="eastAsia" w:ascii="仿宋" w:hAnsi="仿宋" w:eastAsia="仿宋" w:cs="仿宋"/>
          <w:i w:val="0"/>
          <w:iCs w:val="0"/>
          <w:caps w:val="0"/>
          <w:color w:val="auto"/>
          <w:spacing w:val="0"/>
          <w:sz w:val="28"/>
          <w:szCs w:val="28"/>
          <w:vertAlign w:val="baseline"/>
        </w:rPr>
      </w:pPr>
      <w:r>
        <w:rPr>
          <w:rFonts w:hint="eastAsia" w:ascii="仿宋" w:hAnsi="仿宋" w:eastAsia="仿宋" w:cs="仿宋"/>
          <w:b/>
          <w:i w:val="0"/>
          <w:iCs w:val="0"/>
          <w:caps w:val="0"/>
          <w:color w:val="auto"/>
          <w:spacing w:val="0"/>
          <w:kern w:val="0"/>
          <w:sz w:val="28"/>
          <w:szCs w:val="28"/>
          <w:vertAlign w:val="baseline"/>
          <w:lang w:val="en-US" w:eastAsia="zh-CN" w:bidi="ar-SA"/>
        </w:rPr>
        <w:t>三、</w:t>
      </w:r>
      <w:r>
        <w:rPr>
          <w:rStyle w:val="18"/>
          <w:rFonts w:hint="eastAsia" w:ascii="仿宋" w:hAnsi="仿宋" w:eastAsia="仿宋" w:cs="仿宋"/>
          <w:i w:val="0"/>
          <w:iCs w:val="0"/>
          <w:caps w:val="0"/>
          <w:color w:val="auto"/>
          <w:spacing w:val="0"/>
          <w:sz w:val="28"/>
          <w:szCs w:val="28"/>
          <w:vertAlign w:val="baseline"/>
          <w:lang w:eastAsia="zh-CN"/>
        </w:rPr>
        <w:t>我院</w:t>
      </w:r>
      <w:r>
        <w:rPr>
          <w:rStyle w:val="18"/>
          <w:rFonts w:hint="eastAsia" w:ascii="仿宋" w:hAnsi="仿宋" w:eastAsia="仿宋" w:cs="仿宋"/>
          <w:i w:val="0"/>
          <w:iCs w:val="0"/>
          <w:caps w:val="0"/>
          <w:color w:val="auto"/>
          <w:spacing w:val="0"/>
          <w:sz w:val="28"/>
          <w:szCs w:val="28"/>
          <w:vertAlign w:val="baseline"/>
        </w:rPr>
        <w:t>拟采用的支付方式</w:t>
      </w:r>
    </w:p>
    <w:p w14:paraId="5688CCA7">
      <w:pPr>
        <w:spacing w:before="88" w:line="462" w:lineRule="auto"/>
        <w:ind w:right="188" w:firstLine="544" w:firstLineChars="200"/>
        <w:jc w:val="both"/>
        <w:rPr>
          <w:rFonts w:ascii="宋体" w:hAnsi="宋体" w:eastAsia="宋体" w:cs="宋体"/>
          <w:spacing w:val="-3"/>
          <w:sz w:val="27"/>
          <w:szCs w:val="27"/>
          <w:lang w:eastAsia="zh-CN"/>
        </w:rPr>
      </w:pPr>
      <w:r>
        <w:rPr>
          <w:rFonts w:hint="eastAsia" w:ascii="宋体" w:hAnsi="宋体" w:eastAsia="宋体" w:cs="宋体"/>
          <w:spacing w:val="1"/>
          <w:sz w:val="27"/>
          <w:szCs w:val="27"/>
          <w:lang w:eastAsia="zh-CN"/>
        </w:rPr>
        <w:t>（</w:t>
      </w:r>
      <w:r>
        <w:rPr>
          <w:rFonts w:hint="eastAsia" w:ascii="宋体" w:hAnsi="宋体" w:eastAsia="宋体" w:cs="宋体"/>
          <w:spacing w:val="1"/>
          <w:sz w:val="27"/>
          <w:szCs w:val="27"/>
          <w:lang w:val="en-US" w:eastAsia="zh-CN"/>
        </w:rPr>
        <w:t>一</w:t>
      </w:r>
      <w:r>
        <w:rPr>
          <w:rFonts w:hint="eastAsia" w:ascii="宋体" w:hAnsi="宋体" w:eastAsia="宋体" w:cs="宋体"/>
          <w:spacing w:val="1"/>
          <w:sz w:val="27"/>
          <w:szCs w:val="27"/>
          <w:lang w:eastAsia="zh-CN"/>
        </w:rPr>
        <w:t>）</w:t>
      </w:r>
      <w:r>
        <w:rPr>
          <w:rFonts w:ascii="宋体" w:hAnsi="宋体" w:eastAsia="宋体" w:cs="宋体"/>
          <w:spacing w:val="1"/>
          <w:sz w:val="27"/>
          <w:szCs w:val="27"/>
          <w:lang w:eastAsia="zh-CN"/>
        </w:rPr>
        <w:t>系统上线正常运行一个月后</w:t>
      </w:r>
      <w:r>
        <w:rPr>
          <w:rFonts w:hint="eastAsia" w:ascii="宋体" w:hAnsi="宋体" w:eastAsia="宋体" w:cs="宋体"/>
          <w:spacing w:val="1"/>
          <w:sz w:val="27"/>
          <w:szCs w:val="27"/>
          <w:lang w:eastAsia="zh-CN"/>
        </w:rPr>
        <w:t>，供应商可向采购人提交验收申请，采购人应在7日内组织院内验收。按照合同相关约定验收合格后，</w:t>
      </w:r>
      <w:r>
        <w:rPr>
          <w:rFonts w:ascii="宋体" w:hAnsi="宋体" w:eastAsia="宋体" w:cs="宋体"/>
          <w:spacing w:val="-3"/>
          <w:sz w:val="27"/>
          <w:szCs w:val="27"/>
          <w:lang w:eastAsia="zh-CN"/>
        </w:rPr>
        <w:t xml:space="preserve">达到付款条件起 </w:t>
      </w:r>
      <w:r>
        <w:rPr>
          <w:rFonts w:hint="eastAsia" w:ascii="宋体" w:hAnsi="宋体" w:eastAsia="宋体" w:cs="宋体"/>
          <w:spacing w:val="-3"/>
          <w:sz w:val="27"/>
          <w:szCs w:val="27"/>
          <w:lang w:eastAsia="zh-CN"/>
        </w:rPr>
        <w:t>30</w:t>
      </w:r>
      <w:r>
        <w:rPr>
          <w:rFonts w:ascii="宋体" w:hAnsi="宋体" w:eastAsia="宋体" w:cs="宋体"/>
          <w:spacing w:val="-3"/>
          <w:sz w:val="27"/>
          <w:szCs w:val="27"/>
          <w:lang w:eastAsia="zh-CN"/>
        </w:rPr>
        <w:t>日内，采购人</w:t>
      </w:r>
      <w:r>
        <w:rPr>
          <w:rFonts w:hint="eastAsia" w:ascii="宋体" w:hAnsi="宋体" w:eastAsia="宋体" w:cs="宋体"/>
          <w:spacing w:val="-3"/>
          <w:sz w:val="27"/>
          <w:szCs w:val="27"/>
          <w:lang w:eastAsia="zh-CN"/>
        </w:rPr>
        <w:t>支付合同总金额的90%。</w:t>
      </w:r>
    </w:p>
    <w:p w14:paraId="3C68D972">
      <w:pPr>
        <w:spacing w:before="88" w:line="462" w:lineRule="auto"/>
        <w:ind w:right="188" w:firstLine="544" w:firstLineChars="200"/>
        <w:jc w:val="both"/>
        <w:rPr>
          <w:rFonts w:hint="eastAsia" w:ascii="宋体" w:hAnsi="宋体" w:eastAsia="宋体" w:cs="宋体"/>
          <w:spacing w:val="1"/>
          <w:sz w:val="27"/>
          <w:szCs w:val="27"/>
          <w:lang w:eastAsia="zh-CN"/>
        </w:rPr>
      </w:pPr>
      <w:r>
        <w:rPr>
          <w:rFonts w:hint="eastAsia" w:ascii="宋体" w:hAnsi="宋体" w:eastAsia="宋体" w:cs="宋体"/>
          <w:spacing w:val="1"/>
          <w:sz w:val="27"/>
          <w:szCs w:val="27"/>
          <w:lang w:eastAsia="zh-CN"/>
        </w:rPr>
        <w:t>（</w:t>
      </w:r>
      <w:r>
        <w:rPr>
          <w:rFonts w:hint="eastAsia" w:ascii="宋体" w:hAnsi="宋体" w:cs="宋体"/>
          <w:spacing w:val="1"/>
          <w:sz w:val="27"/>
          <w:szCs w:val="27"/>
          <w:lang w:val="en-US" w:eastAsia="zh-CN"/>
        </w:rPr>
        <w:t>二</w:t>
      </w:r>
      <w:r>
        <w:rPr>
          <w:rFonts w:hint="eastAsia" w:ascii="宋体" w:hAnsi="宋体" w:eastAsia="宋体" w:cs="宋体"/>
          <w:spacing w:val="1"/>
          <w:sz w:val="27"/>
          <w:szCs w:val="27"/>
          <w:lang w:eastAsia="zh-CN"/>
        </w:rPr>
        <w:t>）</w:t>
      </w:r>
      <w:r>
        <w:rPr>
          <w:rFonts w:hint="eastAsia" w:ascii="宋体" w:hAnsi="宋体" w:eastAsia="宋体" w:cs="宋体"/>
          <w:spacing w:val="-3"/>
          <w:sz w:val="27"/>
          <w:szCs w:val="27"/>
          <w:lang w:eastAsia="zh-CN"/>
        </w:rPr>
        <w:t>按院内验收合格之日起，系统</w:t>
      </w:r>
      <w:r>
        <w:rPr>
          <w:rFonts w:hint="eastAsia" w:ascii="宋体" w:hAnsi="宋体" w:eastAsia="宋体" w:cs="宋体"/>
          <w:spacing w:val="1"/>
          <w:sz w:val="27"/>
          <w:szCs w:val="27"/>
          <w:lang w:eastAsia="zh-CN"/>
        </w:rPr>
        <w:t>正常运行一年后，</w:t>
      </w:r>
      <w:r>
        <w:rPr>
          <w:rFonts w:ascii="宋体" w:hAnsi="宋体" w:eastAsia="宋体" w:cs="宋体"/>
          <w:spacing w:val="-3"/>
          <w:sz w:val="27"/>
          <w:szCs w:val="27"/>
          <w:lang w:eastAsia="zh-CN"/>
        </w:rPr>
        <w:t>达到付款条件起</w:t>
      </w:r>
      <w:r>
        <w:rPr>
          <w:rFonts w:hint="eastAsia" w:ascii="宋体" w:hAnsi="宋体" w:eastAsia="宋体" w:cs="宋体"/>
          <w:spacing w:val="1"/>
          <w:sz w:val="27"/>
          <w:szCs w:val="27"/>
          <w:lang w:eastAsia="zh-CN"/>
        </w:rPr>
        <w:t>支付合同总金额的10%。</w:t>
      </w:r>
    </w:p>
    <w:p w14:paraId="20319DEE">
      <w:pPr>
        <w:spacing w:before="88" w:line="462" w:lineRule="auto"/>
        <w:ind w:right="188"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）我院</w:t>
      </w:r>
      <w:r>
        <w:rPr>
          <w:rFonts w:hint="eastAsia" w:ascii="仿宋" w:hAnsi="仿宋" w:eastAsia="仿宋" w:cs="仿宋"/>
          <w:color w:val="auto"/>
          <w:sz w:val="28"/>
          <w:szCs w:val="28"/>
        </w:rPr>
        <w:t>采用银行转账方式付款，</w:t>
      </w:r>
      <w:r>
        <w:rPr>
          <w:rFonts w:hint="eastAsia" w:ascii="仿宋" w:hAnsi="仿宋" w:eastAsia="仿宋" w:cs="仿宋"/>
          <w:color w:val="auto"/>
          <w:sz w:val="28"/>
          <w:szCs w:val="28"/>
          <w:lang w:eastAsia="zh-CN"/>
        </w:rPr>
        <w:t>我院</w:t>
      </w:r>
      <w:r>
        <w:rPr>
          <w:rFonts w:hint="eastAsia" w:ascii="仿宋" w:hAnsi="仿宋" w:eastAsia="仿宋" w:cs="仿宋"/>
          <w:color w:val="auto"/>
          <w:sz w:val="28"/>
          <w:szCs w:val="28"/>
        </w:rPr>
        <w:t>付款前，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必须提供结算清单给</w:t>
      </w:r>
      <w:r>
        <w:rPr>
          <w:rFonts w:hint="eastAsia" w:ascii="仿宋" w:hAnsi="仿宋" w:eastAsia="仿宋" w:cs="仿宋"/>
          <w:color w:val="auto"/>
          <w:sz w:val="28"/>
          <w:szCs w:val="28"/>
          <w:lang w:eastAsia="zh-CN"/>
        </w:rPr>
        <w:t>我院</w:t>
      </w:r>
      <w:r>
        <w:rPr>
          <w:rFonts w:hint="eastAsia" w:ascii="仿宋" w:hAnsi="仿宋" w:eastAsia="仿宋" w:cs="仿宋"/>
          <w:color w:val="auto"/>
          <w:sz w:val="28"/>
          <w:szCs w:val="28"/>
        </w:rPr>
        <w:t>核对，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的结算清单应清楚、准确、明晰，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必须出具国家认可的足额有效发票，否则</w:t>
      </w:r>
      <w:r>
        <w:rPr>
          <w:rFonts w:hint="eastAsia" w:ascii="仿宋" w:hAnsi="仿宋" w:eastAsia="仿宋" w:cs="仿宋"/>
          <w:color w:val="auto"/>
          <w:sz w:val="28"/>
          <w:szCs w:val="28"/>
          <w:lang w:eastAsia="zh-CN"/>
        </w:rPr>
        <w:t>我院</w:t>
      </w:r>
      <w:r>
        <w:rPr>
          <w:rFonts w:hint="eastAsia" w:ascii="仿宋" w:hAnsi="仿宋" w:eastAsia="仿宋" w:cs="仿宋"/>
          <w:color w:val="auto"/>
          <w:sz w:val="28"/>
          <w:szCs w:val="28"/>
        </w:rPr>
        <w:t>有权拒绝付款。</w:t>
      </w:r>
    </w:p>
    <w:p w14:paraId="7E8F97E7">
      <w:pPr>
        <w:pStyle w:val="3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双方核对一致后，</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才可开具</w:t>
      </w:r>
      <w:r>
        <w:rPr>
          <w:rFonts w:hint="eastAsia" w:ascii="仿宋" w:hAnsi="仿宋" w:eastAsia="仿宋" w:cs="仿宋"/>
          <w:color w:val="auto"/>
          <w:sz w:val="28"/>
          <w:szCs w:val="28"/>
          <w:lang w:val="en-US" w:eastAsia="zh-CN"/>
        </w:rPr>
        <w:t>付款凭证</w:t>
      </w:r>
      <w:r>
        <w:rPr>
          <w:rFonts w:hint="eastAsia" w:ascii="仿宋" w:hAnsi="仿宋" w:eastAsia="仿宋" w:cs="仿宋"/>
          <w:color w:val="auto"/>
          <w:sz w:val="28"/>
          <w:szCs w:val="28"/>
        </w:rPr>
        <w:t>。每月</w:t>
      </w:r>
      <w:r>
        <w:rPr>
          <w:rFonts w:hint="eastAsia" w:ascii="仿宋" w:hAnsi="仿宋" w:eastAsia="仿宋" w:cs="仿宋"/>
          <w:color w:val="auto"/>
          <w:sz w:val="28"/>
          <w:szCs w:val="28"/>
          <w:lang w:eastAsia="zh-CN"/>
        </w:rPr>
        <w:t>我院</w:t>
      </w:r>
      <w:r>
        <w:rPr>
          <w:rFonts w:hint="eastAsia" w:ascii="仿宋" w:hAnsi="仿宋" w:eastAsia="仿宋" w:cs="仿宋"/>
          <w:color w:val="auto"/>
          <w:sz w:val="28"/>
          <w:szCs w:val="28"/>
        </w:rPr>
        <w:t>在收到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前款所述有效</w:t>
      </w:r>
      <w:r>
        <w:rPr>
          <w:rFonts w:hint="eastAsia" w:ascii="仿宋" w:hAnsi="仿宋" w:eastAsia="仿宋" w:cs="仿宋"/>
          <w:color w:val="auto"/>
          <w:sz w:val="28"/>
          <w:szCs w:val="28"/>
          <w:lang w:val="en-US" w:eastAsia="zh-CN"/>
        </w:rPr>
        <w:t>凭证</w:t>
      </w:r>
      <w:r>
        <w:rPr>
          <w:rFonts w:hint="eastAsia" w:ascii="仿宋" w:hAnsi="仿宋" w:eastAsia="仿宋" w:cs="仿宋"/>
          <w:color w:val="auto"/>
          <w:sz w:val="28"/>
          <w:szCs w:val="28"/>
        </w:rPr>
        <w:t>后，</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日内转账支付</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该批次货款。</w:t>
      </w:r>
    </w:p>
    <w:p w14:paraId="5C008439">
      <w:pPr>
        <w:spacing w:line="240" w:lineRule="auto"/>
        <w:ind w:firstLine="560" w:firstLineChars="200"/>
        <w:jc w:val="lef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四、请供应商认真阅读完本文件所有信息后进行报价</w:t>
      </w:r>
    </w:p>
    <w:p w14:paraId="21AB801B">
      <w:pPr>
        <w:spacing w:line="240" w:lineRule="auto"/>
        <w:ind w:firstLine="560" w:firstLineChars="200"/>
        <w:jc w:val="left"/>
        <w:rPr>
          <w:rFonts w:hint="eastAsia" w:ascii="仿宋_GB2312" w:hAnsi="仿宋_GB2312" w:eastAsia="仿宋_GB2312" w:cs="仿宋_GB2312"/>
          <w:b w:val="0"/>
          <w:bCs/>
          <w:sz w:val="28"/>
          <w:szCs w:val="28"/>
          <w:u w:val="single"/>
          <w:lang w:val="en-US" w:eastAsia="zh-CN"/>
        </w:rPr>
      </w:pPr>
      <w:r>
        <w:rPr>
          <w:rFonts w:hint="eastAsia" w:ascii="仿宋_GB2312" w:hAnsi="仿宋_GB2312" w:eastAsia="仿宋_GB2312" w:cs="仿宋_GB2312"/>
          <w:b w:val="0"/>
          <w:bCs/>
          <w:sz w:val="28"/>
          <w:szCs w:val="28"/>
        </w:rPr>
        <w:t>大竹县人民医院大竹县智慧大竹健康服务体系示范项目处方前置审核系统</w:t>
      </w:r>
      <w:r>
        <w:rPr>
          <w:rFonts w:hint="eastAsia" w:ascii="仿宋_GB2312" w:hAnsi="仿宋_GB2312" w:eastAsia="仿宋_GB2312" w:cs="仿宋_GB2312"/>
          <w:b w:val="0"/>
          <w:bCs/>
          <w:sz w:val="28"/>
          <w:szCs w:val="28"/>
          <w:lang w:val="en-US" w:eastAsia="zh-CN"/>
        </w:rPr>
        <w:t>报价：</w:t>
      </w:r>
      <w:r>
        <w:rPr>
          <w:rFonts w:hint="eastAsia" w:ascii="仿宋_GB2312" w:hAnsi="仿宋_GB2312" w:eastAsia="仿宋_GB2312" w:cs="仿宋_GB2312"/>
          <w:b w:val="0"/>
          <w:bCs/>
          <w:sz w:val="28"/>
          <w:szCs w:val="28"/>
          <w:u w:val="single"/>
          <w:lang w:val="en-US" w:eastAsia="zh-CN"/>
        </w:rPr>
        <w:t xml:space="preserve">             元（大写：                     ）。</w:t>
      </w:r>
    </w:p>
    <w:p w14:paraId="12086EA6">
      <w:pPr>
        <w:pStyle w:val="33"/>
        <w:spacing w:line="360" w:lineRule="auto"/>
        <w:ind w:left="0" w:leftChars="0" w:firstLine="560" w:firstLineChars="200"/>
        <w:rPr>
          <w:rFonts w:hint="eastAsia" w:ascii="仿宋" w:hAnsi="仿宋" w:eastAsia="仿宋" w:cs="仿宋"/>
          <w:sz w:val="28"/>
          <w:szCs w:val="28"/>
          <w:lang w:eastAsia="zh-CN"/>
        </w:rPr>
      </w:pPr>
      <w:r>
        <w:rPr>
          <w:rFonts w:hint="default" w:ascii="仿宋_GB2312" w:hAnsi="仿宋_GB2312" w:eastAsia="仿宋_GB2312" w:cs="仿宋_GB2312"/>
          <w:b w:val="0"/>
          <w:bCs/>
          <w:sz w:val="28"/>
          <w:szCs w:val="28"/>
          <w:u w:val="none"/>
          <w:lang w:val="en-US" w:eastAsia="zh-CN"/>
        </w:rPr>
        <w:t>请参与市场调研的供应商就本项目的采购需求提出优化意见并提供其参考报价，内容及格式自理。（参与市场调研供应商的报价的总价应</w:t>
      </w:r>
      <w:bookmarkStart w:id="0" w:name="_GoBack"/>
      <w:bookmarkEnd w:id="0"/>
      <w:r>
        <w:rPr>
          <w:rFonts w:hint="default" w:ascii="仿宋_GB2312" w:hAnsi="仿宋_GB2312" w:eastAsia="仿宋_GB2312" w:cs="仿宋_GB2312"/>
          <w:b w:val="0"/>
          <w:bCs/>
          <w:sz w:val="28"/>
          <w:szCs w:val="28"/>
          <w:u w:val="none"/>
          <w:lang w:val="en-US" w:eastAsia="zh-CN"/>
        </w:rPr>
        <w:t>是包含完成本项目采购需求全部内容的总报价。）</w:t>
      </w:r>
    </w:p>
    <w:sectPr>
      <w:headerReference r:id="rId3" w:type="default"/>
      <w:footerReference r:id="rId4" w:type="default"/>
      <w:pgSz w:w="11907" w:h="16840"/>
      <w:pgMar w:top="1440" w:right="1080" w:bottom="1440" w:left="1080"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C8AC79-F42D-47BE-84A5-29D6FFFA63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4CFF6B2E-435E-4CF3-ADD7-22E9C0FBE5C7}"/>
  </w:font>
  <w:font w:name="方正公文小标宋">
    <w:panose1 w:val="02000500000000000000"/>
    <w:charset w:val="86"/>
    <w:family w:val="auto"/>
    <w:pitch w:val="default"/>
    <w:sig w:usb0="A00002BF" w:usb1="38CF7CFA" w:usb2="00000016" w:usb3="00000000" w:csb0="00040001" w:csb1="00000000"/>
    <w:embedRegular r:id="rId3" w:fontKey="{C6159703-CC7C-4CA1-BE57-08CC4996312F}"/>
  </w:font>
  <w:font w:name="仿宋_GB2312">
    <w:altName w:val="仿宋"/>
    <w:panose1 w:val="02010609030101010101"/>
    <w:charset w:val="86"/>
    <w:family w:val="modern"/>
    <w:pitch w:val="default"/>
    <w:sig w:usb0="00000000" w:usb1="00000000" w:usb2="00000000" w:usb3="00000000" w:csb0="00040000" w:csb1="00000000"/>
    <w:embedRegular r:id="rId4" w:fontKey="{7554F8F2-1217-4BE4-8618-8FDE864FC642}"/>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7BD16">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FC497B">
                          <w:pPr>
                            <w:pStyle w:val="11"/>
                            <w:rPr>
                              <w:rStyle w:val="19"/>
                            </w:rPr>
                          </w:pPr>
                          <w:r>
                            <w:fldChar w:fldCharType="begin"/>
                          </w:r>
                          <w:r>
                            <w:rPr>
                              <w:rStyle w:val="19"/>
                            </w:rPr>
                            <w:instrText xml:space="preserve">PAGE  </w:instrText>
                          </w:r>
                          <w:r>
                            <w:fldChar w:fldCharType="separate"/>
                          </w:r>
                          <w:r>
                            <w:rPr>
                              <w:rStyle w:val="19"/>
                            </w:rPr>
                            <w:t>38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14:paraId="61FC497B">
                    <w:pPr>
                      <w:pStyle w:val="11"/>
                      <w:rPr>
                        <w:rStyle w:val="19"/>
                      </w:rPr>
                    </w:pPr>
                    <w:r>
                      <w:fldChar w:fldCharType="begin"/>
                    </w:r>
                    <w:r>
                      <w:rPr>
                        <w:rStyle w:val="19"/>
                      </w:rPr>
                      <w:instrText xml:space="preserve">PAGE  </w:instrText>
                    </w:r>
                    <w:r>
                      <w:fldChar w:fldCharType="separate"/>
                    </w:r>
                    <w:r>
                      <w:rPr>
                        <w:rStyle w:val="19"/>
                      </w:rP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52A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28B19"/>
    <w:multiLevelType w:val="multilevel"/>
    <w:tmpl w:val="9E128B1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5561"/>
    <w:rsid w:val="003F1DD9"/>
    <w:rsid w:val="003F7C9A"/>
    <w:rsid w:val="00410A5A"/>
    <w:rsid w:val="00495DE7"/>
    <w:rsid w:val="004D7F9D"/>
    <w:rsid w:val="0053464D"/>
    <w:rsid w:val="00560E87"/>
    <w:rsid w:val="005B1E5E"/>
    <w:rsid w:val="005C18AA"/>
    <w:rsid w:val="005D537C"/>
    <w:rsid w:val="00604F97"/>
    <w:rsid w:val="00616AE0"/>
    <w:rsid w:val="00677BC2"/>
    <w:rsid w:val="00677F75"/>
    <w:rsid w:val="0068601D"/>
    <w:rsid w:val="0069347E"/>
    <w:rsid w:val="006C096A"/>
    <w:rsid w:val="006D5AA4"/>
    <w:rsid w:val="006E4CC0"/>
    <w:rsid w:val="00742258"/>
    <w:rsid w:val="007458A0"/>
    <w:rsid w:val="00761689"/>
    <w:rsid w:val="007655BD"/>
    <w:rsid w:val="00795012"/>
    <w:rsid w:val="007A605B"/>
    <w:rsid w:val="007B5904"/>
    <w:rsid w:val="007C5410"/>
    <w:rsid w:val="007E3728"/>
    <w:rsid w:val="007F10C4"/>
    <w:rsid w:val="007F550C"/>
    <w:rsid w:val="00850409"/>
    <w:rsid w:val="00860A14"/>
    <w:rsid w:val="00867642"/>
    <w:rsid w:val="0087719D"/>
    <w:rsid w:val="008805E4"/>
    <w:rsid w:val="008929E0"/>
    <w:rsid w:val="008A20F4"/>
    <w:rsid w:val="00926169"/>
    <w:rsid w:val="00957649"/>
    <w:rsid w:val="0097073B"/>
    <w:rsid w:val="009B65D2"/>
    <w:rsid w:val="009E6C56"/>
    <w:rsid w:val="00A30B5A"/>
    <w:rsid w:val="00A466FF"/>
    <w:rsid w:val="00A926F0"/>
    <w:rsid w:val="00AB4384"/>
    <w:rsid w:val="00AD754D"/>
    <w:rsid w:val="00AE4D9E"/>
    <w:rsid w:val="00AF0DF3"/>
    <w:rsid w:val="00B052A8"/>
    <w:rsid w:val="00B22838"/>
    <w:rsid w:val="00B30851"/>
    <w:rsid w:val="00B41A76"/>
    <w:rsid w:val="00B56267"/>
    <w:rsid w:val="00B753B9"/>
    <w:rsid w:val="00B816DA"/>
    <w:rsid w:val="00B977EC"/>
    <w:rsid w:val="00BD4903"/>
    <w:rsid w:val="00BD50E5"/>
    <w:rsid w:val="00C10FC5"/>
    <w:rsid w:val="00C33C81"/>
    <w:rsid w:val="00C36632"/>
    <w:rsid w:val="00C841A9"/>
    <w:rsid w:val="00C84A3A"/>
    <w:rsid w:val="00CE2094"/>
    <w:rsid w:val="00CE7C35"/>
    <w:rsid w:val="00D06512"/>
    <w:rsid w:val="00D2156E"/>
    <w:rsid w:val="00D228FF"/>
    <w:rsid w:val="00D31697"/>
    <w:rsid w:val="00DB2A75"/>
    <w:rsid w:val="00DD3EA4"/>
    <w:rsid w:val="00DD6D3D"/>
    <w:rsid w:val="00E147E8"/>
    <w:rsid w:val="00E829CD"/>
    <w:rsid w:val="00EB05A2"/>
    <w:rsid w:val="00EB1DA5"/>
    <w:rsid w:val="00EB4AEE"/>
    <w:rsid w:val="00EC14AE"/>
    <w:rsid w:val="00EF2F22"/>
    <w:rsid w:val="00F4222B"/>
    <w:rsid w:val="00FE6547"/>
    <w:rsid w:val="017A5C75"/>
    <w:rsid w:val="06CB01B2"/>
    <w:rsid w:val="0735445F"/>
    <w:rsid w:val="082D68C0"/>
    <w:rsid w:val="0C653F5B"/>
    <w:rsid w:val="0C785A4F"/>
    <w:rsid w:val="0D470B14"/>
    <w:rsid w:val="10E16B8A"/>
    <w:rsid w:val="11692E07"/>
    <w:rsid w:val="13502D0A"/>
    <w:rsid w:val="13C479B3"/>
    <w:rsid w:val="155F532E"/>
    <w:rsid w:val="1A003BCF"/>
    <w:rsid w:val="1AA46DAA"/>
    <w:rsid w:val="1B4A3E71"/>
    <w:rsid w:val="1BE063BC"/>
    <w:rsid w:val="1C0D55E0"/>
    <w:rsid w:val="1D64349D"/>
    <w:rsid w:val="1F825CC1"/>
    <w:rsid w:val="1FAA5B7D"/>
    <w:rsid w:val="22517DC5"/>
    <w:rsid w:val="29D11F74"/>
    <w:rsid w:val="2BFF1D42"/>
    <w:rsid w:val="2C33078A"/>
    <w:rsid w:val="2D5C161A"/>
    <w:rsid w:val="2E274D7B"/>
    <w:rsid w:val="301C0BEE"/>
    <w:rsid w:val="30F31E09"/>
    <w:rsid w:val="33DC5895"/>
    <w:rsid w:val="34090796"/>
    <w:rsid w:val="35CE3363"/>
    <w:rsid w:val="37491522"/>
    <w:rsid w:val="3C145EE2"/>
    <w:rsid w:val="3C557122"/>
    <w:rsid w:val="4065532C"/>
    <w:rsid w:val="423A5D5C"/>
    <w:rsid w:val="431B32FE"/>
    <w:rsid w:val="44ED39AD"/>
    <w:rsid w:val="45AA61B4"/>
    <w:rsid w:val="49F11610"/>
    <w:rsid w:val="4A21484A"/>
    <w:rsid w:val="4A9D2073"/>
    <w:rsid w:val="4AA26071"/>
    <w:rsid w:val="4B9533AB"/>
    <w:rsid w:val="4D2F1826"/>
    <w:rsid w:val="52BE520E"/>
    <w:rsid w:val="535569D5"/>
    <w:rsid w:val="542E6249"/>
    <w:rsid w:val="55D55BA4"/>
    <w:rsid w:val="58A65CBC"/>
    <w:rsid w:val="58F6310D"/>
    <w:rsid w:val="5914654F"/>
    <w:rsid w:val="5A3115B5"/>
    <w:rsid w:val="5CA72002"/>
    <w:rsid w:val="5D526A35"/>
    <w:rsid w:val="5FED5F7E"/>
    <w:rsid w:val="62175DE5"/>
    <w:rsid w:val="62C326D2"/>
    <w:rsid w:val="64223473"/>
    <w:rsid w:val="6505667C"/>
    <w:rsid w:val="664F0CB2"/>
    <w:rsid w:val="698F3FCA"/>
    <w:rsid w:val="6B844319"/>
    <w:rsid w:val="6C371961"/>
    <w:rsid w:val="6D594018"/>
    <w:rsid w:val="6F601F1C"/>
    <w:rsid w:val="70666005"/>
    <w:rsid w:val="70BA00FF"/>
    <w:rsid w:val="728F7281"/>
    <w:rsid w:val="72A44443"/>
    <w:rsid w:val="72B7769C"/>
    <w:rsid w:val="74180D73"/>
    <w:rsid w:val="7B191EC6"/>
    <w:rsid w:val="7B7D5A51"/>
    <w:rsid w:val="7CE74803"/>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7"/>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28"/>
    <w:qFormat/>
    <w:uiPriority w:val="0"/>
    <w:pPr>
      <w:keepNext/>
      <w:keepLines/>
      <w:numPr>
        <w:ilvl w:val="1"/>
        <w:numId w:val="1"/>
      </w:numPr>
      <w:spacing w:before="240" w:after="240" w:line="520" w:lineRule="atLeast"/>
      <w:outlineLvl w:val="1"/>
    </w:pPr>
    <w:rPr>
      <w:rFonts w:ascii="Arial" w:hAnsi="Arial" w:eastAsia="黑体"/>
      <w:sz w:val="30"/>
      <w:szCs w:val="30"/>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5"/>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0"/>
    <w:unhideWhenUsed/>
    <w:qFormat/>
    <w:uiPriority w:val="0"/>
    <w:pPr>
      <w:jc w:val="left"/>
    </w:pPr>
    <w:rPr>
      <w:rFonts w:ascii="宋体"/>
      <w:kern w:val="0"/>
      <w:sz w:val="34"/>
      <w:szCs w:val="22"/>
    </w:rPr>
  </w:style>
  <w:style w:type="paragraph" w:styleId="7">
    <w:name w:val="Body Text"/>
    <w:basedOn w:val="1"/>
    <w:next w:val="8"/>
    <w:link w:val="29"/>
    <w:qFormat/>
    <w:uiPriority w:val="0"/>
    <w:pPr>
      <w:spacing w:after="120"/>
    </w:pPr>
  </w:style>
  <w:style w:type="paragraph" w:styleId="8">
    <w:name w:val="Subtitle"/>
    <w:basedOn w:val="1"/>
    <w:next w:val="1"/>
    <w:link w:val="45"/>
    <w:qFormat/>
    <w:uiPriority w:val="0"/>
    <w:pPr>
      <w:spacing w:before="240" w:after="60" w:line="312" w:lineRule="auto"/>
      <w:jc w:val="center"/>
      <w:outlineLvl w:val="1"/>
    </w:pPr>
    <w:rPr>
      <w:rFonts w:ascii="Cambria" w:hAnsi="Cambria"/>
      <w:b/>
      <w:bCs/>
      <w:color w:val="000000"/>
      <w:kern w:val="28"/>
      <w:sz w:val="32"/>
      <w:szCs w:val="32"/>
    </w:rPr>
  </w:style>
  <w:style w:type="paragraph" w:styleId="9">
    <w:name w:val="Body Text Indent"/>
    <w:basedOn w:val="1"/>
    <w:link w:val="31"/>
    <w:qFormat/>
    <w:uiPriority w:val="0"/>
    <w:pPr>
      <w:ind w:firstLine="630"/>
    </w:pPr>
    <w:rPr>
      <w:sz w:val="32"/>
    </w:rPr>
  </w:style>
  <w:style w:type="paragraph" w:styleId="10">
    <w:name w:val="Balloon Text"/>
    <w:basedOn w:val="1"/>
    <w:link w:val="32"/>
    <w:qFormat/>
    <w:uiPriority w:val="0"/>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before="120" w:after="120" w:line="360" w:lineRule="auto"/>
      <w:ind w:firstLine="180" w:firstLineChars="75"/>
    </w:pPr>
    <w:rPr>
      <w:bCs/>
      <w:caps/>
      <w:sz w:val="24"/>
      <w:szCs w:val="24"/>
    </w:rPr>
  </w:style>
  <w:style w:type="paragraph" w:styleId="14">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qFormat/>
    <w:uiPriority w:val="99"/>
    <w:rPr>
      <w:color w:val="0000FF"/>
      <w:u w:val="single"/>
    </w:rPr>
  </w:style>
  <w:style w:type="character" w:styleId="21">
    <w:name w:val="annotation reference"/>
    <w:basedOn w:val="17"/>
    <w:qFormat/>
    <w:uiPriority w:val="0"/>
    <w:rPr>
      <w:sz w:val="21"/>
      <w:szCs w:val="21"/>
    </w:rPr>
  </w:style>
  <w:style w:type="paragraph" w:customStyle="1" w:styleId="22">
    <w:name w:val="标题 5（有编号）（绿盟科技）"/>
    <w:basedOn w:val="23"/>
    <w:next w:val="24"/>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5">
    <w:name w:val="页眉 Char"/>
    <w:basedOn w:val="17"/>
    <w:link w:val="12"/>
    <w:semiHidden/>
    <w:qFormat/>
    <w:uiPriority w:val="99"/>
    <w:rPr>
      <w:sz w:val="18"/>
      <w:szCs w:val="18"/>
    </w:rPr>
  </w:style>
  <w:style w:type="character" w:customStyle="1" w:styleId="26">
    <w:name w:val="页脚 Char"/>
    <w:basedOn w:val="17"/>
    <w:link w:val="11"/>
    <w:semiHidden/>
    <w:qFormat/>
    <w:uiPriority w:val="99"/>
    <w:rPr>
      <w:sz w:val="18"/>
      <w:szCs w:val="18"/>
    </w:rPr>
  </w:style>
  <w:style w:type="character" w:customStyle="1" w:styleId="27">
    <w:name w:val="标题 1 Char"/>
    <w:basedOn w:val="17"/>
    <w:link w:val="2"/>
    <w:qFormat/>
    <w:uiPriority w:val="0"/>
    <w:rPr>
      <w:rFonts w:ascii="黑体" w:hAnsi="黑体" w:eastAsia="黑体" w:cs="Times New Roman"/>
      <w:b/>
      <w:kern w:val="44"/>
      <w:sz w:val="32"/>
      <w:szCs w:val="32"/>
    </w:rPr>
  </w:style>
  <w:style w:type="character" w:customStyle="1" w:styleId="28">
    <w:name w:val="标题 2 Char"/>
    <w:basedOn w:val="17"/>
    <w:link w:val="3"/>
    <w:qFormat/>
    <w:uiPriority w:val="0"/>
    <w:rPr>
      <w:rFonts w:ascii="Arial" w:hAnsi="Arial" w:eastAsia="黑体" w:cs="Times New Roman"/>
      <w:sz w:val="30"/>
      <w:szCs w:val="30"/>
    </w:rPr>
  </w:style>
  <w:style w:type="character" w:customStyle="1" w:styleId="29">
    <w:name w:val="正文文本 Char"/>
    <w:basedOn w:val="17"/>
    <w:link w:val="7"/>
    <w:qFormat/>
    <w:uiPriority w:val="99"/>
    <w:rPr>
      <w:rFonts w:ascii="Times New Roman" w:hAnsi="Times New Roman" w:eastAsia="宋体" w:cs="Times New Roman"/>
      <w:szCs w:val="20"/>
    </w:rPr>
  </w:style>
  <w:style w:type="character" w:customStyle="1" w:styleId="30">
    <w:name w:val="批注文字 Char"/>
    <w:basedOn w:val="17"/>
    <w:link w:val="6"/>
    <w:qFormat/>
    <w:uiPriority w:val="99"/>
    <w:rPr>
      <w:rFonts w:ascii="宋体" w:hAnsi="Times New Roman" w:eastAsia="宋体" w:cs="Times New Roman"/>
      <w:kern w:val="0"/>
      <w:sz w:val="34"/>
    </w:rPr>
  </w:style>
  <w:style w:type="character" w:customStyle="1" w:styleId="31">
    <w:name w:val="正文文本缩进 Char"/>
    <w:basedOn w:val="17"/>
    <w:link w:val="9"/>
    <w:qFormat/>
    <w:uiPriority w:val="0"/>
    <w:rPr>
      <w:rFonts w:ascii="Times New Roman" w:hAnsi="Times New Roman" w:eastAsia="宋体" w:cs="Times New Roman"/>
      <w:sz w:val="32"/>
      <w:szCs w:val="20"/>
    </w:rPr>
  </w:style>
  <w:style w:type="character" w:customStyle="1" w:styleId="32">
    <w:name w:val="批注框文本 Char"/>
    <w:basedOn w:val="17"/>
    <w:link w:val="10"/>
    <w:qFormat/>
    <w:uiPriority w:val="0"/>
    <w:rPr>
      <w:rFonts w:ascii="Times New Roman" w:hAnsi="Times New Roman" w:eastAsia="宋体" w:cs="Times New Roman"/>
      <w:sz w:val="18"/>
      <w:szCs w:val="18"/>
    </w:rPr>
  </w:style>
  <w:style w:type="paragraph" w:styleId="33">
    <w:name w:val="List Paragraph"/>
    <w:basedOn w:val="1"/>
    <w:qFormat/>
    <w:uiPriority w:val="0"/>
    <w:pPr>
      <w:ind w:firstLine="420" w:firstLineChars="200"/>
    </w:pPr>
    <w:rPr>
      <w:szCs w:val="24"/>
    </w:rPr>
  </w:style>
  <w:style w:type="paragraph" w:customStyle="1" w:styleId="34">
    <w:name w:val="表格"/>
    <w:basedOn w:val="1"/>
    <w:qFormat/>
    <w:uiPriority w:val="0"/>
    <w:pPr>
      <w:spacing w:line="400" w:lineRule="exact"/>
    </w:pPr>
    <w:rPr>
      <w:sz w:val="24"/>
      <w:szCs w:val="24"/>
    </w:rPr>
  </w:style>
  <w:style w:type="character" w:customStyle="1" w:styleId="35">
    <w:name w:val="正文缩进 Char"/>
    <w:link w:val="4"/>
    <w:qFormat/>
    <w:uiPriority w:val="0"/>
    <w:rPr>
      <w:rFonts w:ascii="宋体" w:hAnsi="宋体" w:eastAsia="宋体" w:cs="Times New Roman"/>
      <w:b/>
      <w:kern w:val="0"/>
      <w:sz w:val="24"/>
      <w:szCs w:val="24"/>
    </w:rPr>
  </w:style>
  <w:style w:type="character" w:customStyle="1" w:styleId="36">
    <w:name w:val="font31"/>
    <w:basedOn w:val="17"/>
    <w:qFormat/>
    <w:uiPriority w:val="0"/>
    <w:rPr>
      <w:rFonts w:hint="eastAsia" w:ascii="宋体" w:hAnsi="宋体" w:eastAsia="宋体" w:cs="宋体"/>
      <w:color w:val="0000FF"/>
      <w:sz w:val="28"/>
      <w:szCs w:val="28"/>
      <w:u w:val="none"/>
    </w:rPr>
  </w:style>
  <w:style w:type="character" w:customStyle="1" w:styleId="37">
    <w:name w:val="font01"/>
    <w:basedOn w:val="17"/>
    <w:qFormat/>
    <w:uiPriority w:val="0"/>
    <w:rPr>
      <w:rFonts w:hint="eastAsia" w:ascii="宋体" w:hAnsi="宋体" w:eastAsia="宋体" w:cs="宋体"/>
      <w:color w:val="000000"/>
      <w:sz w:val="28"/>
      <w:szCs w:val="28"/>
      <w:u w:val="none"/>
    </w:rPr>
  </w:style>
  <w:style w:type="paragraph" w:customStyle="1" w:styleId="38">
    <w:name w:val="正文_1"/>
    <w:next w:val="23"/>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文本_1"/>
    <w:basedOn w:val="39"/>
    <w:next w:val="39"/>
    <w:unhideWhenUsed/>
    <w:qFormat/>
    <w:uiPriority w:val="99"/>
    <w:pPr>
      <w:spacing w:after="120"/>
    </w:pPr>
    <w:rPr>
      <w:rFonts w:ascii="Times New Roman" w:hAnsi="Times New Roman"/>
      <w:kern w:val="0"/>
      <w:sz w:val="20"/>
      <w:szCs w:val="20"/>
    </w:rPr>
  </w:style>
  <w:style w:type="paragraph" w:customStyle="1" w:styleId="41">
    <w:name w:val="列出段落2"/>
    <w:basedOn w:val="1"/>
    <w:qFormat/>
    <w:uiPriority w:val="0"/>
    <w:pPr>
      <w:ind w:firstLine="420" w:firstLineChars="200"/>
    </w:pPr>
  </w:style>
  <w:style w:type="paragraph" w:customStyle="1" w:styleId="42">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7"/>
    <w:link w:val="8"/>
    <w:qFormat/>
    <w:uiPriority w:val="0"/>
    <w:rPr>
      <w:rFonts w:ascii="Cambria" w:hAnsi="Cambria"/>
      <w:b/>
      <w:bCs/>
      <w:color w:val="000000"/>
      <w:kern w:val="28"/>
      <w:sz w:val="32"/>
      <w:szCs w:val="32"/>
    </w:rPr>
  </w:style>
  <w:style w:type="paragraph" w:customStyle="1" w:styleId="46">
    <w:name w:val="正文文本_0"/>
    <w:basedOn w:val="38"/>
    <w:next w:val="38"/>
    <w:qFormat/>
    <w:uiPriority w:val="0"/>
    <w:pPr>
      <w:spacing w:after="120"/>
    </w:pPr>
  </w:style>
  <w:style w:type="character" w:customStyle="1" w:styleId="47">
    <w:name w:val="font23"/>
    <w:basedOn w:val="17"/>
    <w:qFormat/>
    <w:uiPriority w:val="0"/>
    <w:rPr>
      <w:rFonts w:hint="eastAsia" w:ascii="新宋体" w:hAnsi="新宋体" w:eastAsia="新宋体" w:cs="新宋体"/>
      <w:color w:val="000000"/>
      <w:sz w:val="20"/>
      <w:szCs w:val="20"/>
      <w:u w:val="none"/>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51"/>
    <w:basedOn w:val="17"/>
    <w:qFormat/>
    <w:uiPriority w:val="0"/>
    <w:rPr>
      <w:rFonts w:hint="eastAsia" w:ascii="新宋体" w:hAnsi="新宋体" w:eastAsia="新宋体" w:cs="新宋体"/>
      <w:b/>
      <w:bCs/>
      <w:color w:val="000000"/>
      <w:sz w:val="20"/>
      <w:szCs w:val="20"/>
      <w:u w:val="none"/>
    </w:rPr>
  </w:style>
  <w:style w:type="character" w:customStyle="1" w:styleId="50">
    <w:name w:val="font191"/>
    <w:basedOn w:val="17"/>
    <w:qFormat/>
    <w:uiPriority w:val="0"/>
    <w:rPr>
      <w:rFonts w:ascii="Arial" w:hAnsi="Arial" w:cs="Arial"/>
      <w:color w:val="000000"/>
      <w:sz w:val="19"/>
      <w:szCs w:val="19"/>
      <w:u w:val="none"/>
    </w:rPr>
  </w:style>
  <w:style w:type="character" w:customStyle="1" w:styleId="51">
    <w:name w:val="font201"/>
    <w:basedOn w:val="17"/>
    <w:qFormat/>
    <w:uiPriority w:val="0"/>
    <w:rPr>
      <w:rFonts w:ascii="Calibri" w:hAnsi="Calibri" w:cs="Calibri"/>
      <w:color w:val="000000"/>
      <w:sz w:val="21"/>
      <w:szCs w:val="21"/>
      <w:u w:val="none"/>
    </w:rPr>
  </w:style>
  <w:style w:type="paragraph" w:customStyle="1" w:styleId="52">
    <w:name w:val="标题 1_0"/>
    <w:basedOn w:val="39"/>
    <w:next w:val="39"/>
    <w:qFormat/>
    <w:uiPriority w:val="9"/>
    <w:pPr>
      <w:keepNext/>
      <w:keepLines/>
      <w:spacing w:before="340" w:after="330" w:line="578" w:lineRule="auto"/>
      <w:outlineLvl w:val="0"/>
    </w:pPr>
    <w:rPr>
      <w:b/>
      <w:bCs/>
      <w:kern w:val="44"/>
      <w:sz w:val="44"/>
      <w:szCs w:val="44"/>
    </w:rPr>
  </w:style>
  <w:style w:type="character" w:customStyle="1" w:styleId="53">
    <w:name w:val="font41"/>
    <w:basedOn w:val="17"/>
    <w:qFormat/>
    <w:uiPriority w:val="0"/>
    <w:rPr>
      <w:rFonts w:ascii="Arial" w:hAnsi="Arial" w:cs="Arial"/>
      <w:color w:val="000000"/>
      <w:sz w:val="24"/>
      <w:szCs w:val="24"/>
      <w:u w:val="none"/>
    </w:rPr>
  </w:style>
  <w:style w:type="paragraph" w:customStyle="1" w:styleId="54">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4800</Words>
  <Characters>4981</Characters>
  <Lines>146</Lines>
  <Paragraphs>41</Paragraphs>
  <TotalTime>6</TotalTime>
  <ScaleCrop>false</ScaleCrop>
  <LinksUpToDate>false</LinksUpToDate>
  <CharactersWithSpaces>5051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2022-10-19T03:40:00Z</dcterms:created>
  <dc:creator>PC</dc:creator>
  <cp:lastModifiedBy>唐</cp:lastModifiedBy>
  <cp:lastPrinted>2023-05-19T03:33:00Z</cp:lastPrinted>
  <dcterms:modified xsi:type="dcterms:W3CDTF">2026-02-27T08:24:38Z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051B56788ACC40EC9384B36166C483B6_13</vt:lpwstr>
  </property>
  <property fmtid="{D5CDD505-2E9C-101B-9397-08002B2CF9AE}" pid="4" name="KSOTemplateDocerSaveRecord">
    <vt:lpwstr>eyJoZGlkIjoiOTdjZDQyODcxNThiNWM0NTM5NzA3ZGQ1N2FiZTZjMTMiLCJ1c2VySWQiOiIxMjM5MTExNTg0In0=</vt:lpwstr>
  </property>
</Properties>
</file>