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33DA8">
      <w:pPr>
        <w:pStyle w:val="9"/>
        <w:keepNext w:val="0"/>
        <w:keepLines w:val="0"/>
        <w:pageBreakBefore w:val="0"/>
        <w:widowControl w:val="0"/>
        <w:kinsoku/>
        <w:wordWrap/>
        <w:overflowPunct/>
        <w:topLinePunct w:val="0"/>
        <w:autoSpaceDE/>
        <w:autoSpaceDN/>
        <w:bidi w:val="0"/>
        <w:adjustRightInd/>
        <w:snapToGrid/>
        <w:spacing w:after="287" w:afterLines="100" w:line="440" w:lineRule="exact"/>
        <w:ind w:left="0" w:leftChars="0" w:firstLine="0" w:firstLineChars="0"/>
        <w:jc w:val="center"/>
        <w:textAlignment w:val="auto"/>
        <w:rPr>
          <w:rFonts w:hint="default"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大竹县人民医院</w:t>
      </w:r>
    </w:p>
    <w:p w14:paraId="223090CC">
      <w:pPr>
        <w:pStyle w:val="9"/>
        <w:keepNext w:val="0"/>
        <w:keepLines w:val="0"/>
        <w:pageBreakBefore w:val="0"/>
        <w:widowControl w:val="0"/>
        <w:kinsoku/>
        <w:wordWrap/>
        <w:overflowPunct/>
        <w:topLinePunct w:val="0"/>
        <w:autoSpaceDE/>
        <w:autoSpaceDN/>
        <w:bidi w:val="0"/>
        <w:adjustRightInd/>
        <w:snapToGrid/>
        <w:spacing w:after="287" w:afterLines="100" w:line="44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牙科综合治疗机采购项目采购需求</w:t>
      </w:r>
    </w:p>
    <w:p w14:paraId="463AA05F">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4464C0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本项目共采购牙科综合治疗机3台，用于采购人口腔科门诊及住院患者检查、治疗使用</w:t>
      </w:r>
      <w:r>
        <w:rPr>
          <w:rFonts w:hint="eastAsia" w:ascii="仿宋" w:hAnsi="仿宋" w:eastAsia="仿宋" w:cs="仿宋"/>
          <w:color w:val="auto"/>
          <w:sz w:val="28"/>
          <w:szCs w:val="28"/>
          <w:highlight w:val="none"/>
        </w:rPr>
        <w:t>。</w:t>
      </w:r>
    </w:p>
    <w:p w14:paraId="73E81A8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000C7420">
      <w:pPr>
        <w:pStyle w:val="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采购包一：</w:t>
      </w:r>
    </w:p>
    <w:p w14:paraId="1A225D21">
      <w:pPr>
        <w:pStyle w:val="10"/>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90000.00</w:t>
      </w:r>
    </w:p>
    <w:p w14:paraId="37D7C83C">
      <w:pPr>
        <w:pStyle w:val="10"/>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90000.00</w:t>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521"/>
        <w:gridCol w:w="1701"/>
      </w:tblGrid>
      <w:tr w14:paraId="0B62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8" w:type="dxa"/>
            <w:vAlign w:val="center"/>
          </w:tcPr>
          <w:p w14:paraId="1C15AB4A">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项目内容</w:t>
            </w:r>
          </w:p>
        </w:tc>
        <w:tc>
          <w:tcPr>
            <w:tcW w:w="6521" w:type="dxa"/>
            <w:vAlign w:val="center"/>
          </w:tcPr>
          <w:p w14:paraId="0B6977E4">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技术参数和配置要求</w:t>
            </w:r>
          </w:p>
        </w:tc>
        <w:tc>
          <w:tcPr>
            <w:tcW w:w="1701" w:type="dxa"/>
            <w:vAlign w:val="center"/>
          </w:tcPr>
          <w:p w14:paraId="3534745F">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sz w:val="24"/>
              </w:rPr>
            </w:pPr>
            <w:r>
              <w:rPr>
                <w:rFonts w:hint="eastAsia" w:ascii="仿宋" w:hAnsi="仿宋" w:eastAsia="仿宋" w:cs="宋体"/>
                <w:kern w:val="0"/>
                <w:sz w:val="24"/>
              </w:rPr>
              <w:t>备注</w:t>
            </w:r>
          </w:p>
        </w:tc>
      </w:tr>
      <w:tr w14:paraId="5745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8" w:type="dxa"/>
            <w:vAlign w:val="center"/>
          </w:tcPr>
          <w:p w14:paraId="5D51FD7A">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设备名称</w:t>
            </w:r>
          </w:p>
        </w:tc>
        <w:tc>
          <w:tcPr>
            <w:tcW w:w="6521" w:type="dxa"/>
            <w:vAlign w:val="center"/>
          </w:tcPr>
          <w:p w14:paraId="4EC0A517">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sz w:val="24"/>
                <w:szCs w:val="40"/>
              </w:rPr>
            </w:pPr>
            <w:r>
              <w:rPr>
                <w:rFonts w:hint="eastAsia" w:ascii="仿宋" w:hAnsi="仿宋" w:eastAsia="仿宋"/>
                <w:sz w:val="24"/>
                <w:szCs w:val="40"/>
                <w:lang w:eastAsia="zh-CN"/>
              </w:rPr>
              <w:t>牙科椅</w:t>
            </w:r>
          </w:p>
        </w:tc>
        <w:tc>
          <w:tcPr>
            <w:tcW w:w="1701" w:type="dxa"/>
            <w:vAlign w:val="center"/>
          </w:tcPr>
          <w:p w14:paraId="34FA4D37">
            <w:pPr>
              <w:spacing w:line="360" w:lineRule="auto"/>
              <w:jc w:val="center"/>
              <w:rPr>
                <w:rFonts w:ascii="仿宋" w:hAnsi="仿宋" w:eastAsia="仿宋"/>
                <w:sz w:val="24"/>
              </w:rPr>
            </w:pPr>
          </w:p>
        </w:tc>
      </w:tr>
      <w:tr w14:paraId="3D5A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18" w:type="dxa"/>
            <w:vAlign w:val="center"/>
          </w:tcPr>
          <w:p w14:paraId="248A3032">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设备数量</w:t>
            </w:r>
          </w:p>
        </w:tc>
        <w:tc>
          <w:tcPr>
            <w:tcW w:w="6521" w:type="dxa"/>
            <w:vAlign w:val="center"/>
          </w:tcPr>
          <w:p w14:paraId="1A139166">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宋体"/>
                <w:kern w:val="0"/>
                <w:sz w:val="24"/>
                <w:lang w:eastAsia="zh-CN"/>
              </w:rPr>
            </w:pPr>
            <w:r>
              <w:rPr>
                <w:rFonts w:hint="eastAsia" w:ascii="仿宋" w:hAnsi="仿宋" w:eastAsia="仿宋" w:cs="宋体"/>
                <w:kern w:val="0"/>
                <w:sz w:val="24"/>
                <w:lang w:val="en-US" w:eastAsia="zh-CN"/>
              </w:rPr>
              <w:t>3</w:t>
            </w:r>
            <w:r>
              <w:rPr>
                <w:rFonts w:hint="eastAsia" w:ascii="仿宋" w:hAnsi="仿宋" w:eastAsia="仿宋" w:cs="宋体"/>
                <w:kern w:val="0"/>
                <w:sz w:val="24"/>
                <w:lang w:eastAsia="zh-CN"/>
              </w:rPr>
              <w:t>台</w:t>
            </w:r>
          </w:p>
        </w:tc>
        <w:tc>
          <w:tcPr>
            <w:tcW w:w="1701" w:type="dxa"/>
            <w:vAlign w:val="center"/>
          </w:tcPr>
          <w:p w14:paraId="39871069">
            <w:pPr>
              <w:spacing w:line="360" w:lineRule="auto"/>
              <w:jc w:val="center"/>
              <w:rPr>
                <w:rFonts w:ascii="仿宋" w:hAnsi="仿宋" w:eastAsia="仿宋"/>
                <w:sz w:val="24"/>
              </w:rPr>
            </w:pPr>
          </w:p>
        </w:tc>
      </w:tr>
      <w:tr w14:paraId="4215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18" w:type="dxa"/>
            <w:vAlign w:val="center"/>
          </w:tcPr>
          <w:p w14:paraId="651090D6">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用途</w:t>
            </w:r>
          </w:p>
        </w:tc>
        <w:tc>
          <w:tcPr>
            <w:tcW w:w="6521" w:type="dxa"/>
            <w:vAlign w:val="center"/>
          </w:tcPr>
          <w:p w14:paraId="7985E991">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仿宋" w:hAnsi="仿宋" w:eastAsia="仿宋" w:cs="宋体"/>
                <w:kern w:val="0"/>
                <w:sz w:val="24"/>
                <w:lang w:eastAsia="zh-CN"/>
              </w:rPr>
            </w:pPr>
            <w:r>
              <w:rPr>
                <w:rFonts w:hint="eastAsia" w:ascii="仿宋" w:hAnsi="仿宋" w:eastAsia="仿宋" w:cs="宋体"/>
                <w:kern w:val="0"/>
                <w:sz w:val="24"/>
              </w:rPr>
              <w:t>用于拔牙、镶牙、修补牙及洁牙等口腔疾病</w:t>
            </w:r>
            <w:r>
              <w:rPr>
                <w:rFonts w:hint="eastAsia" w:ascii="仿宋" w:hAnsi="仿宋" w:eastAsia="仿宋" w:cs="宋体"/>
                <w:kern w:val="0"/>
                <w:sz w:val="24"/>
                <w:lang w:eastAsia="zh-CN"/>
              </w:rPr>
              <w:t>的诊</w:t>
            </w:r>
            <w:r>
              <w:rPr>
                <w:rFonts w:hint="eastAsia" w:ascii="仿宋" w:hAnsi="仿宋" w:eastAsia="仿宋" w:cs="宋体"/>
                <w:kern w:val="0"/>
                <w:sz w:val="24"/>
              </w:rPr>
              <w:t>疗</w:t>
            </w:r>
            <w:r>
              <w:rPr>
                <w:rFonts w:hint="eastAsia" w:ascii="仿宋" w:hAnsi="仿宋" w:eastAsia="仿宋" w:cs="宋体"/>
                <w:kern w:val="0"/>
                <w:sz w:val="24"/>
                <w:lang w:eastAsia="zh-CN"/>
              </w:rPr>
              <w:t>。</w:t>
            </w:r>
          </w:p>
        </w:tc>
        <w:tc>
          <w:tcPr>
            <w:tcW w:w="1701" w:type="dxa"/>
            <w:vAlign w:val="center"/>
          </w:tcPr>
          <w:p w14:paraId="643DD98F">
            <w:pPr>
              <w:spacing w:line="360" w:lineRule="auto"/>
              <w:jc w:val="center"/>
              <w:rPr>
                <w:rFonts w:ascii="仿宋" w:hAnsi="仿宋" w:eastAsia="仿宋"/>
                <w:kern w:val="0"/>
                <w:sz w:val="24"/>
              </w:rPr>
            </w:pPr>
          </w:p>
        </w:tc>
      </w:tr>
      <w:tr w14:paraId="218D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18" w:type="dxa"/>
            <w:vAlign w:val="center"/>
          </w:tcPr>
          <w:p w14:paraId="638528CF">
            <w:pPr>
              <w:spacing w:line="360" w:lineRule="auto"/>
              <w:jc w:val="center"/>
              <w:rPr>
                <w:rFonts w:ascii="仿宋" w:hAnsi="仿宋" w:eastAsia="仿宋" w:cs="宋体"/>
                <w:kern w:val="0"/>
                <w:sz w:val="24"/>
              </w:rPr>
            </w:pPr>
            <w:r>
              <w:rPr>
                <w:rFonts w:hint="eastAsia" w:ascii="仿宋" w:hAnsi="仿宋" w:eastAsia="仿宋" w:cs="宋体"/>
                <w:kern w:val="0"/>
                <w:sz w:val="24"/>
              </w:rPr>
              <w:t>技术参数</w:t>
            </w:r>
          </w:p>
        </w:tc>
        <w:tc>
          <w:tcPr>
            <w:tcW w:w="6521" w:type="dxa"/>
            <w:vAlign w:val="center"/>
          </w:tcPr>
          <w:p w14:paraId="50096401">
            <w:pPr>
              <w:pStyle w:val="16"/>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uk-UA" w:bidi="ar-SA"/>
              </w:rPr>
              <w:t>1、无缝机箱</w:t>
            </w:r>
            <w:r>
              <w:rPr>
                <w:rFonts w:hint="eastAsia" w:ascii="仿宋" w:hAnsi="仿宋" w:eastAsia="仿宋" w:cs="宋体"/>
                <w:kern w:val="0"/>
                <w:sz w:val="24"/>
                <w:szCs w:val="22"/>
                <w:lang w:val="en-US" w:eastAsia="zh-CN" w:bidi="ar-SA"/>
              </w:rPr>
              <w:t>，</w:t>
            </w:r>
            <w:r>
              <w:rPr>
                <w:rFonts w:hint="eastAsia" w:ascii="仿宋" w:hAnsi="仿宋" w:eastAsia="仿宋" w:cs="宋体"/>
                <w:kern w:val="0"/>
                <w:sz w:val="24"/>
                <w:szCs w:val="22"/>
                <w:lang w:val="en-US" w:eastAsia="uk-UA" w:bidi="ar-SA"/>
              </w:rPr>
              <w:t>可防止液体进入机箱内部；</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uk-UA" w:bidi="ar-SA"/>
              </w:rPr>
              <w:t>2、</w:t>
            </w:r>
            <w:r>
              <w:rPr>
                <w:rFonts w:hint="eastAsia" w:ascii="仿宋" w:hAnsi="仿宋" w:eastAsia="仿宋" w:cs="宋体"/>
                <w:kern w:val="0"/>
                <w:sz w:val="24"/>
                <w:szCs w:val="22"/>
                <w:lang w:val="en-US" w:eastAsia="zh-CN" w:bidi="ar-SA"/>
              </w:rPr>
              <w:t>操作</w:t>
            </w:r>
            <w:r>
              <w:rPr>
                <w:rFonts w:hint="eastAsia" w:ascii="仿宋" w:hAnsi="仿宋" w:eastAsia="仿宋" w:cs="宋体"/>
                <w:kern w:val="0"/>
                <w:sz w:val="24"/>
                <w:szCs w:val="22"/>
                <w:lang w:val="en-US" w:eastAsia="uk-UA" w:bidi="ar-SA"/>
              </w:rPr>
              <w:t>面板</w:t>
            </w:r>
            <w:r>
              <w:rPr>
                <w:rFonts w:hint="eastAsia" w:ascii="仿宋" w:hAnsi="仿宋" w:eastAsia="仿宋" w:cs="宋体"/>
                <w:kern w:val="0"/>
                <w:sz w:val="24"/>
                <w:szCs w:val="22"/>
                <w:lang w:val="en-US" w:eastAsia="zh-CN" w:bidi="ar-SA"/>
              </w:rPr>
              <w:t>可</w:t>
            </w:r>
            <w:r>
              <w:rPr>
                <w:rFonts w:hint="eastAsia" w:ascii="仿宋" w:hAnsi="仿宋" w:eastAsia="仿宋" w:cs="宋体"/>
                <w:kern w:val="0"/>
                <w:sz w:val="24"/>
                <w:szCs w:val="22"/>
                <w:lang w:val="en-US" w:eastAsia="uk-UA" w:bidi="ar-SA"/>
              </w:rPr>
              <w:t>控制治疗机；</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uk-UA" w:bidi="ar-SA"/>
              </w:rPr>
              <w:t>3、双净水瓶设计，可不间断工作；</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uk-UA" w:bidi="ar-SA"/>
              </w:rPr>
              <w:t>4、整体痰盂旋转</w:t>
            </w:r>
            <w:r>
              <w:rPr>
                <w:rFonts w:hint="default" w:ascii="仿宋" w:hAnsi="仿宋" w:eastAsia="仿宋" w:cs="宋体"/>
                <w:kern w:val="0"/>
                <w:sz w:val="24"/>
                <w:szCs w:val="22"/>
                <w:lang w:val="en-US" w:eastAsia="zh-CN" w:bidi="ar-SA"/>
              </w:rPr>
              <w:t>≥</w:t>
            </w:r>
            <w:r>
              <w:rPr>
                <w:rFonts w:hint="eastAsia" w:ascii="仿宋" w:hAnsi="仿宋" w:eastAsia="仿宋" w:cs="宋体"/>
                <w:kern w:val="0"/>
                <w:sz w:val="24"/>
                <w:szCs w:val="22"/>
                <w:lang w:val="en-US" w:eastAsia="uk-UA" w:bidi="ar-SA"/>
              </w:rPr>
              <w:t>90°；</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uk-UA" w:bidi="ar-SA"/>
              </w:rPr>
              <w:t>5、配置操作系统：</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zh-CN" w:bidi="ar-SA"/>
              </w:rPr>
              <w:t>（1）</w:t>
            </w:r>
            <w:r>
              <w:rPr>
                <w:rFonts w:hint="eastAsia" w:ascii="仿宋" w:hAnsi="仿宋" w:eastAsia="仿宋" w:cs="宋体"/>
                <w:kern w:val="0"/>
                <w:sz w:val="24"/>
                <w:szCs w:val="22"/>
                <w:lang w:val="en-US" w:eastAsia="uk-UA" w:bidi="ar-SA"/>
              </w:rPr>
              <w:t>主、辅及脚开关三个控制点，能使医师和助手轻松控制手术灯和痰盂功能以及手机、洁牙器、口腔内窥镜等辅助设备；</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zh-CN" w:bidi="ar-SA"/>
              </w:rPr>
              <w:t>（2）可</w:t>
            </w:r>
            <w:r>
              <w:rPr>
                <w:rFonts w:hint="eastAsia" w:ascii="仿宋" w:hAnsi="仿宋" w:eastAsia="仿宋" w:cs="宋体"/>
                <w:kern w:val="0"/>
                <w:sz w:val="24"/>
                <w:szCs w:val="22"/>
                <w:lang w:val="en-US" w:eastAsia="uk-UA" w:bidi="ar-SA"/>
              </w:rPr>
              <w:t>实现吐痰位、冲盂水、手术灯之间的联动；</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zh-CN" w:bidi="ar-SA"/>
              </w:rPr>
              <w:t>（3）诊疗</w:t>
            </w:r>
            <w:r>
              <w:rPr>
                <w:rFonts w:hint="eastAsia" w:ascii="仿宋" w:hAnsi="仿宋" w:eastAsia="仿宋" w:cs="宋体"/>
                <w:kern w:val="0"/>
                <w:sz w:val="24"/>
                <w:szCs w:val="22"/>
                <w:lang w:val="en-US" w:eastAsia="uk-UA" w:bidi="ar-SA"/>
              </w:rPr>
              <w:t>结束，</w:t>
            </w:r>
            <w:r>
              <w:rPr>
                <w:rFonts w:hint="eastAsia" w:ascii="仿宋" w:hAnsi="仿宋" w:eastAsia="仿宋" w:cs="宋体"/>
                <w:kern w:val="0"/>
                <w:sz w:val="24"/>
                <w:szCs w:val="22"/>
                <w:lang w:val="en-US" w:eastAsia="zh-CN" w:bidi="ar-SA"/>
              </w:rPr>
              <w:t>可一</w:t>
            </w:r>
            <w:r>
              <w:rPr>
                <w:rFonts w:hint="eastAsia" w:ascii="仿宋" w:hAnsi="仿宋" w:eastAsia="仿宋" w:cs="宋体"/>
                <w:kern w:val="0"/>
                <w:sz w:val="24"/>
                <w:szCs w:val="22"/>
                <w:lang w:val="en-US" w:eastAsia="uk-UA" w:bidi="ar-SA"/>
              </w:rPr>
              <w:t>键</w:t>
            </w:r>
            <w:r>
              <w:rPr>
                <w:rFonts w:hint="eastAsia" w:ascii="仿宋" w:hAnsi="仿宋" w:eastAsia="仿宋" w:cs="宋体"/>
                <w:kern w:val="0"/>
                <w:sz w:val="24"/>
                <w:szCs w:val="22"/>
                <w:lang w:val="en-US" w:eastAsia="zh-CN" w:bidi="ar-SA"/>
              </w:rPr>
              <w:t>回位（</w:t>
            </w:r>
            <w:r>
              <w:rPr>
                <w:rFonts w:hint="eastAsia" w:ascii="仿宋" w:hAnsi="仿宋" w:eastAsia="仿宋" w:cs="宋体"/>
                <w:kern w:val="0"/>
                <w:sz w:val="24"/>
                <w:szCs w:val="22"/>
                <w:lang w:val="en-US" w:eastAsia="uk-UA" w:bidi="ar-SA"/>
              </w:rPr>
              <w:t>手术灯灭，牙椅自动回复到起始状态</w:t>
            </w:r>
            <w:r>
              <w:rPr>
                <w:rFonts w:hint="eastAsia" w:ascii="仿宋" w:hAnsi="仿宋" w:eastAsia="仿宋" w:cs="宋体"/>
                <w:kern w:val="0"/>
                <w:sz w:val="24"/>
                <w:szCs w:val="22"/>
                <w:lang w:val="en-US" w:eastAsia="zh-CN" w:bidi="ar-SA"/>
              </w:rPr>
              <w:t>）</w:t>
            </w:r>
            <w:r>
              <w:rPr>
                <w:rFonts w:hint="eastAsia" w:ascii="仿宋" w:hAnsi="仿宋" w:eastAsia="仿宋" w:cs="宋体"/>
                <w:kern w:val="0"/>
                <w:sz w:val="24"/>
                <w:szCs w:val="22"/>
                <w:lang w:val="en-US" w:eastAsia="uk-UA" w:bidi="ar-SA"/>
              </w:rPr>
              <w:t>；</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zh-CN" w:bidi="ar-SA"/>
              </w:rPr>
              <w:t>（4）无影</w:t>
            </w:r>
            <w:r>
              <w:rPr>
                <w:rFonts w:hint="eastAsia" w:ascii="仿宋" w:hAnsi="仿宋" w:eastAsia="仿宋" w:cs="宋体"/>
                <w:kern w:val="0"/>
                <w:sz w:val="24"/>
                <w:szCs w:val="22"/>
                <w:lang w:val="en-US" w:eastAsia="uk-UA" w:bidi="ar-SA"/>
              </w:rPr>
              <w:t>灯无极调光，医生可自由选择适合的光照度；</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zh-CN" w:bidi="ar-SA"/>
              </w:rPr>
              <w:t>（5）可预设</w:t>
            </w:r>
            <w:r>
              <w:rPr>
                <w:rFonts w:hint="default" w:ascii="仿宋" w:hAnsi="仿宋" w:eastAsia="仿宋" w:cs="宋体"/>
                <w:kern w:val="0"/>
                <w:sz w:val="24"/>
                <w:szCs w:val="22"/>
                <w:lang w:val="en-US" w:eastAsia="zh-CN" w:bidi="ar-SA"/>
              </w:rPr>
              <w:t>≥</w:t>
            </w:r>
            <w:r>
              <w:rPr>
                <w:rFonts w:hint="eastAsia" w:ascii="仿宋" w:hAnsi="仿宋" w:eastAsia="仿宋" w:cs="宋体"/>
                <w:kern w:val="0"/>
                <w:sz w:val="24"/>
                <w:szCs w:val="22"/>
                <w:lang w:val="en-US" w:eastAsia="zh-CN" w:bidi="ar-SA"/>
              </w:rPr>
              <w:t>5个</w:t>
            </w:r>
            <w:r>
              <w:rPr>
                <w:rFonts w:hint="eastAsia" w:ascii="仿宋" w:hAnsi="仿宋" w:eastAsia="仿宋" w:cs="宋体"/>
                <w:kern w:val="0"/>
                <w:sz w:val="24"/>
                <w:szCs w:val="22"/>
                <w:lang w:val="en-US" w:eastAsia="uk-UA" w:bidi="ar-SA"/>
              </w:rPr>
              <w:t>记忆</w:t>
            </w:r>
            <w:r>
              <w:rPr>
                <w:rFonts w:hint="eastAsia" w:ascii="仿宋" w:hAnsi="仿宋" w:eastAsia="仿宋" w:cs="宋体"/>
                <w:kern w:val="0"/>
                <w:sz w:val="24"/>
                <w:szCs w:val="22"/>
                <w:lang w:val="en-US" w:eastAsia="zh-CN" w:bidi="ar-SA"/>
              </w:rPr>
              <w:t>椅位</w:t>
            </w:r>
            <w:r>
              <w:rPr>
                <w:rFonts w:hint="eastAsia" w:ascii="仿宋" w:hAnsi="仿宋" w:eastAsia="仿宋" w:cs="宋体"/>
                <w:kern w:val="0"/>
                <w:sz w:val="24"/>
                <w:szCs w:val="22"/>
                <w:lang w:val="en-US" w:eastAsia="uk-UA" w:bidi="ar-SA"/>
              </w:rPr>
              <w:t>；</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zh-CN" w:bidi="ar-SA"/>
              </w:rPr>
              <w:t>（6）显示屏可实时显示治疗椅多项运行参数；</w:t>
            </w:r>
          </w:p>
          <w:p w14:paraId="7B5C9C18">
            <w:pPr>
              <w:pStyle w:val="16"/>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（7）具备闹钟提醒功能，可在麻醉、根管上药等场景进行定时设置；</w:t>
            </w:r>
          </w:p>
          <w:p w14:paraId="5EEC8CF9">
            <w:pPr>
              <w:pStyle w:val="16"/>
              <w:rPr>
                <w:rFonts w:hint="eastAsia" w:ascii="仿宋" w:hAnsi="仿宋" w:eastAsia="仿宋" w:cs="宋体"/>
                <w:kern w:val="0"/>
                <w:sz w:val="24"/>
                <w:szCs w:val="22"/>
                <w:lang w:val="en-US" w:eastAsia="uk-UA" w:bidi="ar-SA"/>
              </w:rPr>
            </w:pPr>
            <w:r>
              <w:rPr>
                <w:rFonts w:hint="eastAsia" w:ascii="仿宋" w:hAnsi="仿宋" w:eastAsia="仿宋" w:cs="宋体"/>
                <w:kern w:val="0"/>
                <w:sz w:val="24"/>
                <w:szCs w:val="22"/>
                <w:lang w:val="en-US" w:eastAsia="uk-UA" w:bidi="ar-SA"/>
              </w:rPr>
              <w:t>6、牙科椅电源</w:t>
            </w:r>
            <w:r>
              <w:rPr>
                <w:rFonts w:hint="eastAsia" w:ascii="仿宋" w:hAnsi="仿宋" w:eastAsia="仿宋" w:cs="宋体"/>
                <w:kern w:val="0"/>
                <w:sz w:val="24"/>
                <w:szCs w:val="22"/>
                <w:lang w:val="en-US" w:eastAsia="zh-CN" w:bidi="ar-SA"/>
              </w:rPr>
              <w:t>为市电接入（</w:t>
            </w:r>
            <w:r>
              <w:rPr>
                <w:rFonts w:hint="eastAsia" w:ascii="仿宋" w:hAnsi="仿宋" w:eastAsia="仿宋" w:cs="宋体"/>
                <w:kern w:val="0"/>
                <w:sz w:val="24"/>
                <w:szCs w:val="22"/>
                <w:lang w:val="en-US" w:eastAsia="uk-UA" w:bidi="ar-SA"/>
              </w:rPr>
              <w:t>220V±10％</w:t>
            </w:r>
            <w:r>
              <w:rPr>
                <w:rFonts w:hint="eastAsia" w:ascii="仿宋" w:hAnsi="仿宋" w:eastAsia="仿宋" w:cs="宋体"/>
                <w:kern w:val="0"/>
                <w:sz w:val="24"/>
                <w:szCs w:val="22"/>
                <w:lang w:val="en-US" w:eastAsia="zh-CN" w:bidi="ar-SA"/>
              </w:rPr>
              <w:t>）</w:t>
            </w:r>
            <w:r>
              <w:rPr>
                <w:rFonts w:hint="eastAsia" w:ascii="仿宋" w:hAnsi="仿宋" w:eastAsia="仿宋" w:cs="宋体"/>
                <w:kern w:val="0"/>
                <w:sz w:val="24"/>
                <w:szCs w:val="22"/>
                <w:lang w:val="en-US" w:eastAsia="uk-UA" w:bidi="ar-SA"/>
              </w:rPr>
              <w:t>；</w:t>
            </w:r>
          </w:p>
          <w:p w14:paraId="6507D448">
            <w:pPr>
              <w:pStyle w:val="16"/>
              <w:rPr>
                <w:rFonts w:hint="eastAsia" w:ascii="仿宋" w:hAnsi="仿宋" w:eastAsia="仿宋" w:cs="宋体"/>
                <w:kern w:val="0"/>
                <w:sz w:val="24"/>
                <w:szCs w:val="22"/>
                <w:lang w:val="en-US" w:eastAsia="uk-UA" w:bidi="ar-SA"/>
              </w:rPr>
            </w:pPr>
            <w:r>
              <w:rPr>
                <w:rFonts w:hint="eastAsia" w:ascii="仿宋" w:hAnsi="仿宋" w:eastAsia="仿宋" w:cs="宋体"/>
                <w:kern w:val="0"/>
                <w:sz w:val="24"/>
                <w:szCs w:val="22"/>
                <w:lang w:val="en-US" w:eastAsia="zh-CN" w:bidi="ar-SA"/>
              </w:rPr>
              <w:t>7</w:t>
            </w:r>
            <w:r>
              <w:rPr>
                <w:rFonts w:hint="eastAsia" w:ascii="仿宋" w:hAnsi="仿宋" w:eastAsia="仿宋" w:cs="宋体"/>
                <w:kern w:val="0"/>
                <w:sz w:val="24"/>
                <w:szCs w:val="22"/>
                <w:lang w:val="en-US" w:eastAsia="uk-UA" w:bidi="ar-SA"/>
              </w:rPr>
              <w:t>、牙科椅(座垫中心)</w:t>
            </w:r>
            <w:r>
              <w:rPr>
                <w:rFonts w:hint="eastAsia" w:ascii="仿宋" w:hAnsi="仿宋" w:eastAsia="仿宋" w:cs="宋体"/>
                <w:kern w:val="0"/>
                <w:sz w:val="24"/>
                <w:szCs w:val="22"/>
                <w:lang w:val="en-US" w:eastAsia="zh-CN" w:bidi="ar-SA"/>
              </w:rPr>
              <w:t>上下行程</w:t>
            </w:r>
            <w:r>
              <w:rPr>
                <w:rFonts w:hint="eastAsia" w:ascii="仿宋" w:hAnsi="仿宋" w:eastAsia="仿宋" w:cs="宋体"/>
                <w:kern w:val="0"/>
                <w:sz w:val="24"/>
                <w:szCs w:val="22"/>
                <w:lang w:val="en-US" w:eastAsia="uk-UA" w:bidi="ar-SA"/>
              </w:rPr>
              <w:t>：</w:t>
            </w:r>
            <w:r>
              <w:rPr>
                <w:rFonts w:hint="eastAsia" w:ascii="仿宋" w:hAnsi="仿宋" w:eastAsia="仿宋" w:cs="仿宋"/>
                <w:kern w:val="0"/>
                <w:sz w:val="24"/>
                <w:szCs w:val="22"/>
                <w:lang w:val="en-US" w:eastAsia="uk-UA" w:bidi="ar-SA"/>
              </w:rPr>
              <w:t>≤</w:t>
            </w:r>
            <w:r>
              <w:rPr>
                <w:rFonts w:hint="eastAsia" w:ascii="仿宋" w:hAnsi="仿宋" w:eastAsia="仿宋" w:cs="宋体"/>
                <w:kern w:val="0"/>
                <w:sz w:val="24"/>
                <w:szCs w:val="22"/>
                <w:lang w:val="en-US" w:eastAsia="zh-CN" w:bidi="ar-SA"/>
              </w:rPr>
              <w:t>40</w:t>
            </w:r>
            <w:r>
              <w:rPr>
                <w:rFonts w:hint="eastAsia" w:ascii="仿宋" w:hAnsi="仿宋" w:eastAsia="仿宋" w:cs="宋体"/>
                <w:kern w:val="0"/>
                <w:sz w:val="24"/>
                <w:szCs w:val="22"/>
                <w:lang w:val="en-US" w:eastAsia="uk-UA" w:bidi="ar-SA"/>
              </w:rPr>
              <w:t>0mm</w:t>
            </w:r>
            <w:r>
              <w:rPr>
                <w:rFonts w:hint="eastAsia" w:ascii="仿宋" w:hAnsi="仿宋" w:eastAsia="仿宋" w:cs="宋体"/>
                <w:kern w:val="0"/>
                <w:sz w:val="24"/>
                <w:szCs w:val="22"/>
                <w:lang w:val="en-US" w:eastAsia="zh-CN" w:bidi="ar-SA"/>
              </w:rPr>
              <w:t>，</w:t>
            </w:r>
            <w:r>
              <w:rPr>
                <w:rFonts w:hint="eastAsia" w:ascii="仿宋" w:hAnsi="仿宋" w:eastAsia="仿宋" w:cs="宋体"/>
                <w:kern w:val="0"/>
                <w:sz w:val="24"/>
                <w:szCs w:val="22"/>
                <w:lang w:val="en-US" w:eastAsia="uk-UA" w:bidi="ar-SA"/>
              </w:rPr>
              <w:t>≥760mm；</w:t>
            </w:r>
          </w:p>
          <w:p w14:paraId="1827D1C6">
            <w:pPr>
              <w:pStyle w:val="16"/>
              <w:rPr>
                <w:rFonts w:hint="eastAsia" w:ascii="仿宋" w:hAnsi="仿宋" w:eastAsia="仿宋" w:cs="宋体"/>
                <w:kern w:val="0"/>
                <w:sz w:val="24"/>
                <w:szCs w:val="22"/>
                <w:lang w:val="en-US" w:eastAsia="uk-UA" w:bidi="ar-SA"/>
              </w:rPr>
            </w:pPr>
            <w:r>
              <w:rPr>
                <w:rFonts w:hint="eastAsia" w:ascii="仿宋" w:hAnsi="仿宋" w:eastAsia="仿宋" w:cs="宋体"/>
                <w:kern w:val="0"/>
                <w:sz w:val="24"/>
                <w:szCs w:val="22"/>
                <w:lang w:val="en-US" w:eastAsia="zh-CN" w:bidi="ar-SA"/>
              </w:rPr>
              <w:t>8</w:t>
            </w:r>
            <w:r>
              <w:rPr>
                <w:rFonts w:hint="eastAsia" w:ascii="仿宋" w:hAnsi="仿宋" w:eastAsia="仿宋" w:cs="宋体"/>
                <w:kern w:val="0"/>
                <w:sz w:val="24"/>
                <w:szCs w:val="22"/>
                <w:lang w:val="en-US" w:eastAsia="uk-UA" w:bidi="ar-SA"/>
              </w:rPr>
              <w:t>、靠背转角≥70°；</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zh-CN" w:bidi="ar-SA"/>
              </w:rPr>
              <w:t>9、</w:t>
            </w:r>
            <w:r>
              <w:rPr>
                <w:rFonts w:hint="eastAsia" w:ascii="仿宋" w:hAnsi="仿宋" w:eastAsia="仿宋" w:cs="宋体"/>
                <w:kern w:val="0"/>
                <w:sz w:val="24"/>
                <w:szCs w:val="22"/>
                <w:lang w:val="en-US" w:eastAsia="uk-UA" w:bidi="ar-SA"/>
              </w:rPr>
              <w:t>器械横臂转角≥100°；</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zh-CN" w:bidi="ar-SA"/>
              </w:rPr>
              <w:t>10、</w:t>
            </w:r>
            <w:r>
              <w:rPr>
                <w:rFonts w:hint="eastAsia" w:ascii="仿宋" w:hAnsi="仿宋" w:eastAsia="仿宋" w:cs="宋体"/>
                <w:kern w:val="0"/>
                <w:sz w:val="24"/>
                <w:szCs w:val="22"/>
                <w:lang w:val="en-US" w:eastAsia="uk-UA" w:bidi="ar-SA"/>
              </w:rPr>
              <w:t>平衡弹簧臂转角≥200°，上下移动范围≥4</w:t>
            </w:r>
            <w:r>
              <w:rPr>
                <w:rFonts w:hint="eastAsia" w:ascii="仿宋" w:hAnsi="仿宋" w:eastAsia="仿宋" w:cs="宋体"/>
                <w:kern w:val="0"/>
                <w:sz w:val="24"/>
                <w:szCs w:val="22"/>
                <w:lang w:val="en-US" w:eastAsia="zh-CN" w:bidi="ar-SA"/>
              </w:rPr>
              <w:t>4</w:t>
            </w:r>
            <w:r>
              <w:rPr>
                <w:rFonts w:hint="eastAsia" w:ascii="仿宋" w:hAnsi="仿宋" w:eastAsia="仿宋" w:cs="宋体"/>
                <w:kern w:val="0"/>
                <w:sz w:val="24"/>
                <w:szCs w:val="22"/>
                <w:lang w:val="en-US" w:eastAsia="uk-UA" w:bidi="ar-SA"/>
              </w:rPr>
              <w:t>0mm；</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uk-UA" w:bidi="ar-SA"/>
              </w:rPr>
              <w:t>1</w:t>
            </w:r>
            <w:r>
              <w:rPr>
                <w:rFonts w:hint="eastAsia" w:ascii="仿宋" w:hAnsi="仿宋" w:eastAsia="仿宋" w:cs="宋体"/>
                <w:kern w:val="0"/>
                <w:sz w:val="24"/>
                <w:szCs w:val="22"/>
                <w:lang w:val="en-US" w:eastAsia="zh-CN" w:bidi="ar-SA"/>
              </w:rPr>
              <w:t>1</w:t>
            </w:r>
            <w:r>
              <w:rPr>
                <w:rFonts w:hint="eastAsia" w:ascii="仿宋" w:hAnsi="仿宋" w:eastAsia="仿宋" w:cs="宋体"/>
                <w:kern w:val="0"/>
                <w:sz w:val="24"/>
                <w:szCs w:val="22"/>
                <w:lang w:val="en-US" w:eastAsia="uk-UA" w:bidi="ar-SA"/>
              </w:rPr>
              <w:t>、器械盘转角≥120°；</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uk-UA" w:bidi="ar-SA"/>
              </w:rPr>
              <w:t>1</w:t>
            </w:r>
            <w:r>
              <w:rPr>
                <w:rFonts w:hint="eastAsia" w:ascii="仿宋" w:hAnsi="仿宋" w:eastAsia="仿宋" w:cs="宋体"/>
                <w:kern w:val="0"/>
                <w:sz w:val="24"/>
                <w:szCs w:val="22"/>
                <w:lang w:val="en-US" w:eastAsia="zh-CN" w:bidi="ar-SA"/>
              </w:rPr>
              <w:t>2</w:t>
            </w:r>
            <w:r>
              <w:rPr>
                <w:rFonts w:hint="eastAsia" w:ascii="仿宋" w:hAnsi="仿宋" w:eastAsia="仿宋" w:cs="宋体"/>
                <w:kern w:val="0"/>
                <w:sz w:val="24"/>
                <w:szCs w:val="22"/>
                <w:lang w:val="en-US" w:eastAsia="uk-UA" w:bidi="ar-SA"/>
              </w:rPr>
              <w:t>、旋转痰盂旋转角度≥90°；</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uk-UA" w:bidi="ar-SA"/>
              </w:rPr>
              <w:t>1</w:t>
            </w:r>
            <w:r>
              <w:rPr>
                <w:rFonts w:hint="eastAsia" w:ascii="仿宋" w:hAnsi="仿宋" w:eastAsia="仿宋" w:cs="宋体"/>
                <w:kern w:val="0"/>
                <w:sz w:val="24"/>
                <w:szCs w:val="22"/>
                <w:lang w:val="en-US" w:eastAsia="zh-CN" w:bidi="ar-SA"/>
              </w:rPr>
              <w:t>3</w:t>
            </w:r>
            <w:r>
              <w:rPr>
                <w:rFonts w:hint="eastAsia" w:ascii="仿宋" w:hAnsi="仿宋" w:eastAsia="仿宋" w:cs="宋体"/>
                <w:kern w:val="0"/>
                <w:sz w:val="24"/>
                <w:szCs w:val="22"/>
                <w:lang w:val="en-US" w:eastAsia="uk-UA" w:bidi="ar-SA"/>
              </w:rPr>
              <w:t>、灯臂转角≥300°，上下移动范围≥700mm；</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uk-UA" w:bidi="ar-SA"/>
              </w:rPr>
              <w:t>1</w:t>
            </w:r>
            <w:r>
              <w:rPr>
                <w:rFonts w:hint="eastAsia" w:ascii="仿宋" w:hAnsi="仿宋" w:eastAsia="仿宋" w:cs="宋体"/>
                <w:kern w:val="0"/>
                <w:sz w:val="24"/>
                <w:szCs w:val="22"/>
                <w:lang w:val="en-US" w:eastAsia="zh-CN" w:bidi="ar-SA"/>
              </w:rPr>
              <w:t>4</w:t>
            </w:r>
            <w:r>
              <w:rPr>
                <w:rFonts w:hint="eastAsia" w:ascii="仿宋" w:hAnsi="仿宋" w:eastAsia="仿宋" w:cs="宋体"/>
                <w:kern w:val="0"/>
                <w:sz w:val="24"/>
                <w:szCs w:val="22"/>
                <w:lang w:val="en-US" w:eastAsia="uk-UA" w:bidi="ar-SA"/>
              </w:rPr>
              <w:t>、手术灯转角≥270°，助手臂转角≥90°；</w:t>
            </w:r>
          </w:p>
          <w:p w14:paraId="7F68F632">
            <w:pPr>
              <w:pStyle w:val="16"/>
              <w:rPr>
                <w:rFonts w:hint="eastAsia" w:ascii="仿宋" w:hAnsi="仿宋" w:eastAsia="仿宋" w:cs="宋体"/>
                <w:kern w:val="0"/>
                <w:sz w:val="24"/>
                <w:szCs w:val="22"/>
                <w:lang w:val="en-US" w:eastAsia="uk-UA" w:bidi="ar-SA"/>
              </w:rPr>
            </w:pPr>
            <w:r>
              <w:rPr>
                <w:rFonts w:hint="eastAsia" w:ascii="仿宋" w:hAnsi="仿宋" w:eastAsia="仿宋" w:cs="宋体"/>
                <w:kern w:val="0"/>
                <w:sz w:val="24"/>
                <w:szCs w:val="22"/>
                <w:lang w:val="en-US" w:eastAsia="zh-CN" w:bidi="ar-SA"/>
              </w:rPr>
              <w:t>15、</w:t>
            </w:r>
            <w:r>
              <w:rPr>
                <w:rFonts w:hint="eastAsia" w:ascii="仿宋" w:hAnsi="仿宋" w:eastAsia="仿宋" w:cs="宋体"/>
                <w:kern w:val="0"/>
                <w:sz w:val="24"/>
                <w:szCs w:val="22"/>
                <w:lang w:val="en-US" w:eastAsia="uk-UA" w:bidi="ar-SA"/>
              </w:rPr>
              <w:t>助手臂挂架盒转角≥90°；</w:t>
            </w:r>
          </w:p>
          <w:p w14:paraId="45D2C6BA">
            <w:pPr>
              <w:pStyle w:val="16"/>
              <w:rPr>
                <w:rFonts w:hint="eastAsia" w:ascii="仿宋" w:hAnsi="仿宋" w:eastAsia="仿宋" w:cs="宋体"/>
                <w:kern w:val="0"/>
                <w:sz w:val="24"/>
                <w:szCs w:val="22"/>
                <w:lang w:val="en-US" w:eastAsia="uk-UA" w:bidi="ar-SA"/>
              </w:rPr>
            </w:pPr>
            <w:r>
              <w:rPr>
                <w:rFonts w:hint="eastAsia" w:ascii="仿宋" w:hAnsi="仿宋" w:eastAsia="仿宋" w:cs="宋体"/>
                <w:kern w:val="0"/>
                <w:sz w:val="24"/>
                <w:szCs w:val="22"/>
                <w:lang w:val="en-US" w:eastAsia="zh-CN" w:bidi="ar-SA"/>
              </w:rPr>
              <w:t>16、</w:t>
            </w:r>
            <w:r>
              <w:rPr>
                <w:rFonts w:hint="eastAsia" w:ascii="仿宋" w:hAnsi="仿宋" w:eastAsia="仿宋" w:cs="宋体"/>
                <w:kern w:val="0"/>
                <w:sz w:val="24"/>
                <w:szCs w:val="22"/>
                <w:lang w:val="en-US" w:eastAsia="uk-UA" w:bidi="ar-SA"/>
              </w:rPr>
              <w:t>气源：气压</w:t>
            </w:r>
            <w:r>
              <w:rPr>
                <w:rFonts w:hint="eastAsia" w:ascii="仿宋" w:hAnsi="仿宋" w:eastAsia="仿宋" w:cs="仿宋"/>
                <w:kern w:val="0"/>
                <w:sz w:val="24"/>
                <w:szCs w:val="22"/>
                <w:lang w:val="en-US" w:eastAsia="uk-UA" w:bidi="ar-SA"/>
              </w:rPr>
              <w:t>≤</w:t>
            </w:r>
            <w:r>
              <w:rPr>
                <w:rFonts w:hint="eastAsia" w:ascii="仿宋" w:hAnsi="仿宋" w:eastAsia="仿宋" w:cs="宋体"/>
                <w:kern w:val="0"/>
                <w:sz w:val="24"/>
                <w:szCs w:val="22"/>
                <w:lang w:val="en-US" w:eastAsia="uk-UA" w:bidi="ar-SA"/>
              </w:rPr>
              <w:t>0.5</w:t>
            </w:r>
            <w:r>
              <w:rPr>
                <w:rFonts w:hint="eastAsia" w:ascii="仿宋" w:hAnsi="仿宋" w:eastAsia="仿宋" w:cs="宋体"/>
                <w:kern w:val="0"/>
                <w:sz w:val="24"/>
                <w:szCs w:val="22"/>
                <w:lang w:val="en-US" w:eastAsia="zh-CN" w:bidi="ar-SA"/>
              </w:rPr>
              <w:t>5</w:t>
            </w:r>
            <w:r>
              <w:rPr>
                <w:rFonts w:hint="eastAsia" w:ascii="仿宋" w:hAnsi="仿宋" w:eastAsia="仿宋" w:cs="宋体"/>
                <w:kern w:val="0"/>
                <w:sz w:val="24"/>
                <w:szCs w:val="22"/>
                <w:lang w:val="en-US" w:eastAsia="uk-UA" w:bidi="ar-SA"/>
              </w:rPr>
              <w:t>MPa</w:t>
            </w:r>
            <w:r>
              <w:rPr>
                <w:rFonts w:hint="eastAsia" w:ascii="仿宋" w:hAnsi="仿宋" w:eastAsia="仿宋" w:cs="宋体"/>
                <w:kern w:val="0"/>
                <w:sz w:val="24"/>
                <w:szCs w:val="22"/>
                <w:lang w:val="en-US" w:eastAsia="zh-CN" w:bidi="ar-SA"/>
              </w:rPr>
              <w:t>，</w:t>
            </w:r>
            <w:r>
              <w:rPr>
                <w:rFonts w:hint="eastAsia" w:ascii="仿宋" w:hAnsi="仿宋" w:eastAsia="仿宋" w:cs="宋体"/>
                <w:kern w:val="0"/>
                <w:sz w:val="24"/>
                <w:szCs w:val="22"/>
                <w:lang w:val="en-US" w:eastAsia="uk-UA" w:bidi="ar-SA"/>
              </w:rPr>
              <w:t>≥0.8MPa，流量</w:t>
            </w:r>
            <w:r>
              <w:rPr>
                <w:rFonts w:hint="eastAsia" w:ascii="仿宋" w:hAnsi="仿宋" w:eastAsia="仿宋" w:cs="仿宋"/>
                <w:kern w:val="0"/>
                <w:sz w:val="24"/>
                <w:szCs w:val="22"/>
                <w:lang w:val="en-US" w:eastAsia="uk-UA" w:bidi="ar-SA"/>
              </w:rPr>
              <w:t>＞</w:t>
            </w:r>
            <w:r>
              <w:rPr>
                <w:rFonts w:hint="eastAsia" w:ascii="仿宋" w:hAnsi="仿宋" w:eastAsia="仿宋" w:cs="宋体"/>
                <w:kern w:val="0"/>
                <w:sz w:val="24"/>
                <w:szCs w:val="22"/>
                <w:lang w:val="en-US" w:eastAsia="uk-UA" w:bidi="ar-SA"/>
              </w:rPr>
              <w:t>50L／min；</w:t>
            </w:r>
          </w:p>
          <w:p w14:paraId="233CC7C4">
            <w:pPr>
              <w:pStyle w:val="16"/>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17、</w:t>
            </w:r>
            <w:r>
              <w:rPr>
                <w:rFonts w:hint="eastAsia" w:ascii="仿宋" w:hAnsi="仿宋" w:eastAsia="仿宋" w:cs="宋体"/>
                <w:kern w:val="0"/>
                <w:sz w:val="24"/>
                <w:szCs w:val="22"/>
                <w:lang w:val="en-US" w:eastAsia="uk-UA" w:bidi="ar-SA"/>
              </w:rPr>
              <w:t>水源：水压</w:t>
            </w:r>
            <w:r>
              <w:rPr>
                <w:rFonts w:hint="eastAsia" w:ascii="仿宋" w:hAnsi="仿宋" w:eastAsia="仿宋" w:cs="仿宋"/>
                <w:kern w:val="0"/>
                <w:sz w:val="24"/>
                <w:szCs w:val="22"/>
                <w:lang w:val="en-US" w:eastAsia="uk-UA" w:bidi="ar-SA"/>
              </w:rPr>
              <w:t>≤</w:t>
            </w:r>
            <w:r>
              <w:rPr>
                <w:rFonts w:hint="eastAsia" w:ascii="仿宋" w:hAnsi="仿宋" w:eastAsia="仿宋" w:cs="宋体"/>
                <w:kern w:val="0"/>
                <w:sz w:val="24"/>
                <w:szCs w:val="22"/>
                <w:lang w:val="en-US" w:eastAsia="uk-UA" w:bidi="ar-SA"/>
              </w:rPr>
              <w:t>0.2MPa</w:t>
            </w:r>
            <w:r>
              <w:rPr>
                <w:rFonts w:hint="eastAsia" w:ascii="仿宋" w:hAnsi="仿宋" w:eastAsia="仿宋" w:cs="宋体"/>
                <w:kern w:val="0"/>
                <w:sz w:val="24"/>
                <w:szCs w:val="22"/>
                <w:lang w:val="en-US" w:eastAsia="zh-CN" w:bidi="ar-SA"/>
              </w:rPr>
              <w:t>，</w:t>
            </w:r>
            <w:r>
              <w:rPr>
                <w:rFonts w:hint="eastAsia" w:ascii="仿宋" w:hAnsi="仿宋" w:eastAsia="仿宋" w:cs="宋体"/>
                <w:kern w:val="0"/>
                <w:sz w:val="24"/>
                <w:szCs w:val="22"/>
                <w:lang w:val="en-US" w:eastAsia="uk-UA" w:bidi="ar-SA"/>
              </w:rPr>
              <w:t>≥0.4MPa，流量</w:t>
            </w:r>
            <w:r>
              <w:rPr>
                <w:rFonts w:hint="eastAsia" w:ascii="仿宋" w:hAnsi="仿宋" w:eastAsia="仿宋" w:cs="仿宋"/>
                <w:kern w:val="0"/>
                <w:sz w:val="24"/>
                <w:szCs w:val="22"/>
                <w:lang w:val="en-US" w:eastAsia="uk-UA" w:bidi="ar-SA"/>
              </w:rPr>
              <w:t>＞</w:t>
            </w:r>
            <w:r>
              <w:rPr>
                <w:rFonts w:hint="eastAsia" w:ascii="仿宋" w:hAnsi="仿宋" w:eastAsia="仿宋" w:cs="宋体"/>
                <w:kern w:val="0"/>
                <w:sz w:val="24"/>
                <w:szCs w:val="22"/>
                <w:lang w:val="en-US" w:eastAsia="uk-UA" w:bidi="ar-SA"/>
              </w:rPr>
              <w:t>10L／min；</w:t>
            </w:r>
            <w:r>
              <w:rPr>
                <w:rFonts w:hint="eastAsia" w:ascii="仿宋" w:hAnsi="仿宋" w:eastAsia="仿宋" w:cs="宋体"/>
                <w:kern w:val="0"/>
                <w:sz w:val="24"/>
                <w:szCs w:val="22"/>
                <w:lang w:val="en-US" w:eastAsia="uk-UA" w:bidi="ar-SA"/>
              </w:rPr>
              <w:br w:type="textWrapping"/>
            </w:r>
            <w:r>
              <w:rPr>
                <w:rFonts w:hint="eastAsia" w:ascii="仿宋" w:hAnsi="仿宋" w:eastAsia="仿宋" w:cs="宋体"/>
                <w:kern w:val="0"/>
                <w:sz w:val="24"/>
                <w:szCs w:val="22"/>
                <w:lang w:val="en-US" w:eastAsia="zh-CN" w:bidi="ar-SA"/>
              </w:rPr>
              <w:t>18、</w:t>
            </w:r>
            <w:r>
              <w:rPr>
                <w:rFonts w:hint="eastAsia" w:ascii="仿宋" w:hAnsi="仿宋" w:eastAsia="仿宋" w:cs="宋体"/>
                <w:kern w:val="0"/>
                <w:sz w:val="24"/>
                <w:szCs w:val="22"/>
                <w:lang w:val="en-US" w:eastAsia="uk-UA" w:bidi="ar-SA"/>
              </w:rPr>
              <w:t>设备使用年限≥10年</w:t>
            </w:r>
            <w:r>
              <w:rPr>
                <w:rFonts w:hint="eastAsia" w:ascii="仿宋" w:hAnsi="仿宋" w:eastAsia="仿宋" w:cs="宋体"/>
                <w:kern w:val="0"/>
                <w:sz w:val="24"/>
                <w:szCs w:val="22"/>
                <w:lang w:val="en-US" w:eastAsia="zh-CN" w:bidi="ar-SA"/>
              </w:rPr>
              <w:t>。</w:t>
            </w:r>
          </w:p>
        </w:tc>
        <w:tc>
          <w:tcPr>
            <w:tcW w:w="1701" w:type="dxa"/>
            <w:vAlign w:val="center"/>
          </w:tcPr>
          <w:p w14:paraId="199F2038">
            <w:pPr>
              <w:spacing w:line="360" w:lineRule="auto"/>
              <w:jc w:val="center"/>
              <w:rPr>
                <w:rFonts w:ascii="仿宋" w:hAnsi="仿宋" w:eastAsia="仿宋"/>
                <w:kern w:val="0"/>
                <w:sz w:val="24"/>
              </w:rPr>
            </w:pPr>
          </w:p>
        </w:tc>
      </w:tr>
      <w:tr w14:paraId="1B64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8" w:type="dxa"/>
            <w:vAlign w:val="center"/>
          </w:tcPr>
          <w:p w14:paraId="67173D72">
            <w:pPr>
              <w:spacing w:line="360" w:lineRule="auto"/>
              <w:jc w:val="center"/>
              <w:rPr>
                <w:rFonts w:hint="eastAsia" w:ascii="仿宋" w:hAnsi="仿宋" w:eastAsia="仿宋" w:cs="宋体"/>
                <w:kern w:val="0"/>
                <w:sz w:val="24"/>
                <w:lang w:eastAsia="zh-CN"/>
              </w:rPr>
            </w:pPr>
            <w:r>
              <w:rPr>
                <w:rFonts w:hint="eastAsia" w:ascii="仿宋" w:hAnsi="仿宋" w:eastAsia="仿宋" w:cs="宋体"/>
                <w:kern w:val="0"/>
                <w:sz w:val="24"/>
                <w:lang w:eastAsia="zh-CN"/>
              </w:rPr>
              <w:t>配置清单</w:t>
            </w:r>
          </w:p>
        </w:tc>
        <w:tc>
          <w:tcPr>
            <w:tcW w:w="6521" w:type="dxa"/>
            <w:vAlign w:val="center"/>
          </w:tcPr>
          <w:p w14:paraId="4085144E">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textAlignment w:val="auto"/>
              <w:rPr>
                <w:rFonts w:hint="default"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uk-UA" w:bidi="ar-SA"/>
              </w:rPr>
              <w:t>三用枪（冷、热）各1只</w:t>
            </w:r>
            <w:r>
              <w:rPr>
                <w:rFonts w:hint="eastAsia" w:ascii="仿宋" w:hAnsi="仿宋" w:eastAsia="仿宋" w:cs="宋体"/>
                <w:kern w:val="0"/>
                <w:sz w:val="24"/>
                <w:szCs w:val="22"/>
                <w:lang w:val="en-US" w:eastAsia="zh-CN" w:bidi="ar-SA"/>
              </w:rPr>
              <w:t>；高速手机2把，低速手机1套；口腔观察仪</w:t>
            </w:r>
            <w:r>
              <w:rPr>
                <w:rFonts w:hint="eastAsia" w:ascii="仿宋" w:hAnsi="仿宋" w:eastAsia="仿宋" w:cs="宋体"/>
                <w:kern w:val="0"/>
                <w:sz w:val="24"/>
                <w:szCs w:val="22"/>
                <w:lang w:val="en-US" w:eastAsia="uk-UA" w:bidi="ar-SA"/>
              </w:rPr>
              <w:t xml:space="preserve">1套 </w:t>
            </w:r>
            <w:r>
              <w:rPr>
                <w:rFonts w:hint="eastAsia" w:ascii="仿宋" w:hAnsi="仿宋" w:eastAsia="仿宋" w:cs="宋体"/>
                <w:kern w:val="0"/>
                <w:sz w:val="24"/>
                <w:szCs w:val="22"/>
                <w:lang w:val="en-US" w:eastAsia="zh-CN" w:bidi="ar-SA"/>
              </w:rPr>
              <w:t>；全水路消毒系统</w:t>
            </w:r>
            <w:r>
              <w:rPr>
                <w:rFonts w:hint="eastAsia" w:ascii="仿宋" w:hAnsi="仿宋" w:eastAsia="仿宋" w:cs="宋体"/>
                <w:kern w:val="0"/>
                <w:sz w:val="24"/>
                <w:szCs w:val="22"/>
                <w:lang w:val="en-US" w:eastAsia="uk-UA" w:bidi="ar-SA"/>
              </w:rPr>
              <w:t>1套</w:t>
            </w:r>
            <w:r>
              <w:rPr>
                <w:rFonts w:hint="eastAsia" w:ascii="仿宋" w:hAnsi="仿宋" w:eastAsia="仿宋" w:cs="宋体"/>
                <w:kern w:val="0"/>
                <w:sz w:val="24"/>
                <w:szCs w:val="22"/>
                <w:lang w:val="en-US" w:eastAsia="zh-CN" w:bidi="ar-SA"/>
              </w:rPr>
              <w:t>；</w:t>
            </w:r>
            <w:r>
              <w:rPr>
                <w:rFonts w:hint="eastAsia" w:ascii="仿宋" w:hAnsi="仿宋" w:eastAsia="仿宋" w:cs="宋体"/>
                <w:kern w:val="0"/>
                <w:sz w:val="24"/>
                <w:szCs w:val="22"/>
                <w:lang w:val="en-US" w:eastAsia="uk-UA" w:bidi="ar-SA"/>
              </w:rPr>
              <w:t>自动恒温低压给水系统1套</w:t>
            </w:r>
            <w:r>
              <w:rPr>
                <w:rFonts w:hint="eastAsia" w:ascii="仿宋" w:hAnsi="仿宋" w:eastAsia="仿宋" w:cs="宋体"/>
                <w:kern w:val="0"/>
                <w:sz w:val="24"/>
                <w:szCs w:val="22"/>
                <w:lang w:val="en-US" w:eastAsia="zh-CN" w:bidi="ar-SA"/>
              </w:rPr>
              <w:t>；</w:t>
            </w:r>
            <w:r>
              <w:rPr>
                <w:rFonts w:hint="eastAsia" w:ascii="仿宋" w:hAnsi="仿宋" w:eastAsia="仿宋" w:cs="宋体"/>
                <w:kern w:val="0"/>
                <w:sz w:val="24"/>
                <w:szCs w:val="22"/>
                <w:lang w:val="en-US" w:eastAsia="uk-UA" w:bidi="ar-SA"/>
              </w:rPr>
              <w:t>痰盂1套</w:t>
            </w:r>
            <w:r>
              <w:rPr>
                <w:rFonts w:hint="eastAsia" w:ascii="仿宋" w:hAnsi="仿宋" w:eastAsia="仿宋" w:cs="宋体"/>
                <w:kern w:val="0"/>
                <w:sz w:val="24"/>
                <w:szCs w:val="22"/>
                <w:lang w:val="en-US" w:eastAsia="zh-CN" w:bidi="ar-SA"/>
              </w:rPr>
              <w:t>；内置洁牙机</w:t>
            </w:r>
            <w:r>
              <w:rPr>
                <w:rFonts w:hint="eastAsia" w:ascii="仿宋" w:hAnsi="仿宋" w:eastAsia="仿宋" w:cs="宋体"/>
                <w:kern w:val="0"/>
                <w:sz w:val="24"/>
                <w:szCs w:val="22"/>
                <w:lang w:val="en-US" w:eastAsia="uk-UA" w:bidi="ar-SA"/>
              </w:rPr>
              <w:t>1套</w:t>
            </w:r>
            <w:r>
              <w:rPr>
                <w:rFonts w:hint="eastAsia" w:ascii="仿宋" w:hAnsi="仿宋" w:eastAsia="仿宋" w:cs="宋体"/>
                <w:kern w:val="0"/>
                <w:sz w:val="24"/>
                <w:szCs w:val="22"/>
                <w:lang w:val="en-US" w:eastAsia="zh-CN" w:bidi="ar-SA"/>
              </w:rPr>
              <w:t>；</w:t>
            </w:r>
            <w:r>
              <w:rPr>
                <w:rFonts w:hint="eastAsia" w:ascii="仿宋" w:hAnsi="仿宋" w:eastAsia="仿宋" w:cs="宋体"/>
                <w:kern w:val="0"/>
                <w:sz w:val="24"/>
                <w:szCs w:val="22"/>
                <w:lang w:val="en-US" w:eastAsia="uk-UA" w:bidi="ar-SA"/>
              </w:rPr>
              <w:t>可转动防摔式挂架盒1</w:t>
            </w:r>
            <w:r>
              <w:rPr>
                <w:rFonts w:hint="eastAsia" w:ascii="仿宋" w:hAnsi="仿宋" w:eastAsia="仿宋" w:cs="宋体"/>
                <w:kern w:val="0"/>
                <w:sz w:val="24"/>
                <w:szCs w:val="22"/>
                <w:lang w:val="en-US" w:eastAsia="zh-CN" w:bidi="ar-SA"/>
              </w:rPr>
              <w:t>套；</w:t>
            </w:r>
            <w:r>
              <w:rPr>
                <w:rFonts w:hint="eastAsia" w:ascii="仿宋" w:hAnsi="仿宋" w:eastAsia="仿宋" w:cs="宋体"/>
                <w:kern w:val="0"/>
                <w:sz w:val="24"/>
                <w:szCs w:val="22"/>
                <w:lang w:val="en-US" w:eastAsia="uk-UA" w:bidi="ar-SA"/>
              </w:rPr>
              <w:t xml:space="preserve">观片灯1套 </w:t>
            </w:r>
            <w:r>
              <w:rPr>
                <w:rFonts w:hint="eastAsia" w:ascii="仿宋" w:hAnsi="仿宋" w:eastAsia="仿宋" w:cs="宋体"/>
                <w:kern w:val="0"/>
                <w:sz w:val="24"/>
                <w:szCs w:val="22"/>
                <w:lang w:val="en-US" w:eastAsia="zh-CN" w:bidi="ar-SA"/>
              </w:rPr>
              <w:t>；</w:t>
            </w:r>
            <w:r>
              <w:rPr>
                <w:rFonts w:hint="eastAsia" w:ascii="仿宋" w:hAnsi="仿宋" w:eastAsia="仿宋" w:cs="宋体"/>
                <w:kern w:val="0"/>
                <w:sz w:val="24"/>
                <w:szCs w:val="22"/>
                <w:lang w:val="en-US" w:eastAsia="uk-UA" w:bidi="ar-SA"/>
              </w:rPr>
              <w:t xml:space="preserve">口腔手术灯1套 </w:t>
            </w:r>
            <w:r>
              <w:rPr>
                <w:rFonts w:hint="eastAsia" w:ascii="仿宋" w:hAnsi="仿宋" w:eastAsia="仿宋" w:cs="宋体"/>
                <w:kern w:val="0"/>
                <w:sz w:val="24"/>
                <w:szCs w:val="22"/>
                <w:lang w:val="en-US" w:eastAsia="zh-CN" w:bidi="ar-SA"/>
              </w:rPr>
              <w:t>；</w:t>
            </w:r>
            <w:r>
              <w:rPr>
                <w:rFonts w:hint="eastAsia" w:ascii="仿宋" w:hAnsi="仿宋" w:eastAsia="仿宋" w:cs="宋体"/>
                <w:kern w:val="0"/>
                <w:sz w:val="24"/>
                <w:szCs w:val="22"/>
                <w:lang w:val="en-US" w:eastAsia="uk-UA" w:bidi="ar-SA"/>
              </w:rPr>
              <w:t xml:space="preserve">医师椅1张 </w:t>
            </w:r>
            <w:r>
              <w:rPr>
                <w:rFonts w:hint="eastAsia" w:ascii="仿宋" w:hAnsi="仿宋" w:eastAsia="仿宋" w:cs="宋体"/>
                <w:kern w:val="0"/>
                <w:sz w:val="24"/>
                <w:szCs w:val="22"/>
                <w:lang w:val="en-US" w:eastAsia="zh-CN" w:bidi="ar-SA"/>
              </w:rPr>
              <w:t>。</w:t>
            </w:r>
          </w:p>
        </w:tc>
        <w:tc>
          <w:tcPr>
            <w:tcW w:w="1701" w:type="dxa"/>
          </w:tcPr>
          <w:p w14:paraId="35943D67">
            <w:pPr>
              <w:spacing w:line="360" w:lineRule="auto"/>
              <w:jc w:val="center"/>
              <w:rPr>
                <w:rFonts w:ascii="仿宋" w:hAnsi="仿宋" w:eastAsia="仿宋"/>
                <w:sz w:val="24"/>
              </w:rPr>
            </w:pPr>
          </w:p>
        </w:tc>
      </w:tr>
    </w:tbl>
    <w:p w14:paraId="4AB2AF0D">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三、服务要求</w:t>
      </w:r>
    </w:p>
    <w:p w14:paraId="4FE156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1、供应商负责设备安装、调试，并提供1个月试运行期。试运行期届满，无任何质量问题供应商方可申请最终验收。其费用包含在项目报价内。</w:t>
      </w:r>
    </w:p>
    <w:p w14:paraId="6D98EA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2、供应商提供设备操作（使用）培训。保证操作（使用）人员能熟练操作（使用），并对该设备能进行日常维护，如未达到，医院有权延后支付合同所约定款项。其费用包含在项目报价内。</w:t>
      </w:r>
    </w:p>
    <w:p w14:paraId="4FD753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3、质保期内，每年提供≥4次维护保养，并出具维护保养报告。其费用包含在项目报价内。</w:t>
      </w:r>
    </w:p>
    <w:p w14:paraId="6D3E30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、售后服务响应时间：供应商应在接到售后服务通知</w:t>
      </w:r>
      <w:r>
        <w:rPr>
          <w:rFonts w:hint="eastAsia" w:ascii="仿宋" w:hAnsi="仿宋" w:eastAsia="仿宋" w:cs="仿宋"/>
          <w:kern w:val="2"/>
          <w:sz w:val="28"/>
          <w:szCs w:val="28"/>
          <w:lang w:val="en-US" w:eastAsia="zh-CN" w:bidi="ar-SA"/>
        </w:rPr>
        <w:t>或故障电话</w:t>
      </w:r>
      <w:r>
        <w:rPr>
          <w:rFonts w:hint="default" w:ascii="仿宋" w:hAnsi="仿宋" w:eastAsia="仿宋" w:cs="仿宋"/>
          <w:kern w:val="2"/>
          <w:sz w:val="28"/>
          <w:szCs w:val="28"/>
          <w:lang w:val="en-US" w:eastAsia="zh-CN" w:bidi="ar-SA"/>
        </w:rPr>
        <w:t xml:space="preserve"> 12 小时内响应，48小时内到场维修。</w:t>
      </w:r>
    </w:p>
    <w:p w14:paraId="642A398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394EF34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w:t>
      </w:r>
    </w:p>
    <w:p w14:paraId="6043B47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Style w:val="8"/>
          <w:rFonts w:hint="eastAsia" w:ascii="仿宋" w:hAnsi="仿宋" w:eastAsia="仿宋" w:cs="仿宋"/>
          <w:b w:val="0"/>
          <w:bCs w:val="0"/>
          <w:i w:val="0"/>
          <w:iCs w:val="0"/>
          <w:caps w:val="0"/>
          <w:color w:val="222222"/>
          <w:spacing w:val="0"/>
          <w:sz w:val="28"/>
          <w:szCs w:val="28"/>
          <w:lang w:eastAsia="zh-CN"/>
        </w:rPr>
        <w:t>本项目合同履约期限为双方签字盖章生效之日起</w:t>
      </w:r>
      <w:r>
        <w:rPr>
          <w:rStyle w:val="8"/>
          <w:rFonts w:hint="eastAsia" w:ascii="仿宋" w:hAnsi="仿宋" w:eastAsia="仿宋" w:cs="仿宋"/>
          <w:b w:val="0"/>
          <w:bCs w:val="0"/>
          <w:i w:val="0"/>
          <w:iCs w:val="0"/>
          <w:caps w:val="0"/>
          <w:color w:val="222222"/>
          <w:spacing w:val="0"/>
          <w:sz w:val="28"/>
          <w:szCs w:val="28"/>
          <w:lang w:val="en-US" w:eastAsia="zh-CN"/>
        </w:rPr>
        <w:t>30日内</w:t>
      </w:r>
      <w:r>
        <w:rPr>
          <w:rStyle w:val="8"/>
          <w:rFonts w:hint="eastAsia" w:ascii="仿宋" w:hAnsi="仿宋" w:eastAsia="仿宋" w:cs="仿宋"/>
          <w:b w:val="0"/>
          <w:bCs w:val="0"/>
          <w:i w:val="0"/>
          <w:iCs w:val="0"/>
          <w:caps w:val="0"/>
          <w:color w:val="222222"/>
          <w:spacing w:val="0"/>
          <w:sz w:val="28"/>
          <w:szCs w:val="28"/>
          <w:lang w:eastAsia="zh-CN"/>
        </w:rPr>
        <w:t>，</w:t>
      </w:r>
      <w:r>
        <w:rPr>
          <w:rStyle w:val="8"/>
          <w:rFonts w:hint="eastAsia" w:ascii="仿宋" w:hAnsi="仿宋" w:eastAsia="仿宋" w:cs="仿宋"/>
          <w:b w:val="0"/>
          <w:bCs w:val="0"/>
          <w:i w:val="0"/>
          <w:iCs w:val="0"/>
          <w:caps w:val="0"/>
          <w:color w:val="222222"/>
          <w:spacing w:val="0"/>
          <w:sz w:val="28"/>
          <w:szCs w:val="28"/>
          <w:lang w:val="en-US" w:eastAsia="zh-CN"/>
        </w:rPr>
        <w:t>质保期满后</w:t>
      </w:r>
      <w:r>
        <w:rPr>
          <w:rStyle w:val="8"/>
          <w:rFonts w:hint="eastAsia" w:ascii="仿宋" w:hAnsi="仿宋" w:eastAsia="仿宋" w:cs="仿宋"/>
          <w:b w:val="0"/>
          <w:bCs w:val="0"/>
          <w:i w:val="0"/>
          <w:iCs w:val="0"/>
          <w:caps w:val="0"/>
          <w:color w:val="222222"/>
          <w:spacing w:val="0"/>
          <w:sz w:val="28"/>
          <w:szCs w:val="28"/>
          <w:lang w:eastAsia="zh-CN"/>
        </w:rPr>
        <w:t>合同自然终止。</w:t>
      </w:r>
    </w:p>
    <w:p w14:paraId="5CBC100C">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（二）项目履行地点：大竹县人民医院内科大楼二楼口腔科。货物交付采购人之前，货物的损毁、灭失风险由供应商承担。</w:t>
      </w:r>
    </w:p>
    <w:p w14:paraId="66719CD9">
      <w:pPr>
        <w:pStyle w:val="9"/>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（三）付款方式</w:t>
      </w:r>
    </w:p>
    <w:p w14:paraId="744DFC41">
      <w:pPr>
        <w:pStyle w:val="12"/>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（1）设备安装调试完成，最终验收合格并交付使用，开具国家认可足额有效票据，达到付款条件起15日内，支付合同总金额的90%；</w:t>
      </w:r>
    </w:p>
    <w:p w14:paraId="3DAC48BA">
      <w:pPr>
        <w:pStyle w:val="12"/>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（2）最终验收合格满壹年后，达到付款条件起15日内，支付合同总金额的10%。</w:t>
      </w:r>
    </w:p>
    <w:p w14:paraId="6D4FE340">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（四）验收交付方式和标准</w:t>
      </w:r>
    </w:p>
    <w:p w14:paraId="6362D5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验收交付标准：按国家相关法律法规、行业标准、技术规范；招标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招标文件相关技术、服务要求、中标供应商投标文件相关响应内容中质量要求和技术指标较严格的原则确定该事项的标准并进行验收。</w:t>
      </w:r>
    </w:p>
    <w:p w14:paraId="6B34E3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交付方法：（1）供应商按合同约定时间将货物交到采购人指定地点，并完成安装调试培训，验收合格后交付使用(如由于采购人的原因造成延迟交付的，时间顺延)。（2）项目验收由采购人组织，按照《财政部关于进一步加强政府采购需求和履约验收管理的指导意见》（财库[2016]205号）、《政府采购需求管理办法》财库〔2021〕22号以及国家相关规定进行验收。</w:t>
      </w:r>
    </w:p>
    <w:p w14:paraId="4C87CC9E">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（五）货物包装、运输要求</w:t>
      </w:r>
    </w:p>
    <w:p w14:paraId="51BED310">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1F9972C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25B7C7D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（六）质量保修范围和保修期</w:t>
      </w:r>
    </w:p>
    <w:p w14:paraId="162B8AC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质保期为最终验收合格后≥贰年。质保期内货物质量出现问题，成交供应商应负责包修、包换、包退，费用由成交供应商负担。如需更换零配件，供应商应保证所更换的零配件与原设备相同规格和品质且是全新的零配件。质保期内如货物经供应商三次维修仍不能达到合同约定的质量标准，视作供应商未能按时交货，采购人有权退货并追究供应商的违约责任。</w:t>
      </w:r>
    </w:p>
    <w:p w14:paraId="5E6CA13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2、质保期后，供应商承诺提供终身售后服务和硬件支持下的软件升级，维修仅收取零配件费用，不收上门费、服务费及差旅费等其他费用，具体运维服务费用由供方和需方协商解决。</w:t>
      </w:r>
    </w:p>
    <w:p w14:paraId="0154583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（七）违约责任与解决争议的方法</w:t>
      </w:r>
    </w:p>
    <w:p w14:paraId="08E9D74E">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违约责任：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4B9D153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7679DE5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6217BC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66FE1E1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176FC267">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供应商应向采购人支付违约金2000元，同时供应商经采购人催告后应继续按合同约定履行合同。合同履行期内3次延迟履约，则供应商应向采购人缴纳合同总价款20%的违约金，同时采购人有权解除合同。</w:t>
      </w:r>
    </w:p>
    <w:p w14:paraId="03177CE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供应商应向采购人支付违约金2000元，合同履行期内供应商出现3次本款所列违约行为，供应商应向采购人支付合同总价款20%的违约金，同时采购人有权解除合同。经采购人同意后，供应商更正瑕疵违约行为后，可以继续按合同约定履行合同。</w:t>
      </w:r>
    </w:p>
    <w:p w14:paraId="56661A2E">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4A5E23E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解决争议：（1）在执行合同中发生的或与合同有关的争端，双方应通过友好协商解决，经协商在15天内不能达成协议时，应提交采购人所在地人民法院诉讼解决。（2）诉讼裁决应为最终决定，并对双方具有约束力。（3）除另有裁决外，诉讼费应由败诉方负担。（4）在诉讼期间，除正在进行诉讼部分外，合同其他部分继续执行。</w:t>
      </w:r>
    </w:p>
    <w:p w14:paraId="5AE92DC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4、</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0E94FFD4">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29CDEA9A">
      <w:pPr>
        <w:pStyle w:val="9"/>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306606AE">
      <w:pPr>
        <w:pStyle w:val="9"/>
        <w:spacing w:line="560" w:lineRule="exact"/>
        <w:ind w:firstLine="560"/>
        <w:rPr>
          <w:rFonts w:hint="eastAsia" w:ascii="仿宋" w:hAnsi="仿宋" w:eastAsia="仿宋" w:cs="仿宋"/>
          <w:b/>
          <w:bCs/>
          <w:sz w:val="28"/>
          <w:szCs w:val="28"/>
          <w:lang w:val="en-US" w:eastAsia="zh-CN"/>
        </w:rPr>
      </w:pPr>
      <w:r>
        <w:rPr>
          <w:rFonts w:hint="eastAsia" w:ascii="仿宋" w:hAnsi="仿宋" w:eastAsia="仿宋" w:cs="仿宋"/>
          <w:sz w:val="28"/>
          <w:szCs w:val="28"/>
          <w:highlight w:val="none"/>
          <w:lang w:val="en-US" w:eastAsia="zh-CN"/>
        </w:rPr>
        <w:t>2、本章内容中有明确的证明材料要求的应提供对应证明材料，否则视为负偏离。</w:t>
      </w:r>
    </w:p>
    <w:p w14:paraId="0605748F">
      <w:pPr>
        <w:pStyle w:val="9"/>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bookmarkStart w:id="1" w:name="_GoBack"/>
      <w:bookmarkEnd w:id="1"/>
    </w:p>
    <w:p w14:paraId="4926219D">
      <w:pPr>
        <w:pStyle w:val="9"/>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11CF99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15036"/>
    <w:rsid w:val="19FA4D70"/>
    <w:rsid w:val="6B6B1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4">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styleId="9">
    <w:name w:val="List Paragraph"/>
    <w:basedOn w:val="1"/>
    <w:autoRedefine/>
    <w:qFormat/>
    <w:uiPriority w:val="0"/>
    <w:pPr>
      <w:ind w:firstLine="420" w:firstLineChars="200"/>
    </w:pPr>
    <w:rPr>
      <w:szCs w:val="24"/>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_1"/>
    <w:next w:val="1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3">
    <w:name w:val="正文_2"/>
    <w:next w:val="1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标题 5（有编号）（绿盟科技）"/>
    <w:basedOn w:val="13"/>
    <w:next w:val="15"/>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5">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6">
    <w:name w:val="参数正文"/>
    <w:basedOn w:val="1"/>
    <w:qFormat/>
    <w:uiPriority w:val="0"/>
    <w:rPr>
      <w:rFonts w:ascii="宋体" w:hAnsi="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6595</Words>
  <Characters>7005</Characters>
  <Lines>0</Lines>
  <Paragraphs>0</Paragraphs>
  <TotalTime>0</TotalTime>
  <ScaleCrop>false</ScaleCrop>
  <LinksUpToDate>false</LinksUpToDate>
  <CharactersWithSpaces>7030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2025-11-05T09:51:00Z</dcterms:created>
  <dc:creator>Administrator</dc:creator>
  <cp:lastModifiedBy>杨渊</cp:lastModifiedBy>
  <dcterms:modified xsi:type="dcterms:W3CDTF">2026-02-09T09:14:15Z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eyJoZGlkIjoiY2Y2MTBmZGIzOTYwMzFkMDI1MjVlNDdhYjY3NDk1ZTAiLCJ1c2VySWQiOiIyMzM3NTg3OTYifQ==</vt:lpwstr>
  </property>
  <property fmtid="{D5CDD505-2E9C-101B-9397-08002B2CF9AE}" pid="4" name="ICV">
    <vt:lpwstr>DC41956BB4664223B3DF21C3A71B1E27_12</vt:lpwstr>
  </property>
</Properties>
</file>