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35F30">
      <w:pPr>
        <w:pStyle w:val="10"/>
        <w:spacing w:line="560" w:lineRule="exact"/>
        <w:ind w:firstLine="562"/>
        <w:jc w:val="center"/>
        <w:rPr>
          <w:rFonts w:hint="default" w:ascii="仿宋" w:hAnsi="仿宋" w:eastAsia="仿宋"/>
          <w:b/>
          <w:sz w:val="28"/>
          <w:szCs w:val="28"/>
          <w:lang w:val="en-US"/>
        </w:rPr>
      </w:pPr>
      <w:r>
        <w:rPr>
          <w:rFonts w:hint="eastAsia" w:ascii="黑体" w:hAnsi="黑体" w:eastAsia="黑体" w:cs="黑体"/>
          <w:b/>
          <w:bCs/>
          <w:kern w:val="0"/>
          <w:sz w:val="28"/>
          <w:szCs w:val="28"/>
          <w:highlight w:val="none"/>
          <w:lang w:val="en-US" w:eastAsia="zh-CN" w:bidi="ar"/>
        </w:rPr>
        <w:t>大竹县人民医院心电图机医用设备采购项目(二次)采购需求</w:t>
      </w:r>
    </w:p>
    <w:p w14:paraId="543D45C6">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一、采购内容</w:t>
      </w:r>
    </w:p>
    <w:p w14:paraId="50BA4FDB">
      <w:pPr>
        <w:pStyle w:val="11"/>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tbl>
      <w:tblPr>
        <w:tblStyle w:val="5"/>
        <w:tblpPr w:leftFromText="180" w:rightFromText="180" w:vertAnchor="text" w:horzAnchor="page" w:tblpX="1653" w:tblpY="29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1676"/>
        <w:gridCol w:w="2629"/>
        <w:gridCol w:w="2690"/>
      </w:tblGrid>
      <w:tr w14:paraId="4A05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25" w:type="dxa"/>
            <w:vAlign w:val="center"/>
          </w:tcPr>
          <w:p w14:paraId="3C671FCB">
            <w:pPr>
              <w:pStyle w:val="11"/>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货物名称/标的名称</w:t>
            </w:r>
          </w:p>
        </w:tc>
        <w:tc>
          <w:tcPr>
            <w:tcW w:w="1676" w:type="dxa"/>
            <w:vAlign w:val="center"/>
          </w:tcPr>
          <w:p w14:paraId="6E39A0A4">
            <w:pPr>
              <w:pStyle w:val="11"/>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数量及单位</w:t>
            </w:r>
          </w:p>
        </w:tc>
        <w:tc>
          <w:tcPr>
            <w:tcW w:w="2629" w:type="dxa"/>
            <w:vAlign w:val="center"/>
          </w:tcPr>
          <w:p w14:paraId="13AE52FD">
            <w:pPr>
              <w:pStyle w:val="11"/>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单价最高限价（元）</w:t>
            </w:r>
          </w:p>
        </w:tc>
        <w:tc>
          <w:tcPr>
            <w:tcW w:w="2690" w:type="dxa"/>
            <w:vAlign w:val="center"/>
          </w:tcPr>
          <w:p w14:paraId="64786533">
            <w:pPr>
              <w:pStyle w:val="11"/>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包一预算金额（元）</w:t>
            </w:r>
          </w:p>
        </w:tc>
      </w:tr>
      <w:tr w14:paraId="4B28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325" w:type="dxa"/>
            <w:vAlign w:val="center"/>
          </w:tcPr>
          <w:p w14:paraId="6452CBF1">
            <w:pPr>
              <w:pStyle w:val="10"/>
              <w:spacing w:line="560" w:lineRule="exact"/>
              <w:ind w:firstLine="56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心电图机</w:t>
            </w:r>
          </w:p>
        </w:tc>
        <w:tc>
          <w:tcPr>
            <w:tcW w:w="1676" w:type="dxa"/>
            <w:vAlign w:val="center"/>
          </w:tcPr>
          <w:p w14:paraId="12738EBD">
            <w:pPr>
              <w:pStyle w:val="10"/>
              <w:spacing w:line="560" w:lineRule="exact"/>
              <w:ind w:firstLine="56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3台</w:t>
            </w:r>
          </w:p>
        </w:tc>
        <w:tc>
          <w:tcPr>
            <w:tcW w:w="2629" w:type="dxa"/>
            <w:vAlign w:val="center"/>
          </w:tcPr>
          <w:p w14:paraId="499D4614">
            <w:pPr>
              <w:pStyle w:val="10"/>
              <w:spacing w:line="560" w:lineRule="exact"/>
              <w:ind w:firstLine="56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30800</w:t>
            </w:r>
          </w:p>
        </w:tc>
        <w:tc>
          <w:tcPr>
            <w:tcW w:w="2690" w:type="dxa"/>
            <w:vAlign w:val="center"/>
          </w:tcPr>
          <w:p w14:paraId="33B4899E">
            <w:pPr>
              <w:pStyle w:val="10"/>
              <w:spacing w:line="560" w:lineRule="exact"/>
              <w:ind w:firstLine="56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92400</w:t>
            </w:r>
          </w:p>
        </w:tc>
      </w:tr>
    </w:tbl>
    <w:p w14:paraId="2135A113">
      <w:pPr>
        <w:shd w:val="clear" w:color="auto" w:fill="FFFFFF"/>
        <w:tabs>
          <w:tab w:val="left" w:pos="1440"/>
        </w:tabs>
        <w:spacing w:line="420" w:lineRule="atLeast"/>
        <w:ind w:firstLine="482" w:firstLineChars="200"/>
        <w:rPr>
          <w:rFonts w:hint="default" w:ascii="仿宋" w:hAnsi="仿宋" w:eastAsia="仿宋" w:cs="仿宋"/>
          <w:color w:val="FF0000"/>
          <w:kern w:val="2"/>
          <w:sz w:val="28"/>
          <w:szCs w:val="28"/>
          <w:highlight w:val="none"/>
          <w:lang w:val="en-US" w:eastAsia="zh-CN" w:bidi="ar-SA"/>
        </w:rPr>
      </w:pPr>
      <w:r>
        <w:rPr>
          <w:rFonts w:hint="eastAsia" w:hAnsi="宋体" w:eastAsia="宋体"/>
          <w:b/>
          <w:bCs/>
          <w:sz w:val="24"/>
          <w:szCs w:val="24"/>
        </w:rPr>
        <w:t>注：</w:t>
      </w:r>
      <w:r>
        <w:rPr>
          <w:rFonts w:hint="eastAsia" w:hAnsi="宋体"/>
          <w:b/>
          <w:bCs/>
          <w:sz w:val="24"/>
          <w:szCs w:val="24"/>
        </w:rPr>
        <w:t>供应商须在响应文件中单独提供</w:t>
      </w:r>
      <w:r>
        <w:rPr>
          <w:rFonts w:hint="eastAsia" w:hAnsi="宋体" w:eastAsia="宋体"/>
          <w:b/>
          <w:bCs/>
          <w:sz w:val="24"/>
          <w:szCs w:val="24"/>
        </w:rPr>
        <w:t>设备</w:t>
      </w:r>
      <w:r>
        <w:rPr>
          <w:rFonts w:hint="eastAsia" w:hAnsi="宋体"/>
          <w:b/>
          <w:bCs/>
          <w:sz w:val="24"/>
          <w:szCs w:val="24"/>
        </w:rPr>
        <w:t>配置清单（不同产品分别提供，配置清单格式参见</w:t>
      </w:r>
      <w:r>
        <w:rPr>
          <w:rFonts w:hint="eastAsia" w:hAnsi="宋体"/>
          <w:b/>
          <w:bCs/>
          <w:sz w:val="24"/>
          <w:szCs w:val="24"/>
          <w:lang w:val="en-US" w:eastAsia="zh-CN"/>
        </w:rPr>
        <w:t>第九章附件7</w:t>
      </w:r>
      <w:r>
        <w:rPr>
          <w:rFonts w:hint="eastAsia" w:hAnsi="宋体"/>
          <w:b/>
          <w:bCs/>
          <w:sz w:val="24"/>
          <w:szCs w:val="24"/>
        </w:rPr>
        <w:t>），采购人将以此为依据进行验收。</w:t>
      </w:r>
    </w:p>
    <w:p w14:paraId="3E8309E5">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sz w:val="28"/>
          <w:szCs w:val="28"/>
          <w:highlight w:val="none"/>
          <w:lang w:eastAsia="zh-CN"/>
        </w:rPr>
        <w:t>技术参数要求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4559883B">
      <w:pPr>
        <w:pStyle w:val="10"/>
        <w:spacing w:line="560" w:lineRule="exact"/>
        <w:ind w:firstLine="56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采购包1：</w:t>
      </w:r>
    </w:p>
    <w:p w14:paraId="0C52E458">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货物名称/标的名称：心电图机</w:t>
      </w:r>
    </w:p>
    <w:p w14:paraId="76EAE14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用途：用于临床心电图检查</w:t>
      </w:r>
    </w:p>
    <w:p w14:paraId="2AC765F5">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技术参数要求：</w:t>
      </w:r>
    </w:p>
    <w:p w14:paraId="4765E24B">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（一）硬件参数</w:t>
      </w:r>
    </w:p>
    <w:p w14:paraId="1EBCBB5C">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1、导联模式：12导联同步采集，支持wilson和cabrera两种导联体系。</w:t>
      </w:r>
    </w:p>
    <w:p w14:paraId="47C45505">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2、输入阻抗：≥100MΩ。</w:t>
      </w:r>
    </w:p>
    <w:p w14:paraId="1A7679FC">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3、耐极化电压：≥±950mV（±5%）。</w:t>
      </w:r>
    </w:p>
    <w:p w14:paraId="6B5F04AC">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4、除颤保护：具有抗除颤电击保护功能。</w:t>
      </w:r>
    </w:p>
    <w:p w14:paraId="44A7079E">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5、心电波形采样率：≥ 60,000 Hz/秒/通道。</w:t>
      </w:r>
    </w:p>
    <w:p w14:paraId="2948D4AA">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6、设备内置存储器：≥24GB内存。</w:t>
      </w:r>
    </w:p>
    <w:p w14:paraId="21E8EAE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7、外部扩展：支持外接U盘扩展存储空间，支持SD卡存储。</w:t>
      </w:r>
    </w:p>
    <w:p w14:paraId="506FF2FD">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8、内置可充电电池，充足后设备可正常工作时间≥8小时。</w:t>
      </w:r>
    </w:p>
    <w:p w14:paraId="2570E25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9、可通过蓝牙传输来分享心电图报告。可选的报告格式至少有PDF、JPG。</w:t>
      </w:r>
    </w:p>
    <w:p w14:paraId="07B4213B">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10、设备内置可打印报告功能。</w:t>
      </w:r>
    </w:p>
    <w:p w14:paraId="1B811DD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11、自动分析功能：能进行十二导联同步分析测量；具有自动分析功能。</w:t>
      </w:r>
    </w:p>
    <w:p w14:paraId="49446BCE">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12、设备使用年限≥10年</w:t>
      </w:r>
    </w:p>
    <w:p w14:paraId="1B4DCD34">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（二）软件要求</w:t>
      </w:r>
    </w:p>
    <w:p w14:paraId="19A965CD">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1、配备软件可实现打印报告、保存患者信息等功能。</w:t>
      </w:r>
    </w:p>
    <w:p w14:paraId="30A19DCD">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2、配套软件可接入HIS系统。</w:t>
      </w:r>
    </w:p>
    <w:p w14:paraId="3391DA68">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3、设备与软件通讯方式：移动互联网、无线Wi-Fi、有线网络接口等。</w:t>
      </w:r>
    </w:p>
    <w:p w14:paraId="08BA0963">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（三）整机配置</w:t>
      </w:r>
    </w:p>
    <w:p w14:paraId="59B435F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1、屏幕尺寸≥10英寸，支持全屏多点触控，显示分辨率≥1920×1200。</w:t>
      </w:r>
    </w:p>
    <w:p w14:paraId="04B3CAA2">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2、外部接口：USB接口，12导导联线接口，有线网络接口等。</w:t>
      </w:r>
    </w:p>
    <w:p w14:paraId="142B2EF8">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3、无线传输：蓝牙4.2，无线Wi-Fi支持2.4GHz/5GHz双频段、内置SIM卡槽支持移动网络传输。</w:t>
      </w:r>
    </w:p>
    <w:p w14:paraId="43B010C5">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4、整机配置标准化台车，满足病房巡检。</w:t>
      </w:r>
    </w:p>
    <w:p w14:paraId="5CDB437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（四）配置要求</w:t>
      </w:r>
    </w:p>
    <w:p w14:paraId="4BE2D7E4">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1、主机（自带打印功能）3台</w:t>
      </w:r>
    </w:p>
    <w:p w14:paraId="710B4565">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2、心电导联线及配套耗材3套</w:t>
      </w:r>
    </w:p>
    <w:p w14:paraId="0CA1FA30">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3、电源线及电源适配器3套</w:t>
      </w:r>
    </w:p>
    <w:p w14:paraId="2531173F">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4、内置电池3块</w:t>
      </w:r>
    </w:p>
    <w:p w14:paraId="4F84FCA2">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5、台车3辆</w:t>
      </w:r>
    </w:p>
    <w:p w14:paraId="6B74706A">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6、配套软件3套</w:t>
      </w:r>
    </w:p>
    <w:p w14:paraId="5F057203">
      <w:pPr>
        <w:adjustRightInd w:val="0"/>
        <w:snapToGrid w:val="0"/>
        <w:spacing w:line="560" w:lineRule="exact"/>
        <w:ind w:firstLine="562" w:firstLineChars="200"/>
        <w:rPr>
          <w:rFonts w:hint="eastAsia" w:ascii="仿宋" w:hAnsi="仿宋" w:eastAsia="仿宋" w:cs="仿宋"/>
          <w:b/>
          <w:bCs/>
          <w:sz w:val="28"/>
          <w:szCs w:val="28"/>
          <w:highlight w:val="none"/>
          <w:lang w:eastAsia="zh-CN"/>
        </w:rPr>
      </w:pPr>
      <w:bookmarkStart w:id="0" w:name="_Toc25039"/>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lang w:eastAsia="zh-CN"/>
        </w:rPr>
        <w:t>商务要求</w:t>
      </w:r>
      <w:bookmarkEnd w:id="0"/>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232A0EC">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1、交货时间：为合同签订生效后的30日内。</w:t>
      </w:r>
    </w:p>
    <w:p w14:paraId="564776C8">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交货地点：四川省大竹县白塔街道青年路99号；大竹县人民医院大竹县人民医院外科医技大楼1楼急诊医学科、3楼功能科，门诊部5楼健康管理中心。由供应商负责送货至医院指定地点，并承担一切运输费用，包括到医院指定地点的搬运费。</w:t>
      </w:r>
    </w:p>
    <w:p w14:paraId="09BC27BC">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3、包装要求：</w:t>
      </w:r>
    </w:p>
    <w:p w14:paraId="769FA2A9">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w:t>
      </w:r>
      <w:r>
        <w:rPr>
          <w:rFonts w:hint="eastAsia" w:ascii="仿宋" w:hAnsi="仿宋" w:eastAsia="仿宋" w:cs="仿宋"/>
          <w:sz w:val="28"/>
          <w:szCs w:val="28"/>
          <w:highlight w:val="none"/>
          <w:lang w:val="en-US" w:eastAsia="zh-CN"/>
        </w:rPr>
        <w:t>1）中标人所出售的全部货物均应满足远距离运输、防潮、防震、防锈和防野蛮装卸等要求，确保货物安全无损运抵指定地点，符合环保和国家强制要求。</w:t>
      </w:r>
    </w:p>
    <w:p w14:paraId="3868726F">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（2）每一个包装箱内应附详细装箱清单。</w:t>
      </w:r>
    </w:p>
    <w:p w14:paraId="7213F908">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项目涉及商品包装和快递包装的，除另有要求外，中标人所出售的货物包装应当参照财政部办公厅、生态环境部办公厅及国家邮政局办公室联合发布的《商品包装政府采购需求标准(试行)》《快递包装政府采购需求标准(试行)》等要求执行。</w:t>
      </w:r>
    </w:p>
    <w:p w14:paraId="31123E15">
      <w:pPr>
        <w:pStyle w:val="10"/>
        <w:spacing w:line="560" w:lineRule="exact"/>
        <w:ind w:firstLine="560"/>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（4）运输费、装卸费由中标人承担。</w:t>
      </w:r>
    </w:p>
    <w:p w14:paraId="6F6E3FAD">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4、资金支付方式：</w:t>
      </w:r>
    </w:p>
    <w:p w14:paraId="10594868">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（1）安装调试完成、交付使用、验收合格、开具正式票据后，达到付款条件起15日内，支付合同总金额的90%；</w:t>
      </w:r>
    </w:p>
    <w:p w14:paraId="2F0D1504">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（2）免费维保期1年后，达到付款条件起15日内，支付合同总金额的10%。</w:t>
      </w:r>
    </w:p>
    <w:p w14:paraId="09AD55A1">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5、提供的设备出厂日期必须在180天以内，否则拒绝接受设备，视为实质性违约。</w:t>
      </w:r>
    </w:p>
    <w:p w14:paraId="3D02C499">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6、安装、调试、培训</w:t>
      </w:r>
    </w:p>
    <w:p w14:paraId="7F86ADC4">
      <w:pPr>
        <w:pStyle w:val="10"/>
        <w:spacing w:line="560" w:lineRule="exact"/>
        <w:ind w:firstLine="560"/>
        <w:rPr>
          <w:rFonts w:hint="eastAsia" w:ascii="仿宋" w:hAnsi="仿宋" w:eastAsia="仿宋" w:cs="仿宋"/>
          <w:sz w:val="28"/>
          <w:szCs w:val="28"/>
          <w:highlight w:val="none"/>
          <w:lang w:val="en-US" w:eastAsia="zh-CN"/>
        </w:rPr>
      </w:pPr>
      <w:bookmarkStart w:id="1" w:name="_Hlk131507646"/>
      <w:r>
        <w:rPr>
          <w:rFonts w:hint="eastAsia" w:ascii="仿宋" w:hAnsi="仿宋" w:eastAsia="仿宋" w:cs="仿宋"/>
          <w:sz w:val="28"/>
          <w:szCs w:val="28"/>
          <w:highlight w:val="none"/>
          <w:lang w:val="en-US" w:eastAsia="zh-CN"/>
        </w:rPr>
        <w:t>（1）合同签订后7日内，供应商需向采购人提供全面的机房建筑设计、供水供电、专用地线技术要求等设计图纸及安装条件的技术要求（如适用），并派专人现场进行技术服务和指导。</w:t>
      </w:r>
    </w:p>
    <w:p w14:paraId="5C94E788">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（2）合同签订30日内，供应商完成供货并开始安装、调试。如因供应商责任而造成延期，所有因延期而产生的费用及造成的后果及损失由供应商承担。</w:t>
      </w:r>
      <w:bookmarkEnd w:id="1"/>
    </w:p>
    <w:p w14:paraId="3CE62E90">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（3）供应商应提供完整的培训计划和方案。负责免费培训设备使用操作和维修维护人员，并提供有效的培训资料。如因产品质量和使用培训不到位造成医疗纠纷或医疗事故由供应商承担一切责任和损失。</w:t>
      </w:r>
    </w:p>
    <w:p w14:paraId="2D43D030">
      <w:pPr>
        <w:pStyle w:val="10"/>
        <w:spacing w:line="560" w:lineRule="exact"/>
        <w:ind w:firstLine="560"/>
        <w:rPr>
          <w:rFonts w:hint="eastAsia" w:ascii="仿宋" w:hAnsi="仿宋" w:eastAsia="仿宋" w:cs="仿宋"/>
          <w:kern w:val="2"/>
          <w:sz w:val="28"/>
          <w:szCs w:val="28"/>
          <w:lang w:val="en-US" w:eastAsia="zh-CN" w:bidi="ar-SA"/>
        </w:rPr>
      </w:pPr>
      <w:r>
        <w:rPr>
          <w:rFonts w:hint="eastAsia" w:ascii="仿宋" w:hAnsi="仿宋" w:eastAsia="仿宋" w:cs="仿宋"/>
          <w:sz w:val="28"/>
          <w:szCs w:val="28"/>
          <w:highlight w:val="none"/>
          <w:lang w:val="en-US" w:eastAsia="zh-CN"/>
        </w:rPr>
        <w:t>7、</w:t>
      </w:r>
      <w:r>
        <w:rPr>
          <w:rFonts w:hint="eastAsia" w:ascii="仿宋" w:hAnsi="仿宋" w:eastAsia="仿宋" w:cs="仿宋"/>
          <w:kern w:val="2"/>
          <w:sz w:val="28"/>
          <w:szCs w:val="28"/>
          <w:lang w:val="en-US" w:eastAsia="zh-CN" w:bidi="ar-SA"/>
        </w:rPr>
        <w:t>验收标准</w:t>
      </w:r>
    </w:p>
    <w:p w14:paraId="561FBD84">
      <w:pPr>
        <w:pStyle w:val="10"/>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国家相关法律法规、行业标准、技术规范；采购文件相关技术、服务要求、中标供应商响应文件相关响应内容；中标产品生产厂家出具的产品说明书、技术白皮书、医疗器械注册证或备案凭证等技术资料(如涉及)；如验收时双方对技术指标、质量要求等约定标准有相互抵触或异议的事项,双方须按照国家相关规定及采购文件相关技术、服务要求、中标供应商响应文件相关响应内容中质量要求和技术指标较严格的原则确定该事项的标准并进行验收；按照《财政部关于进一步加强政府采购需求和履约验收管理的指导意见》(财库(2016)205号)的要求进行验收。</w:t>
      </w:r>
    </w:p>
    <w:p w14:paraId="6011903F">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8、售后服务内容及要求</w:t>
      </w:r>
    </w:p>
    <w:p w14:paraId="48625045">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（1）供应商负责安装、调试，其费用包含在项目报价内。</w:t>
      </w:r>
    </w:p>
    <w:p w14:paraId="2F23ED04">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（2）供应商负责提供操作（使用）培训，保证操作（使用）人员能熟练操作（使用），并对该设备能进行日常维护，如未达到，医院有权延后支付合同所约定款项。培训费用包含在项目报价内。</w:t>
      </w:r>
    </w:p>
    <w:p w14:paraId="6CA6950B">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质保期为最终验收合格后≥壹年，保修范围为整套设备。质保期内货物质量出现问题，成交供应商应负责包修、包换、包退，费用由成交供应商负担。如需更换零配件，供应商应保证所更换的零配件与原设备相同规格和品质且是全新的零配件。质保期内如货物经供应商两次维修仍不能达到合同约定的质量标准，视作供应商未能按时交货，采购人有权退货并追究供应商的违约责任。保修期外成交供应商仍应提供设备的终身维修服务和硬件支持下的软件升级，具体运维服务费用由供方和需方沟通协商解决。</w:t>
      </w:r>
    </w:p>
    <w:p w14:paraId="30444372">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（4）质保期后，供应商承诺提供终身售后服务，维修仅收取零配件费用，不收上门费、服务费及差旅费等其他费用。</w:t>
      </w:r>
    </w:p>
    <w:p w14:paraId="1CA84834">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（5）售后服务响应时间：供应商应在接到售后服务通知后 12 小时内响应,48小时内到场维修。</w:t>
      </w:r>
    </w:p>
    <w:p w14:paraId="354CB13C">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（6）质保期内，每年提供≥4次维护保养，其费用包含在项目报价内。</w:t>
      </w:r>
    </w:p>
    <w:p w14:paraId="6F4DBE05">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（7）提供主要零配件和消耗品的价目清单。</w:t>
      </w:r>
    </w:p>
    <w:p w14:paraId="7FAC40BD">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9、违约责任</w:t>
      </w:r>
    </w:p>
    <w:p w14:paraId="319293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7"/>
          <w:rFonts w:hint="eastAsia"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（1）双方必须遵守合同并执行合同中的各项规定，保证本合同的正常履行。</w:t>
      </w:r>
    </w:p>
    <w:p w14:paraId="2A4C37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7"/>
          <w:rFonts w:hint="eastAsia"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 xml:space="preserve">（2）如因供应商工作人员在履行职务过程中的疏忽、失职、过错等故意或者过失原因给采购方造成损失或侵害，包括但不限于采购方本身的财产损失、由此而导致的采购方对任何第三方的法律责任等，供应商对此均应承担全部的赔偿责任。 </w:t>
      </w:r>
    </w:p>
    <w:p w14:paraId="472A47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7"/>
          <w:rFonts w:hint="eastAsia"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10、解决争议</w:t>
      </w:r>
    </w:p>
    <w:p w14:paraId="2B8DA36D">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7"/>
          <w:rFonts w:hint="eastAsia"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在执行合同中发生的或与合同有关的争端，双方应通过友好协商解决，经协商在15天内不能达成协议时，应提交合同履行地人民法院诉讼解决。</w:t>
      </w:r>
    </w:p>
    <w:p w14:paraId="1A1F930C">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outlineLvl w:val="5"/>
        <w:rPr>
          <w:rStyle w:val="7"/>
          <w:rFonts w:hint="eastAsia"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诉讼裁决应为最终决定，并对双方具有约束力。</w:t>
      </w:r>
    </w:p>
    <w:p w14:paraId="153254E5">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outlineLvl w:val="5"/>
        <w:rPr>
          <w:rStyle w:val="7"/>
          <w:rFonts w:hint="default"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除另有裁决外，诉讼费应由败诉方负担。</w:t>
      </w:r>
    </w:p>
    <w:p w14:paraId="28587B2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outlineLvl w:val="5"/>
        <w:rPr>
          <w:rStyle w:val="7"/>
          <w:rFonts w:hint="default" w:ascii="仿宋" w:hAnsi="仿宋" w:eastAsia="仿宋" w:cs="仿宋"/>
          <w:b w:val="0"/>
          <w:bCs w:val="0"/>
          <w:i w:val="0"/>
          <w:iCs w:val="0"/>
          <w:caps w:val="0"/>
          <w:color w:val="222222"/>
          <w:spacing w:val="0"/>
          <w:sz w:val="28"/>
          <w:szCs w:val="28"/>
          <w:lang w:val="en-US" w:eastAsia="zh-CN"/>
        </w:rPr>
      </w:pPr>
      <w:r>
        <w:rPr>
          <w:rStyle w:val="7"/>
          <w:rFonts w:hint="eastAsia" w:ascii="仿宋" w:hAnsi="仿宋" w:eastAsia="仿宋" w:cs="仿宋"/>
          <w:b w:val="0"/>
          <w:bCs w:val="0"/>
          <w:i w:val="0"/>
          <w:iCs w:val="0"/>
          <w:caps w:val="0"/>
          <w:color w:val="222222"/>
          <w:spacing w:val="0"/>
          <w:sz w:val="28"/>
          <w:szCs w:val="28"/>
          <w:lang w:val="en-US" w:eastAsia="zh-CN"/>
        </w:rPr>
        <w:t>在诉讼期间，除正在进行诉讼部分外，合同其他部分继续执行。</w:t>
      </w:r>
    </w:p>
    <w:p w14:paraId="7C7033C4">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highlight w:val="none"/>
          <w:lang w:eastAsia="zh-CN"/>
        </w:rPr>
      </w:pPr>
      <w:bookmarkStart w:id="2" w:name="_Toc17126"/>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lang w:eastAsia="zh-CN"/>
        </w:rPr>
        <w:t>其他要求</w:t>
      </w:r>
      <w:bookmarkEnd w:id="2"/>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0BF49CA3">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1、本章技术参数中有明确的证明材料要求的应提供对应证明材料，否则视为负偏离。</w:t>
      </w:r>
    </w:p>
    <w:p w14:paraId="3F76C6C1">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2、本章的内容为本次采购项目的实质性要求，不允许有负偏离。</w:t>
      </w:r>
    </w:p>
    <w:p w14:paraId="568943AB">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3、供应商需提供厂家彩页或白皮书或检测报告复印件或重要功能截图等佐证材料（具体技术参数中有明确的证明材料要求的以具体技术参数中的要求为准），如无佐证材料的，视为负偏离。</w:t>
      </w:r>
    </w:p>
    <w:p w14:paraId="6CC6C4F0">
      <w:pPr>
        <w:pStyle w:val="10"/>
        <w:spacing w:line="560" w:lineRule="exact"/>
        <w:ind w:left="0" w:leftChars="0" w:firstLine="0" w:firstLineChars="0"/>
      </w:pPr>
      <w:bookmarkStart w:id="4" w:name="_GoBack"/>
      <w:bookmarkEnd w:id="4"/>
      <w:bookmarkStart w:id="3" w:name="★4.4 违约处理"/>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E8859BCF">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CD00B"/>
    <w:multiLevelType w:val="singleLevel"/>
    <w:tmpl w:val="CD5CD0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A2"/>
    <w:rsid w:val="000E1703"/>
    <w:rsid w:val="00521821"/>
    <w:rsid w:val="009F4EE6"/>
    <w:rsid w:val="00E11BA2"/>
    <w:rsid w:val="00E858DB"/>
    <w:rsid w:val="14B24416"/>
    <w:rsid w:val="253043DD"/>
    <w:rsid w:val="45790B64"/>
    <w:rsid w:val="4CE23492"/>
    <w:rsid w:val="500C34B0"/>
    <w:rsid w:val="5D101956"/>
    <w:rsid w:val="775A3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6"/>
    <w:basedOn w:val="1"/>
    <w:next w:val="1"/>
    <w:link w:val="8"/>
    <w:qFormat/>
    <w:uiPriority w:val="99"/>
    <w:pPr>
      <w:spacing w:before="100" w:beforeAutospacing="1" w:after="100" w:afterAutospacing="1"/>
      <w:jc w:val="left"/>
      <w:outlineLvl w:val="5"/>
    </w:pPr>
    <w:rPr>
      <w:rFonts w:ascii="宋体" w:hAnsi="宋体" w:cs="宋体"/>
      <w:b/>
      <w:bCs/>
      <w:kern w:val="0"/>
      <w:sz w:val="15"/>
      <w:szCs w:val="15"/>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9"/>
    <w:unhideWhenUsed/>
    <w:qFormat/>
    <w:uiPriority w:val="99"/>
    <w:pPr>
      <w:spacing w:before="100" w:beforeAutospacing="1" w:after="120"/>
    </w:pPr>
  </w:style>
  <w:style w:type="paragraph" w:styleId="4">
    <w:name w:val="Body Text First Indent"/>
    <w:basedOn w:val="3"/>
    <w:link w:val="14"/>
    <w:semiHidden/>
    <w:unhideWhenUsed/>
    <w:qFormat/>
    <w:uiPriority w:val="99"/>
    <w:pPr>
      <w:spacing w:before="0" w:beforeAutospacing="0"/>
      <w:ind w:firstLine="420" w:firstLineChars="100"/>
    </w:pPr>
  </w:style>
  <w:style w:type="character" w:styleId="7">
    <w:name w:val="Strong"/>
    <w:basedOn w:val="6"/>
    <w:qFormat/>
    <w:uiPriority w:val="0"/>
    <w:rPr>
      <w:b/>
    </w:rPr>
  </w:style>
  <w:style w:type="character" w:customStyle="1" w:styleId="8">
    <w:name w:val="标题 6 Char"/>
    <w:basedOn w:val="6"/>
    <w:link w:val="2"/>
    <w:qFormat/>
    <w:uiPriority w:val="99"/>
    <w:rPr>
      <w:rFonts w:ascii="宋体" w:hAnsi="宋体" w:eastAsia="宋体" w:cs="宋体"/>
      <w:b/>
      <w:bCs/>
      <w:kern w:val="0"/>
      <w:sz w:val="15"/>
      <w:szCs w:val="15"/>
    </w:rPr>
  </w:style>
  <w:style w:type="character" w:customStyle="1" w:styleId="9">
    <w:name w:val="正文文本 Char"/>
    <w:basedOn w:val="6"/>
    <w:link w:val="3"/>
    <w:qFormat/>
    <w:uiPriority w:val="99"/>
    <w:rPr>
      <w:rFonts w:ascii="Times New Roman" w:hAnsi="Times New Roman" w:eastAsia="宋体" w:cs="Times New Roman"/>
      <w:szCs w:val="21"/>
    </w:rPr>
  </w:style>
  <w:style w:type="paragraph" w:customStyle="1" w:styleId="10">
    <w:name w:val="List Paragraph"/>
    <w:basedOn w:val="1"/>
    <w:qFormat/>
    <w:uiPriority w:val="0"/>
    <w:pPr>
      <w:ind w:firstLine="420" w:firstLineChars="200"/>
    </w:pPr>
  </w:style>
  <w:style w:type="paragraph" w:customStyle="1" w:styleId="11">
    <w:name w:val="null3"/>
    <w:basedOn w:val="1"/>
    <w:qFormat/>
    <w:uiPriority w:val="0"/>
    <w:pPr>
      <w:widowControl/>
      <w:jc w:val="left"/>
    </w:pPr>
    <w:rPr>
      <w:rFonts w:ascii="Calibri" w:hAnsi="Calibri"/>
      <w:kern w:val="0"/>
      <w:sz w:val="24"/>
      <w:szCs w:val="24"/>
    </w:rPr>
  </w:style>
  <w:style w:type="paragraph" w:customStyle="1" w:styleId="12">
    <w:name w:val="正文_1"/>
    <w:basedOn w:val="1"/>
    <w:next w:val="1"/>
    <w:qFormat/>
    <w:uiPriority w:val="0"/>
    <w:pPr>
      <w:spacing w:line="480" w:lineRule="exact"/>
    </w:pPr>
  </w:style>
  <w:style w:type="character" w:customStyle="1" w:styleId="13">
    <w:name w:val="15"/>
    <w:basedOn w:val="6"/>
    <w:qFormat/>
    <w:uiPriority w:val="0"/>
    <w:rPr>
      <w:rFonts w:hint="default" w:ascii="Calibri" w:hAnsi="Calibri" w:cs="Calibri"/>
      <w:b/>
    </w:rPr>
  </w:style>
  <w:style w:type="character" w:customStyle="1" w:styleId="14">
    <w:name w:val="正文首行缩进 Char"/>
    <w:basedOn w:val="9"/>
    <w:link w:val="4"/>
    <w:semiHidden/>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2692</Words>
  <Characters>2799</Characters>
  <Lines>62</Lines>
  <Paragraphs>17</Paragraphs>
  <TotalTime>0</TotalTime>
  <ScaleCrop>false</ScaleCrop>
  <LinksUpToDate>false</LinksUpToDate>
  <CharactersWithSpaces>2806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2026-01-04T09:20:00Z</dcterms:created>
  <dc:creator>PC</dc:creator>
  <cp:lastModifiedBy>周云霞</cp:lastModifiedBy>
  <dcterms:modified xsi:type="dcterms:W3CDTF">2026-02-06T08:35:35Z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eyJoZGlkIjoiYzlkMmZkYmE5MjIyMjVmOTNjMjM2NjBkYzIyMmEyMDUiLCJ1c2VySWQiOiIzNTI2ODc0MzAifQ==</vt:lpwstr>
  </property>
  <property fmtid="{D5CDD505-2E9C-101B-9397-08002B2CF9AE}" pid="3" name="KSOProductBuildVer">
    <vt:lpwstr>2052-12.1.0.24657</vt:lpwstr>
  </property>
  <property fmtid="{D5CDD505-2E9C-101B-9397-08002B2CF9AE}" pid="4" name="ICV">
    <vt:lpwstr>3E892C0FAC0E436E8B4716AA329CB817_13</vt:lpwstr>
  </property>
</Properties>
</file>