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BEDB6">
      <w:pPr>
        <w:jc w:val="center"/>
        <w:rPr>
          <w:rFonts w:hint="eastAsia" w:ascii="方正公文小标宋" w:hAnsi="方正公文小标宋" w:eastAsia="方正公文小标宋" w:cs="方正公文小标宋"/>
          <w:color w:val="auto"/>
          <w:sz w:val="32"/>
          <w:szCs w:val="36"/>
        </w:rPr>
      </w:pPr>
      <w:r>
        <w:rPr>
          <w:rFonts w:hint="eastAsia" w:ascii="方正公文小标宋" w:hAnsi="方正公文小标宋" w:eastAsia="方正公文小标宋" w:cs="方正公文小标宋"/>
          <w:color w:val="auto"/>
          <w:sz w:val="32"/>
          <w:szCs w:val="36"/>
        </w:rPr>
        <w:t>达州市公立医院改革与高质量发展示范项目大竹县人民医院智慧医保一体化协同管控平台院内自主采购项目</w:t>
      </w:r>
    </w:p>
    <w:p w14:paraId="03D46FEC">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采购需求</w:t>
      </w:r>
    </w:p>
    <w:p w14:paraId="7A9CC985">
      <w:pPr>
        <w:pStyle w:val="4"/>
        <w:rPr>
          <w:rFonts w:hint="eastAsia" w:ascii="方正公文小标宋" w:hAnsi="方正公文小标宋" w:eastAsia="方正公文小标宋" w:cs="方正公文小标宋"/>
          <w:color w:val="auto"/>
          <w:sz w:val="32"/>
          <w:szCs w:val="36"/>
          <w:lang w:val="en-US" w:eastAsia="zh-CN"/>
        </w:rPr>
      </w:pPr>
    </w:p>
    <w:p w14:paraId="090C3D9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一、采购标的</w:t>
      </w:r>
    </w:p>
    <w:p w14:paraId="495E0F15">
      <w:pPr>
        <w:pStyle w:val="22"/>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BC0F49E">
      <w:pPr>
        <w:pStyle w:val="22"/>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290000.00</w:t>
      </w:r>
    </w:p>
    <w:p w14:paraId="24D4C1DA">
      <w:pPr>
        <w:pStyle w:val="22"/>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290000.00</w:t>
      </w:r>
    </w:p>
    <w:p w14:paraId="61765A50">
      <w:pPr>
        <w:pStyle w:val="7"/>
        <w:spacing w:beforeAutospacing="0" w:afterAutospacing="0" w:line="540" w:lineRule="exact"/>
        <w:ind w:firstLine="42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供应商向采购人提供的服务包括：</w:t>
      </w:r>
    </w:p>
    <w:p w14:paraId="6AF30FE9">
      <w:pPr>
        <w:spacing w:line="560" w:lineRule="exact"/>
        <w:ind w:firstLine="480"/>
        <w:rPr>
          <w:rFonts w:ascii="仿宋" w:hAnsi="仿宋" w:eastAsia="仿宋"/>
          <w:sz w:val="28"/>
          <w:szCs w:val="28"/>
        </w:rPr>
      </w:pPr>
      <w:r>
        <w:rPr>
          <w:rFonts w:hint="eastAsia" w:ascii="仿宋" w:hAnsi="仿宋" w:eastAsia="仿宋" w:cs="黑体"/>
          <w:sz w:val="28"/>
          <w:szCs w:val="28"/>
        </w:rPr>
        <w:t>（一）采购标的清单</w:t>
      </w:r>
    </w:p>
    <w:tbl>
      <w:tblPr>
        <w:tblStyle w:val="9"/>
        <w:tblW w:w="4890" w:type="pct"/>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8"/>
        <w:gridCol w:w="4752"/>
        <w:gridCol w:w="3153"/>
      </w:tblGrid>
      <w:tr w14:paraId="4C712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 w:type="pct"/>
            <w:tcMar>
              <w:left w:w="108" w:type="dxa"/>
              <w:right w:w="108" w:type="dxa"/>
            </w:tcMar>
            <w:vAlign w:val="center"/>
          </w:tcPr>
          <w:p w14:paraId="1508C035">
            <w:pPr>
              <w:pStyle w:val="22"/>
              <w:tabs>
                <w:tab w:val="left" w:pos="210"/>
              </w:tabs>
              <w:spacing w:line="0" w:lineRule="atLeast"/>
              <w:jc w:val="center"/>
              <w:rPr>
                <w:rFonts w:hint="default" w:ascii="仿宋" w:hAnsi="仿宋" w:eastAsia="仿宋" w:cs="仿宋"/>
                <w:lang w:eastAsia="zh-CN"/>
              </w:rPr>
            </w:pPr>
            <w:r>
              <w:rPr>
                <w:rFonts w:ascii="仿宋" w:hAnsi="仿宋" w:eastAsia="仿宋" w:cs="仿宋"/>
                <w:lang w:eastAsia="zh-CN"/>
              </w:rPr>
              <w:t>包号</w:t>
            </w:r>
          </w:p>
        </w:tc>
        <w:tc>
          <w:tcPr>
            <w:tcW w:w="2438" w:type="pct"/>
            <w:tcMar>
              <w:left w:w="108" w:type="dxa"/>
              <w:right w:w="108" w:type="dxa"/>
            </w:tcMar>
            <w:vAlign w:val="center"/>
          </w:tcPr>
          <w:p w14:paraId="73B256FE">
            <w:pPr>
              <w:pStyle w:val="22"/>
              <w:spacing w:line="0" w:lineRule="atLeast"/>
              <w:jc w:val="center"/>
              <w:rPr>
                <w:rFonts w:hint="default" w:ascii="仿宋" w:hAnsi="仿宋" w:eastAsia="仿宋" w:cs="仿宋"/>
              </w:rPr>
            </w:pPr>
            <w:r>
              <w:rPr>
                <w:rFonts w:ascii="仿宋" w:hAnsi="仿宋" w:eastAsia="仿宋" w:cs="仿宋"/>
              </w:rPr>
              <w:t>标的名称</w:t>
            </w:r>
          </w:p>
        </w:tc>
        <w:tc>
          <w:tcPr>
            <w:tcW w:w="1618" w:type="pct"/>
            <w:tcMar>
              <w:left w:w="108" w:type="dxa"/>
              <w:right w:w="108" w:type="dxa"/>
            </w:tcMar>
            <w:vAlign w:val="center"/>
          </w:tcPr>
          <w:p w14:paraId="5252EE6F">
            <w:pPr>
              <w:pStyle w:val="22"/>
              <w:spacing w:line="0" w:lineRule="atLeast"/>
              <w:jc w:val="center"/>
              <w:rPr>
                <w:rFonts w:hint="default" w:ascii="仿宋" w:hAnsi="仿宋" w:eastAsia="仿宋" w:cs="仿宋"/>
              </w:rPr>
            </w:pPr>
            <w:r>
              <w:rPr>
                <w:rFonts w:ascii="仿宋" w:hAnsi="仿宋" w:eastAsia="仿宋" w:cs="仿宋"/>
              </w:rPr>
              <w:t>数量</w:t>
            </w:r>
            <w:r>
              <w:rPr>
                <w:rFonts w:ascii="仿宋" w:hAnsi="仿宋" w:eastAsia="仿宋" w:cs="仿宋"/>
              </w:rPr>
              <w:br w:type="textWrapping"/>
            </w:r>
            <w:r>
              <w:rPr>
                <w:rFonts w:ascii="仿宋" w:hAnsi="仿宋" w:eastAsia="仿宋" w:cs="仿宋"/>
              </w:rPr>
              <w:t>(计量单位)</w:t>
            </w:r>
          </w:p>
        </w:tc>
      </w:tr>
      <w:tr w14:paraId="23153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6" w:hRule="atLeast"/>
        </w:trPr>
        <w:tc>
          <w:tcPr>
            <w:tcW w:w="943" w:type="pct"/>
            <w:tcMar>
              <w:left w:w="108" w:type="dxa"/>
              <w:right w:w="108" w:type="dxa"/>
            </w:tcMar>
            <w:vAlign w:val="center"/>
          </w:tcPr>
          <w:p w14:paraId="310A19F4">
            <w:pPr>
              <w:pStyle w:val="22"/>
              <w:jc w:val="center"/>
              <w:rPr>
                <w:rFonts w:hint="default" w:ascii="仿宋" w:hAnsi="仿宋" w:eastAsia="仿宋" w:cs="仿宋"/>
              </w:rPr>
            </w:pPr>
            <w:r>
              <w:rPr>
                <w:rFonts w:ascii="仿宋" w:hAnsi="仿宋" w:eastAsia="仿宋" w:cs="仿宋"/>
              </w:rPr>
              <w:t>1</w:t>
            </w:r>
          </w:p>
        </w:tc>
        <w:tc>
          <w:tcPr>
            <w:tcW w:w="2438" w:type="pct"/>
            <w:tcMar>
              <w:left w:w="108" w:type="dxa"/>
              <w:right w:w="108" w:type="dxa"/>
            </w:tcMar>
            <w:vAlign w:val="center"/>
          </w:tcPr>
          <w:p w14:paraId="35AC8910">
            <w:pPr>
              <w:pStyle w:val="22"/>
              <w:jc w:val="center"/>
              <w:rPr>
                <w:rFonts w:hint="default" w:ascii="仿宋" w:hAnsi="仿宋" w:eastAsia="仿宋" w:cs="仿宋"/>
                <w:lang w:eastAsia="zh-CN"/>
              </w:rPr>
            </w:pPr>
            <w:r>
              <w:rPr>
                <w:rFonts w:ascii="仿宋" w:hAnsi="仿宋" w:eastAsia="仿宋" w:cs="仿宋"/>
                <w:color w:val="333333"/>
                <w:sz w:val="24"/>
                <w:shd w:val="clear" w:color="auto" w:fill="FFFFFF"/>
                <w:lang w:bidi="ar"/>
              </w:rPr>
              <w:t>大竹县人民医院智慧医保一体化协同管控平台</w:t>
            </w:r>
            <w:r>
              <w:rPr>
                <w:rFonts w:ascii="仿宋" w:hAnsi="仿宋" w:eastAsia="仿宋" w:cs="仿宋"/>
                <w:color w:val="333333"/>
                <w:sz w:val="24"/>
                <w:shd w:val="clear" w:color="auto" w:fill="FFFFFF"/>
                <w:lang w:eastAsia="zh-CN" w:bidi="ar"/>
              </w:rPr>
              <w:t>系统</w:t>
            </w:r>
          </w:p>
        </w:tc>
        <w:tc>
          <w:tcPr>
            <w:tcW w:w="1618" w:type="pct"/>
            <w:tcMar>
              <w:left w:w="108" w:type="dxa"/>
              <w:right w:w="108" w:type="dxa"/>
            </w:tcMar>
            <w:vAlign w:val="center"/>
          </w:tcPr>
          <w:p w14:paraId="6B78C2D7">
            <w:pPr>
              <w:pStyle w:val="22"/>
              <w:jc w:val="center"/>
              <w:rPr>
                <w:rFonts w:hint="default" w:ascii="Times New Roman" w:hAnsi="Times New Roman" w:eastAsia="仿宋" w:cs="Times New Roman"/>
                <w:lang w:eastAsia="zh-CN"/>
              </w:rPr>
            </w:pPr>
            <w:r>
              <w:rPr>
                <w:rFonts w:ascii="Times New Roman" w:hAnsi="Times New Roman" w:eastAsia="仿宋" w:cs="Times New Roman"/>
                <w:lang w:eastAsia="zh-CN"/>
              </w:rPr>
              <w:t>1项</w:t>
            </w:r>
          </w:p>
        </w:tc>
      </w:tr>
    </w:tbl>
    <w:p w14:paraId="0805877E">
      <w:pPr>
        <w:numPr>
          <w:ilvl w:val="0"/>
          <w:numId w:val="2"/>
        </w:numPr>
        <w:spacing w:line="560" w:lineRule="exact"/>
        <w:ind w:firstLine="480"/>
        <w:rPr>
          <w:rFonts w:hint="eastAsia" w:ascii="仿宋" w:hAnsi="仿宋" w:eastAsia="仿宋" w:cs="仿宋"/>
          <w:color w:val="auto"/>
          <w:kern w:val="2"/>
          <w:sz w:val="28"/>
          <w:szCs w:val="28"/>
          <w:highlight w:val="none"/>
          <w:lang w:val="en-US" w:eastAsia="zh-CN" w:bidi="ar-SA"/>
        </w:rPr>
      </w:pPr>
      <w:r>
        <w:rPr>
          <w:rFonts w:hint="eastAsia" w:ascii="仿宋" w:hAnsi="仿宋" w:eastAsia="仿宋" w:cs="黑体"/>
          <w:sz w:val="28"/>
          <w:szCs w:val="28"/>
        </w:rPr>
        <w:t>供应商应根据《国务院办公厅关于推动公立医院高质量发展的意见》《关于印发DRG/DIP支付方式改革三年行动计划的通知》</w:t>
      </w:r>
      <w:r>
        <w:rPr>
          <w:rFonts w:ascii="仿宋" w:hAnsi="仿宋" w:eastAsia="仿宋" w:cs="黑体"/>
          <w:sz w:val="28"/>
          <w:szCs w:val="28"/>
        </w:rPr>
        <w:t>及国家最新法律法规、医疗卫生行业标准</w:t>
      </w:r>
      <w:r>
        <w:rPr>
          <w:rFonts w:hint="eastAsia" w:ascii="仿宋" w:hAnsi="仿宋" w:eastAsia="仿宋" w:cs="黑体"/>
          <w:sz w:val="28"/>
          <w:szCs w:val="28"/>
        </w:rPr>
        <w:t>，三级公立医院运行标准等要求，向采购人提供一套</w:t>
      </w:r>
      <w:r>
        <w:rPr>
          <w:rFonts w:hint="eastAsia" w:ascii="仿宋" w:hAnsi="仿宋" w:eastAsia="仿宋" w:cs="仿宋"/>
          <w:sz w:val="28"/>
          <w:szCs w:val="28"/>
        </w:rPr>
        <w:t>应对医保基金监管，</w:t>
      </w:r>
      <w:r>
        <w:rPr>
          <w:rFonts w:hint="eastAsia" w:ascii="仿宋" w:hAnsi="仿宋" w:eastAsia="仿宋" w:cs="黑体"/>
          <w:sz w:val="28"/>
          <w:szCs w:val="28"/>
        </w:rPr>
        <w:t>适应DRG付费模式，强化成本管控与诊疗规范，能打通临床诊疗、病案编码与基金监管全过程的一体化智能系统</w:t>
      </w:r>
      <w:r>
        <w:rPr>
          <w:rFonts w:hint="eastAsia" w:ascii="仿宋" w:hAnsi="仿宋" w:eastAsia="仿宋" w:cs="仿宋"/>
          <w:sz w:val="28"/>
          <w:szCs w:val="28"/>
        </w:rPr>
        <w:t>，从而实现从诊疗行为到医保结算的全流程精细化管控。平台建设主要内容包括智能诊疗路径生成、临床决策全流程支持、DRG精益运营、医保智能审核等。</w:t>
      </w:r>
    </w:p>
    <w:p w14:paraId="134C339F">
      <w:pPr>
        <w:spacing w:before="156" w:beforeLines="50" w:after="156" w:afterLines="50" w:line="540" w:lineRule="exact"/>
        <w:ind w:firstLine="560" w:firstLineChars="200"/>
        <w:outlineLvl w:val="1"/>
        <w:rPr>
          <w:rFonts w:hint="eastAsia" w:ascii="仿宋" w:hAnsi="仿宋" w:eastAsia="仿宋" w:cs="仿宋"/>
          <w:bCs/>
          <w:sz w:val="28"/>
          <w:szCs w:val="28"/>
        </w:rPr>
      </w:pPr>
      <w:r>
        <w:rPr>
          <w:rFonts w:hint="eastAsia" w:ascii="仿宋" w:hAnsi="仿宋" w:eastAsia="仿宋" w:cs="仿宋"/>
          <w:color w:val="auto"/>
          <w:kern w:val="2"/>
          <w:sz w:val="28"/>
          <w:szCs w:val="28"/>
          <w:highlight w:val="none"/>
          <w:lang w:val="en-US" w:eastAsia="zh-CN" w:bidi="ar-SA"/>
        </w:rPr>
        <w:t>（三）</w:t>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如系统建设、人工费、管理费、接口费、运行维护费、质保费、系统版本更新费、税费等满足本项目需求</w:t>
      </w:r>
      <w:r>
        <w:rPr>
          <w:rFonts w:hint="eastAsia" w:ascii="仿宋" w:hAnsi="仿宋" w:eastAsia="仿宋"/>
          <w:sz w:val="28"/>
          <w:szCs w:val="28"/>
        </w:rPr>
        <w:t>及为完成本项目所产生的其他一切费用等</w:t>
      </w:r>
      <w:r>
        <w:rPr>
          <w:rFonts w:hint="eastAsia" w:ascii="仿宋" w:hAnsi="仿宋" w:eastAsia="仿宋" w:cs="仿宋"/>
          <w:sz w:val="28"/>
          <w:szCs w:val="28"/>
        </w:rPr>
        <w:t>。采购人不因市场风险、价格波动等情况向供应商支付风险补偿和成本补偿等费用。</w:t>
      </w:r>
    </w:p>
    <w:p w14:paraId="640BF415">
      <w:pPr>
        <w:pStyle w:val="22"/>
        <w:keepNext w:val="0"/>
        <w:keepLines w:val="0"/>
        <w:pageBreakBefore w:val="0"/>
        <w:kinsoku/>
        <w:wordWrap/>
        <w:overflowPunct/>
        <w:topLinePunct w:val="0"/>
        <w:autoSpaceDE/>
        <w:autoSpaceDN/>
        <w:bidi w:val="0"/>
        <w:adjustRightInd/>
        <w:snapToGrid/>
        <w:spacing w:line="560" w:lineRule="exact"/>
        <w:ind w:firstLine="561"/>
        <w:jc w:val="left"/>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二、技术、服务要求</w:t>
      </w:r>
    </w:p>
    <w:p w14:paraId="29415DD7">
      <w:pPr>
        <w:spacing w:line="560" w:lineRule="exact"/>
        <w:ind w:firstLine="420" w:firstLineChars="150"/>
        <w:rPr>
          <w:rFonts w:ascii="仿宋" w:hAnsi="仿宋" w:eastAsia="仿宋"/>
          <w:sz w:val="28"/>
          <w:szCs w:val="28"/>
        </w:rPr>
      </w:pPr>
      <w:r>
        <w:rPr>
          <w:rFonts w:hint="eastAsia" w:ascii="仿宋" w:hAnsi="仿宋" w:eastAsia="仿宋"/>
          <w:sz w:val="28"/>
          <w:szCs w:val="28"/>
        </w:rPr>
        <w:t>（一）平台的功能板块要求</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901"/>
        <w:gridCol w:w="7129"/>
      </w:tblGrid>
      <w:tr w14:paraId="42B0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67" w:type="pct"/>
            <w:vAlign w:val="center"/>
          </w:tcPr>
          <w:p w14:paraId="6772BD95">
            <w:pPr>
              <w:spacing w:line="560" w:lineRule="exact"/>
              <w:jc w:val="left"/>
              <w:rPr>
                <w:rFonts w:ascii="仿宋" w:hAnsi="仿宋" w:eastAsia="仿宋" w:cs="仿宋"/>
                <w:sz w:val="28"/>
                <w:szCs w:val="28"/>
              </w:rPr>
            </w:pPr>
            <w:r>
              <w:rPr>
                <w:rFonts w:hint="eastAsia" w:ascii="仿宋" w:hAnsi="仿宋" w:eastAsia="仿宋" w:cs="仿宋"/>
                <w:sz w:val="28"/>
                <w:szCs w:val="28"/>
              </w:rPr>
              <w:t>一级菜单</w:t>
            </w:r>
          </w:p>
        </w:tc>
        <w:tc>
          <w:tcPr>
            <w:tcW w:w="954" w:type="pct"/>
            <w:vAlign w:val="center"/>
          </w:tcPr>
          <w:p w14:paraId="148B8D26">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二级</w:t>
            </w:r>
          </w:p>
          <w:p w14:paraId="7DEDA112">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菜单</w:t>
            </w:r>
          </w:p>
        </w:tc>
        <w:tc>
          <w:tcPr>
            <w:tcW w:w="3578" w:type="pct"/>
            <w:vAlign w:val="center"/>
          </w:tcPr>
          <w:p w14:paraId="287A5055">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功能参数</w:t>
            </w:r>
          </w:p>
        </w:tc>
      </w:tr>
      <w:tr w14:paraId="17FE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pct"/>
            <w:vMerge w:val="restart"/>
            <w:vAlign w:val="center"/>
          </w:tcPr>
          <w:p w14:paraId="33D467A6">
            <w:pPr>
              <w:spacing w:line="560" w:lineRule="exact"/>
              <w:ind w:firstLine="420" w:firstLineChars="150"/>
              <w:jc w:val="left"/>
              <w:rPr>
                <w:rFonts w:ascii="仿宋" w:hAnsi="仿宋" w:eastAsia="仿宋" w:cs="仿宋"/>
                <w:sz w:val="28"/>
                <w:szCs w:val="28"/>
              </w:rPr>
            </w:pPr>
          </w:p>
          <w:p w14:paraId="510D3327">
            <w:pPr>
              <w:spacing w:line="560" w:lineRule="exact"/>
              <w:ind w:firstLine="420" w:firstLineChars="150"/>
              <w:jc w:val="left"/>
              <w:rPr>
                <w:rFonts w:ascii="仿宋" w:hAnsi="仿宋" w:eastAsia="仿宋" w:cs="仿宋"/>
                <w:sz w:val="28"/>
                <w:szCs w:val="28"/>
              </w:rPr>
            </w:pPr>
          </w:p>
          <w:p w14:paraId="236B6DF9">
            <w:pPr>
              <w:spacing w:line="560" w:lineRule="exact"/>
              <w:ind w:firstLine="420" w:firstLineChars="150"/>
              <w:jc w:val="left"/>
              <w:rPr>
                <w:rFonts w:ascii="仿宋" w:hAnsi="仿宋" w:eastAsia="仿宋" w:cs="仿宋"/>
                <w:sz w:val="28"/>
                <w:szCs w:val="28"/>
              </w:rPr>
            </w:pPr>
          </w:p>
          <w:p w14:paraId="09F51AEF">
            <w:pPr>
              <w:spacing w:line="560" w:lineRule="exact"/>
              <w:ind w:firstLine="420" w:firstLineChars="150"/>
              <w:jc w:val="left"/>
              <w:rPr>
                <w:rFonts w:ascii="仿宋" w:hAnsi="仿宋" w:eastAsia="仿宋" w:cs="仿宋"/>
                <w:sz w:val="28"/>
                <w:szCs w:val="28"/>
              </w:rPr>
            </w:pPr>
          </w:p>
          <w:p w14:paraId="3EF4954D">
            <w:pPr>
              <w:spacing w:line="560" w:lineRule="exact"/>
              <w:ind w:firstLine="420" w:firstLineChars="150"/>
              <w:jc w:val="left"/>
              <w:rPr>
                <w:rFonts w:ascii="仿宋" w:hAnsi="仿宋" w:eastAsia="仿宋" w:cs="仿宋"/>
                <w:sz w:val="28"/>
                <w:szCs w:val="28"/>
              </w:rPr>
            </w:pPr>
          </w:p>
          <w:p w14:paraId="6983AB2C">
            <w:pPr>
              <w:spacing w:line="560" w:lineRule="exact"/>
              <w:ind w:firstLine="420" w:firstLineChars="150"/>
              <w:jc w:val="left"/>
              <w:rPr>
                <w:rFonts w:ascii="仿宋" w:hAnsi="仿宋" w:eastAsia="仿宋" w:cs="仿宋"/>
                <w:sz w:val="28"/>
                <w:szCs w:val="28"/>
              </w:rPr>
            </w:pPr>
          </w:p>
          <w:p w14:paraId="522088C9">
            <w:pPr>
              <w:spacing w:line="560" w:lineRule="exact"/>
              <w:ind w:firstLine="420" w:firstLineChars="150"/>
              <w:jc w:val="left"/>
              <w:rPr>
                <w:rFonts w:ascii="仿宋" w:hAnsi="仿宋" w:eastAsia="仿宋" w:cs="仿宋"/>
                <w:sz w:val="28"/>
                <w:szCs w:val="28"/>
              </w:rPr>
            </w:pPr>
          </w:p>
          <w:p w14:paraId="157C5220">
            <w:pPr>
              <w:spacing w:line="560" w:lineRule="exact"/>
              <w:jc w:val="left"/>
              <w:rPr>
                <w:rFonts w:ascii="仿宋" w:hAnsi="仿宋" w:eastAsia="仿宋" w:cs="仿宋"/>
                <w:sz w:val="28"/>
                <w:szCs w:val="28"/>
              </w:rPr>
            </w:pPr>
            <w:r>
              <w:rPr>
                <w:rFonts w:hint="eastAsia" w:ascii="仿宋" w:hAnsi="仿宋" w:eastAsia="仿宋" w:cs="仿宋"/>
                <w:sz w:val="28"/>
                <w:szCs w:val="28"/>
              </w:rPr>
              <w:t>DRG医生助手与诊疗方案评价</w:t>
            </w:r>
          </w:p>
        </w:tc>
        <w:tc>
          <w:tcPr>
            <w:tcW w:w="954" w:type="pct"/>
            <w:vMerge w:val="restart"/>
            <w:vAlign w:val="center"/>
          </w:tcPr>
          <w:p w14:paraId="2DD7B3F5">
            <w:pPr>
              <w:spacing w:line="560" w:lineRule="exact"/>
              <w:jc w:val="left"/>
              <w:rPr>
                <w:rFonts w:ascii="仿宋" w:hAnsi="仿宋" w:eastAsia="仿宋" w:cs="仿宋"/>
                <w:sz w:val="28"/>
                <w:szCs w:val="28"/>
              </w:rPr>
            </w:pPr>
            <w:r>
              <w:rPr>
                <w:rFonts w:hint="eastAsia" w:ascii="仿宋" w:hAnsi="仿宋" w:eastAsia="仿宋" w:cs="仿宋"/>
                <w:sz w:val="28"/>
                <w:szCs w:val="28"/>
              </w:rPr>
              <w:t>预分组服务</w:t>
            </w:r>
          </w:p>
        </w:tc>
        <w:tc>
          <w:tcPr>
            <w:tcW w:w="3578" w:type="pct"/>
            <w:vAlign w:val="center"/>
          </w:tcPr>
          <w:p w14:paraId="048D8CF8">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系统能自动提取医生首页诊断信息，对预实施手术、操作的患者，科学指引医生入对组。</w:t>
            </w:r>
          </w:p>
        </w:tc>
      </w:tr>
      <w:tr w14:paraId="005E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67" w:type="pct"/>
            <w:vMerge w:val="continue"/>
            <w:vAlign w:val="center"/>
          </w:tcPr>
          <w:p w14:paraId="39911493">
            <w:pPr>
              <w:spacing w:line="560" w:lineRule="exact"/>
              <w:ind w:firstLine="420" w:firstLineChars="150"/>
              <w:jc w:val="left"/>
              <w:rPr>
                <w:rFonts w:ascii="仿宋" w:hAnsi="仿宋" w:eastAsia="仿宋" w:cs="仿宋"/>
                <w:sz w:val="28"/>
                <w:szCs w:val="28"/>
              </w:rPr>
            </w:pPr>
          </w:p>
        </w:tc>
        <w:tc>
          <w:tcPr>
            <w:tcW w:w="954" w:type="pct"/>
            <w:vMerge w:val="continue"/>
            <w:vAlign w:val="center"/>
          </w:tcPr>
          <w:p w14:paraId="2EC15B28">
            <w:pPr>
              <w:spacing w:line="560" w:lineRule="exact"/>
              <w:ind w:firstLine="420" w:firstLineChars="150"/>
              <w:jc w:val="left"/>
              <w:rPr>
                <w:rFonts w:ascii="仿宋" w:hAnsi="仿宋" w:eastAsia="仿宋" w:cs="仿宋"/>
                <w:sz w:val="28"/>
                <w:szCs w:val="28"/>
              </w:rPr>
            </w:pPr>
          </w:p>
        </w:tc>
        <w:tc>
          <w:tcPr>
            <w:tcW w:w="3578" w:type="pct"/>
            <w:vAlign w:val="center"/>
          </w:tcPr>
          <w:p w14:paraId="18221B2A">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提供医生DRG分组小工具，医生可以测试不同组合下的分组结果。</w:t>
            </w:r>
          </w:p>
        </w:tc>
      </w:tr>
      <w:tr w14:paraId="7C4D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67" w:type="pct"/>
            <w:vMerge w:val="continue"/>
            <w:vAlign w:val="center"/>
          </w:tcPr>
          <w:p w14:paraId="14C1AC56">
            <w:pPr>
              <w:spacing w:line="560" w:lineRule="exact"/>
              <w:ind w:firstLine="420" w:firstLineChars="150"/>
              <w:jc w:val="left"/>
              <w:rPr>
                <w:rFonts w:ascii="仿宋" w:hAnsi="仿宋" w:eastAsia="仿宋" w:cs="仿宋"/>
                <w:sz w:val="28"/>
                <w:szCs w:val="28"/>
              </w:rPr>
            </w:pPr>
          </w:p>
        </w:tc>
        <w:tc>
          <w:tcPr>
            <w:tcW w:w="954" w:type="pct"/>
            <w:vAlign w:val="center"/>
          </w:tcPr>
          <w:p w14:paraId="2FCA6CFF">
            <w:pPr>
              <w:spacing w:line="560" w:lineRule="exact"/>
              <w:jc w:val="left"/>
              <w:rPr>
                <w:rFonts w:ascii="仿宋" w:hAnsi="仿宋" w:eastAsia="仿宋" w:cs="仿宋"/>
                <w:sz w:val="28"/>
                <w:szCs w:val="28"/>
              </w:rPr>
            </w:pPr>
            <w:r>
              <w:rPr>
                <w:rFonts w:hint="eastAsia" w:ascii="仿宋" w:hAnsi="仿宋" w:eastAsia="仿宋" w:cs="仿宋"/>
                <w:sz w:val="28"/>
                <w:szCs w:val="28"/>
              </w:rPr>
              <w:t>超支提醒</w:t>
            </w:r>
          </w:p>
        </w:tc>
        <w:tc>
          <w:tcPr>
            <w:tcW w:w="3578" w:type="pct"/>
            <w:vAlign w:val="center"/>
          </w:tcPr>
          <w:p w14:paraId="59EB1B2B">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能自动检测套餐式检查与重复项目，标记其医保违规风险等级，保障医疗资源的合理使用。</w:t>
            </w:r>
          </w:p>
        </w:tc>
      </w:tr>
      <w:tr w14:paraId="752A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67" w:type="pct"/>
            <w:vMerge w:val="continue"/>
            <w:vAlign w:val="center"/>
          </w:tcPr>
          <w:p w14:paraId="0C62D80C">
            <w:pPr>
              <w:spacing w:line="560" w:lineRule="exact"/>
              <w:ind w:firstLine="420" w:firstLineChars="150"/>
              <w:jc w:val="left"/>
              <w:rPr>
                <w:rFonts w:ascii="仿宋" w:hAnsi="仿宋" w:eastAsia="仿宋" w:cs="仿宋"/>
                <w:sz w:val="28"/>
                <w:szCs w:val="28"/>
              </w:rPr>
            </w:pPr>
          </w:p>
        </w:tc>
        <w:tc>
          <w:tcPr>
            <w:tcW w:w="954" w:type="pct"/>
            <w:vAlign w:val="center"/>
          </w:tcPr>
          <w:p w14:paraId="2BCA4E88">
            <w:pPr>
              <w:spacing w:line="560" w:lineRule="exact"/>
              <w:jc w:val="left"/>
              <w:rPr>
                <w:rFonts w:ascii="仿宋" w:hAnsi="仿宋" w:eastAsia="仿宋" w:cs="仿宋"/>
                <w:sz w:val="28"/>
                <w:szCs w:val="28"/>
              </w:rPr>
            </w:pPr>
            <w:r>
              <w:rPr>
                <w:rFonts w:hint="eastAsia" w:ascii="仿宋" w:hAnsi="仿宋" w:eastAsia="仿宋" w:cs="仿宋"/>
                <w:sz w:val="28"/>
                <w:szCs w:val="28"/>
              </w:rPr>
              <w:t>诊疗不足提醒</w:t>
            </w:r>
          </w:p>
        </w:tc>
        <w:tc>
          <w:tcPr>
            <w:tcW w:w="3578" w:type="pct"/>
            <w:vAlign w:val="center"/>
          </w:tcPr>
          <w:p w14:paraId="7F78A8BD">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通过监控核心药品/治疗的使用，提醒必做而实际未做的检验检查，防范医疗质量与医保核查风险。</w:t>
            </w:r>
          </w:p>
        </w:tc>
      </w:tr>
      <w:tr w14:paraId="04B1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7" w:type="pct"/>
            <w:vMerge w:val="continue"/>
            <w:vAlign w:val="center"/>
          </w:tcPr>
          <w:p w14:paraId="5CAA0C57">
            <w:pPr>
              <w:spacing w:line="560" w:lineRule="exact"/>
              <w:ind w:firstLine="420" w:firstLineChars="150"/>
              <w:jc w:val="left"/>
              <w:rPr>
                <w:rFonts w:ascii="仿宋" w:hAnsi="仿宋" w:eastAsia="仿宋" w:cs="仿宋"/>
                <w:sz w:val="28"/>
                <w:szCs w:val="28"/>
              </w:rPr>
            </w:pPr>
          </w:p>
        </w:tc>
        <w:tc>
          <w:tcPr>
            <w:tcW w:w="954" w:type="pct"/>
            <w:vAlign w:val="center"/>
          </w:tcPr>
          <w:p w14:paraId="4C0E0864">
            <w:pPr>
              <w:spacing w:line="560" w:lineRule="exact"/>
              <w:jc w:val="left"/>
              <w:rPr>
                <w:rFonts w:ascii="仿宋" w:hAnsi="仿宋" w:eastAsia="仿宋" w:cs="仿宋"/>
                <w:sz w:val="28"/>
                <w:szCs w:val="28"/>
              </w:rPr>
            </w:pPr>
            <w:r>
              <w:rPr>
                <w:rFonts w:hint="eastAsia" w:ascii="仿宋" w:hAnsi="仿宋" w:eastAsia="仿宋" w:cs="仿宋"/>
                <w:sz w:val="28"/>
                <w:szCs w:val="28"/>
              </w:rPr>
              <w:t>在院/出院诊疗评价</w:t>
            </w:r>
          </w:p>
        </w:tc>
        <w:tc>
          <w:tcPr>
            <w:tcW w:w="3578" w:type="pct"/>
            <w:vAlign w:val="center"/>
          </w:tcPr>
          <w:p w14:paraId="00A0F5FF">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可以对医生诊疗合理性，进行事中（在院/出院）评价：</w:t>
            </w:r>
          </w:p>
          <w:p w14:paraId="1A67E1C9">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1）临床路径必做而未做的项目；</w:t>
            </w:r>
          </w:p>
          <w:p w14:paraId="63E28A66">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2）超出诊疗范围的项目；</w:t>
            </w:r>
          </w:p>
          <w:p w14:paraId="6B08049E">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3）不符合医保管控要求的项目；</w:t>
            </w:r>
          </w:p>
          <w:p w14:paraId="4D0A4249">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4）非最佳选择的项目；</w:t>
            </w:r>
          </w:p>
          <w:p w14:paraId="68D093A4">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5）重复检查项目。</w:t>
            </w:r>
          </w:p>
        </w:tc>
      </w:tr>
      <w:tr w14:paraId="7C21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pct"/>
            <w:vMerge w:val="continue"/>
            <w:vAlign w:val="center"/>
          </w:tcPr>
          <w:p w14:paraId="3109BBA1">
            <w:pPr>
              <w:spacing w:line="560" w:lineRule="exact"/>
              <w:ind w:firstLine="420" w:firstLineChars="150"/>
              <w:jc w:val="left"/>
              <w:rPr>
                <w:rFonts w:ascii="仿宋" w:hAnsi="仿宋" w:eastAsia="仿宋" w:cs="仿宋"/>
                <w:sz w:val="28"/>
                <w:szCs w:val="28"/>
              </w:rPr>
            </w:pPr>
          </w:p>
        </w:tc>
        <w:tc>
          <w:tcPr>
            <w:tcW w:w="954" w:type="pct"/>
            <w:vAlign w:val="center"/>
          </w:tcPr>
          <w:p w14:paraId="1D759772">
            <w:pPr>
              <w:spacing w:line="560" w:lineRule="exact"/>
              <w:jc w:val="left"/>
              <w:rPr>
                <w:rFonts w:ascii="仿宋" w:hAnsi="仿宋" w:eastAsia="仿宋" w:cs="仿宋"/>
                <w:sz w:val="28"/>
                <w:szCs w:val="28"/>
              </w:rPr>
            </w:pPr>
            <w:r>
              <w:rPr>
                <w:rFonts w:hint="eastAsia" w:ascii="仿宋" w:hAnsi="仿宋" w:eastAsia="仿宋" w:cs="仿宋"/>
                <w:sz w:val="28"/>
                <w:szCs w:val="28"/>
              </w:rPr>
              <w:t>诊疗资源消耗明细展示</w:t>
            </w:r>
          </w:p>
        </w:tc>
        <w:tc>
          <w:tcPr>
            <w:tcW w:w="3578" w:type="pct"/>
            <w:vAlign w:val="center"/>
          </w:tcPr>
          <w:p w14:paraId="719D7BD4">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系统能区分共性医疗消耗和特征医疗消耗，能把每个疾病的特征资源消耗费用及明细进行展示。</w:t>
            </w:r>
          </w:p>
        </w:tc>
      </w:tr>
      <w:tr w14:paraId="7BEB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67" w:type="pct"/>
            <w:vMerge w:val="continue"/>
            <w:vAlign w:val="center"/>
          </w:tcPr>
          <w:p w14:paraId="730A455E">
            <w:pPr>
              <w:spacing w:line="560" w:lineRule="exact"/>
              <w:ind w:firstLine="420" w:firstLineChars="150"/>
              <w:jc w:val="left"/>
              <w:rPr>
                <w:rFonts w:ascii="仿宋" w:hAnsi="仿宋" w:eastAsia="仿宋" w:cs="仿宋"/>
                <w:sz w:val="28"/>
                <w:szCs w:val="28"/>
              </w:rPr>
            </w:pPr>
          </w:p>
        </w:tc>
        <w:tc>
          <w:tcPr>
            <w:tcW w:w="954" w:type="pct"/>
            <w:vAlign w:val="center"/>
          </w:tcPr>
          <w:p w14:paraId="746851DC">
            <w:pPr>
              <w:spacing w:line="560" w:lineRule="exact"/>
              <w:jc w:val="left"/>
              <w:rPr>
                <w:rFonts w:ascii="仿宋" w:hAnsi="仿宋" w:eastAsia="仿宋" w:cs="仿宋"/>
                <w:sz w:val="28"/>
                <w:szCs w:val="28"/>
              </w:rPr>
            </w:pPr>
            <w:r>
              <w:rPr>
                <w:rFonts w:hint="eastAsia" w:ascii="仿宋" w:hAnsi="仿宋" w:eastAsia="仿宋" w:cs="仿宋"/>
                <w:sz w:val="28"/>
                <w:szCs w:val="28"/>
              </w:rPr>
              <w:t>诊断依据和治疗方案展示</w:t>
            </w:r>
          </w:p>
        </w:tc>
        <w:tc>
          <w:tcPr>
            <w:tcW w:w="3578" w:type="pct"/>
            <w:vAlign w:val="center"/>
          </w:tcPr>
          <w:p w14:paraId="4A229E64">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系统支持查阅当前病例，每个诊断的诊断依据和治疗方案。</w:t>
            </w:r>
          </w:p>
        </w:tc>
      </w:tr>
      <w:tr w14:paraId="4CE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67" w:type="pct"/>
            <w:vMerge w:val="continue"/>
            <w:vAlign w:val="center"/>
          </w:tcPr>
          <w:p w14:paraId="76502B13">
            <w:pPr>
              <w:spacing w:line="560" w:lineRule="exact"/>
              <w:ind w:firstLine="420" w:firstLineChars="150"/>
              <w:jc w:val="left"/>
              <w:rPr>
                <w:rFonts w:ascii="仿宋" w:hAnsi="仿宋" w:eastAsia="仿宋" w:cs="仿宋"/>
                <w:sz w:val="28"/>
                <w:szCs w:val="28"/>
              </w:rPr>
            </w:pPr>
          </w:p>
        </w:tc>
        <w:tc>
          <w:tcPr>
            <w:tcW w:w="954" w:type="pct"/>
            <w:vAlign w:val="center"/>
          </w:tcPr>
          <w:p w14:paraId="2FCFD302">
            <w:pPr>
              <w:spacing w:line="560" w:lineRule="exact"/>
              <w:jc w:val="left"/>
              <w:rPr>
                <w:rFonts w:ascii="仿宋" w:hAnsi="仿宋" w:eastAsia="仿宋" w:cs="仿宋"/>
                <w:sz w:val="28"/>
                <w:szCs w:val="28"/>
              </w:rPr>
            </w:pPr>
            <w:r>
              <w:rPr>
                <w:rFonts w:hint="eastAsia" w:ascii="仿宋" w:hAnsi="仿宋" w:eastAsia="仿宋" w:cs="仿宋"/>
                <w:sz w:val="28"/>
                <w:szCs w:val="28"/>
              </w:rPr>
              <w:t>中治率展示</w:t>
            </w:r>
          </w:p>
        </w:tc>
        <w:tc>
          <w:tcPr>
            <w:tcW w:w="3578" w:type="pct"/>
            <w:vAlign w:val="center"/>
          </w:tcPr>
          <w:p w14:paraId="3C213072">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系统支持查阅当前病例的“中治率”及相关费用明细。</w:t>
            </w:r>
          </w:p>
        </w:tc>
      </w:tr>
      <w:tr w14:paraId="601A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7" w:type="pct"/>
            <w:vMerge w:val="continue"/>
            <w:vAlign w:val="center"/>
          </w:tcPr>
          <w:p w14:paraId="61BE674B">
            <w:pPr>
              <w:spacing w:line="560" w:lineRule="exact"/>
              <w:ind w:firstLine="420" w:firstLineChars="150"/>
              <w:jc w:val="left"/>
              <w:rPr>
                <w:rFonts w:ascii="仿宋" w:hAnsi="仿宋" w:eastAsia="仿宋" w:cs="仿宋"/>
                <w:sz w:val="28"/>
                <w:szCs w:val="28"/>
              </w:rPr>
            </w:pPr>
          </w:p>
        </w:tc>
        <w:tc>
          <w:tcPr>
            <w:tcW w:w="954" w:type="pct"/>
            <w:vAlign w:val="center"/>
          </w:tcPr>
          <w:p w14:paraId="661D43B3">
            <w:pPr>
              <w:spacing w:line="560" w:lineRule="exact"/>
              <w:jc w:val="left"/>
              <w:rPr>
                <w:rFonts w:ascii="仿宋" w:hAnsi="仿宋" w:eastAsia="仿宋" w:cs="仿宋"/>
                <w:sz w:val="28"/>
                <w:szCs w:val="28"/>
              </w:rPr>
            </w:pPr>
            <w:r>
              <w:rPr>
                <w:rFonts w:hint="eastAsia" w:ascii="仿宋" w:hAnsi="仿宋" w:eastAsia="仿宋" w:cs="仿宋"/>
                <w:sz w:val="28"/>
                <w:szCs w:val="28"/>
              </w:rPr>
              <w:t>医保结算清单编码辅助质控提示</w:t>
            </w:r>
          </w:p>
        </w:tc>
        <w:tc>
          <w:tcPr>
            <w:tcW w:w="3578" w:type="pct"/>
            <w:vAlign w:val="center"/>
          </w:tcPr>
          <w:p w14:paraId="50BC0810">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能智能识别并实时提示；</w:t>
            </w:r>
          </w:p>
          <w:p w14:paraId="547FAE1B">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 xml:space="preserve">主要诊断选择错误、外科/内科组误入、先期分组遗漏、其他诊断无资源消耗等关键问题，确保诊断与诊疗行为匹配； </w:t>
            </w:r>
          </w:p>
        </w:tc>
      </w:tr>
      <w:tr w14:paraId="3737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467" w:type="pct"/>
            <w:vMerge w:val="restart"/>
            <w:vAlign w:val="center"/>
          </w:tcPr>
          <w:p w14:paraId="1C1CFDEE">
            <w:pPr>
              <w:spacing w:line="560" w:lineRule="exact"/>
              <w:jc w:val="left"/>
              <w:rPr>
                <w:rFonts w:ascii="仿宋" w:hAnsi="仿宋" w:eastAsia="仿宋" w:cs="仿宋"/>
                <w:sz w:val="28"/>
                <w:szCs w:val="28"/>
              </w:rPr>
            </w:pPr>
            <w:r>
              <w:rPr>
                <w:rFonts w:hint="eastAsia" w:ascii="仿宋" w:hAnsi="仿宋" w:eastAsia="仿宋" w:cs="仿宋"/>
                <w:sz w:val="28"/>
                <w:szCs w:val="28"/>
              </w:rPr>
              <w:t>DRG运营与绩效分析</w:t>
            </w:r>
          </w:p>
        </w:tc>
        <w:tc>
          <w:tcPr>
            <w:tcW w:w="954" w:type="pct"/>
            <w:vAlign w:val="center"/>
          </w:tcPr>
          <w:p w14:paraId="4DB18B2E">
            <w:pPr>
              <w:spacing w:line="560" w:lineRule="exact"/>
              <w:jc w:val="left"/>
              <w:rPr>
                <w:rFonts w:ascii="仿宋" w:hAnsi="仿宋" w:eastAsia="仿宋" w:cs="仿宋"/>
                <w:sz w:val="28"/>
                <w:szCs w:val="28"/>
              </w:rPr>
            </w:pPr>
            <w:r>
              <w:rPr>
                <w:rFonts w:hint="eastAsia" w:ascii="仿宋" w:hAnsi="仿宋" w:eastAsia="仿宋" w:cs="仿宋"/>
                <w:sz w:val="28"/>
                <w:szCs w:val="28"/>
              </w:rPr>
              <w:t>全院DRG指标</w:t>
            </w:r>
          </w:p>
        </w:tc>
        <w:tc>
          <w:tcPr>
            <w:tcW w:w="3578" w:type="pct"/>
            <w:vAlign w:val="center"/>
          </w:tcPr>
          <w:p w14:paraId="4E79D35F">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提供时间段内指定条件的DRG组数、总权重、MDC数量、CMI、外科组人数、内科组人数、操作组人数、ADRG数量、病人数、费用消耗指数、时间消耗指数、低风险病种死亡率、住院死亡率、手术例数、三级手术例数、四级手术例数、入组病案数、入组率、住院总费用、盈亏金额、次均费、平均住院天数、药占比、耗材占比、检验检查占比、人次人数比、自费率、每权重住院费用、费用极高人数、费用极低人数等；支持图表分析。</w:t>
            </w:r>
          </w:p>
        </w:tc>
      </w:tr>
      <w:tr w14:paraId="0733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467" w:type="pct"/>
            <w:vMerge w:val="continue"/>
            <w:vAlign w:val="center"/>
          </w:tcPr>
          <w:p w14:paraId="348181AE">
            <w:pPr>
              <w:spacing w:line="560" w:lineRule="exact"/>
              <w:ind w:firstLine="420" w:firstLineChars="150"/>
              <w:jc w:val="left"/>
              <w:rPr>
                <w:rFonts w:ascii="仿宋" w:hAnsi="仿宋" w:eastAsia="仿宋" w:cs="仿宋"/>
                <w:sz w:val="28"/>
                <w:szCs w:val="28"/>
              </w:rPr>
            </w:pPr>
          </w:p>
        </w:tc>
        <w:tc>
          <w:tcPr>
            <w:tcW w:w="954" w:type="pct"/>
            <w:vAlign w:val="center"/>
          </w:tcPr>
          <w:p w14:paraId="47488117">
            <w:pPr>
              <w:spacing w:line="560" w:lineRule="exact"/>
              <w:jc w:val="left"/>
              <w:rPr>
                <w:rFonts w:ascii="仿宋" w:hAnsi="仿宋" w:eastAsia="仿宋" w:cs="仿宋"/>
                <w:sz w:val="28"/>
                <w:szCs w:val="28"/>
              </w:rPr>
            </w:pPr>
            <w:r>
              <w:rPr>
                <w:rFonts w:hint="eastAsia" w:ascii="仿宋" w:hAnsi="仿宋" w:eastAsia="仿宋" w:cs="仿宋"/>
                <w:sz w:val="28"/>
                <w:szCs w:val="28"/>
              </w:rPr>
              <w:t>科室DRG指标</w:t>
            </w:r>
          </w:p>
        </w:tc>
        <w:tc>
          <w:tcPr>
            <w:tcW w:w="3578" w:type="pct"/>
            <w:vAlign w:val="center"/>
          </w:tcPr>
          <w:p w14:paraId="48C7879C">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DRG核心数据，包含病例数、CMI、结余、药耗占比、病组构成、平均住院日等，支持图表分析。</w:t>
            </w:r>
          </w:p>
        </w:tc>
      </w:tr>
      <w:tr w14:paraId="30CC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467" w:type="pct"/>
            <w:vMerge w:val="continue"/>
            <w:vAlign w:val="center"/>
          </w:tcPr>
          <w:p w14:paraId="3144FB91">
            <w:pPr>
              <w:spacing w:line="560" w:lineRule="exact"/>
              <w:ind w:firstLine="420" w:firstLineChars="150"/>
              <w:jc w:val="left"/>
              <w:rPr>
                <w:rFonts w:ascii="仿宋" w:hAnsi="仿宋" w:eastAsia="仿宋" w:cs="仿宋"/>
                <w:sz w:val="28"/>
                <w:szCs w:val="28"/>
              </w:rPr>
            </w:pPr>
          </w:p>
        </w:tc>
        <w:tc>
          <w:tcPr>
            <w:tcW w:w="954" w:type="pct"/>
            <w:vAlign w:val="center"/>
          </w:tcPr>
          <w:p w14:paraId="12559778">
            <w:pPr>
              <w:spacing w:line="560" w:lineRule="exact"/>
              <w:jc w:val="left"/>
              <w:rPr>
                <w:rFonts w:ascii="仿宋" w:hAnsi="仿宋" w:eastAsia="仿宋" w:cs="仿宋"/>
                <w:sz w:val="28"/>
                <w:szCs w:val="28"/>
              </w:rPr>
            </w:pPr>
            <w:r>
              <w:rPr>
                <w:rFonts w:hint="eastAsia" w:ascii="仿宋" w:hAnsi="仿宋" w:eastAsia="仿宋" w:cs="仿宋"/>
                <w:sz w:val="28"/>
                <w:szCs w:val="28"/>
              </w:rPr>
              <w:t>医生DRG指标</w:t>
            </w:r>
          </w:p>
        </w:tc>
        <w:tc>
          <w:tcPr>
            <w:tcW w:w="3578" w:type="pct"/>
            <w:vAlign w:val="center"/>
          </w:tcPr>
          <w:p w14:paraId="45F07814">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统计医生总病案数、入组病案数、入组率、总权重、CMI、总费用、平均住院日、总盈亏，支持图表分析。</w:t>
            </w:r>
          </w:p>
        </w:tc>
      </w:tr>
      <w:tr w14:paraId="17B3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467" w:type="pct"/>
            <w:vMerge w:val="continue"/>
            <w:vAlign w:val="center"/>
          </w:tcPr>
          <w:p w14:paraId="58F79741">
            <w:pPr>
              <w:spacing w:line="560" w:lineRule="exact"/>
              <w:ind w:firstLine="420" w:firstLineChars="150"/>
              <w:jc w:val="left"/>
              <w:rPr>
                <w:rFonts w:ascii="仿宋" w:hAnsi="仿宋" w:eastAsia="仿宋" w:cs="仿宋"/>
                <w:sz w:val="28"/>
                <w:szCs w:val="28"/>
              </w:rPr>
            </w:pPr>
          </w:p>
        </w:tc>
        <w:tc>
          <w:tcPr>
            <w:tcW w:w="954" w:type="pct"/>
            <w:vAlign w:val="center"/>
          </w:tcPr>
          <w:p w14:paraId="5BF6F8AB">
            <w:pPr>
              <w:spacing w:line="560" w:lineRule="exact"/>
              <w:jc w:val="left"/>
              <w:rPr>
                <w:rFonts w:ascii="仿宋" w:hAnsi="仿宋" w:eastAsia="仿宋" w:cs="仿宋"/>
                <w:sz w:val="28"/>
                <w:szCs w:val="28"/>
              </w:rPr>
            </w:pPr>
            <w:r>
              <w:rPr>
                <w:rFonts w:hint="eastAsia" w:ascii="仿宋" w:hAnsi="仿宋" w:eastAsia="仿宋" w:cs="仿宋"/>
                <w:sz w:val="28"/>
                <w:szCs w:val="28"/>
              </w:rPr>
              <w:t>病组DRG指标</w:t>
            </w:r>
          </w:p>
        </w:tc>
        <w:tc>
          <w:tcPr>
            <w:tcW w:w="3578" w:type="pct"/>
            <w:vAlign w:val="center"/>
          </w:tcPr>
          <w:p w14:paraId="4A6C3325">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每个科室的入组数、入组率、QY组数、0000组数、费用极高病案数、费用极低病案数，支持图表分析。</w:t>
            </w:r>
          </w:p>
        </w:tc>
      </w:tr>
      <w:tr w14:paraId="4556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467" w:type="pct"/>
            <w:vMerge w:val="continue"/>
            <w:vAlign w:val="center"/>
          </w:tcPr>
          <w:p w14:paraId="4B8682D7">
            <w:pPr>
              <w:spacing w:line="560" w:lineRule="exact"/>
              <w:ind w:firstLine="420" w:firstLineChars="150"/>
              <w:jc w:val="left"/>
              <w:rPr>
                <w:rFonts w:ascii="仿宋" w:hAnsi="仿宋" w:eastAsia="仿宋" w:cs="仿宋"/>
                <w:sz w:val="28"/>
                <w:szCs w:val="28"/>
              </w:rPr>
            </w:pPr>
          </w:p>
        </w:tc>
        <w:tc>
          <w:tcPr>
            <w:tcW w:w="954" w:type="pct"/>
            <w:vAlign w:val="center"/>
          </w:tcPr>
          <w:p w14:paraId="5DD34E25">
            <w:pPr>
              <w:spacing w:line="560" w:lineRule="exact"/>
              <w:jc w:val="left"/>
              <w:rPr>
                <w:rFonts w:ascii="仿宋" w:hAnsi="仿宋" w:eastAsia="仿宋" w:cs="仿宋"/>
                <w:sz w:val="28"/>
                <w:szCs w:val="28"/>
              </w:rPr>
            </w:pPr>
            <w:r>
              <w:rPr>
                <w:rFonts w:hint="eastAsia" w:ascii="仿宋" w:hAnsi="仿宋" w:eastAsia="仿宋" w:cs="仿宋"/>
                <w:sz w:val="28"/>
                <w:szCs w:val="28"/>
              </w:rPr>
              <w:t>全院资源使用分析</w:t>
            </w:r>
          </w:p>
        </w:tc>
        <w:tc>
          <w:tcPr>
            <w:tcW w:w="3578" w:type="pct"/>
            <w:vAlign w:val="center"/>
          </w:tcPr>
          <w:p w14:paraId="56E5E0C7">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展示筛选时间段内次均费用与平均住院日趋势，支持与去年同期比较。</w:t>
            </w:r>
          </w:p>
        </w:tc>
      </w:tr>
      <w:tr w14:paraId="35FA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467" w:type="pct"/>
            <w:vMerge w:val="continue"/>
            <w:vAlign w:val="center"/>
          </w:tcPr>
          <w:p w14:paraId="2CD61797">
            <w:pPr>
              <w:spacing w:line="560" w:lineRule="exact"/>
              <w:ind w:firstLine="420" w:firstLineChars="150"/>
              <w:jc w:val="left"/>
              <w:rPr>
                <w:rFonts w:ascii="仿宋" w:hAnsi="仿宋" w:eastAsia="仿宋" w:cs="仿宋"/>
                <w:sz w:val="28"/>
                <w:szCs w:val="28"/>
              </w:rPr>
            </w:pPr>
          </w:p>
        </w:tc>
        <w:tc>
          <w:tcPr>
            <w:tcW w:w="954" w:type="pct"/>
            <w:vAlign w:val="center"/>
          </w:tcPr>
          <w:p w14:paraId="6581EA25">
            <w:pPr>
              <w:spacing w:line="560" w:lineRule="exact"/>
              <w:jc w:val="left"/>
              <w:rPr>
                <w:rFonts w:ascii="仿宋" w:hAnsi="仿宋" w:eastAsia="仿宋" w:cs="仿宋"/>
                <w:sz w:val="28"/>
                <w:szCs w:val="28"/>
              </w:rPr>
            </w:pPr>
            <w:r>
              <w:rPr>
                <w:rFonts w:hint="eastAsia" w:ascii="仿宋" w:hAnsi="仿宋" w:eastAsia="仿宋" w:cs="仿宋"/>
                <w:sz w:val="28"/>
                <w:szCs w:val="28"/>
              </w:rPr>
              <w:t>病种费用结构分析</w:t>
            </w:r>
          </w:p>
        </w:tc>
        <w:tc>
          <w:tcPr>
            <w:tcW w:w="3578" w:type="pct"/>
            <w:vAlign w:val="center"/>
          </w:tcPr>
          <w:p w14:paraId="51809EFD">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依据入径病例数倒序展示各病种盈亏，并基于用户选定的大数据、本院或模板标杆，自动标识费用异常病例（如超标杆5%标红，低于80%标蓝）。支持从病种下钻至具体医生，并可进一步查看其药品、检查等项目的实际消耗与路径标准的对比，快速定位费用超标或治疗不足的根源，为医保临床路径优化和精准管控提供直接依据。</w:t>
            </w:r>
          </w:p>
        </w:tc>
      </w:tr>
      <w:tr w14:paraId="509C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401AAA50">
            <w:pPr>
              <w:spacing w:line="560" w:lineRule="exact"/>
              <w:ind w:firstLine="420" w:firstLineChars="150"/>
              <w:jc w:val="left"/>
              <w:rPr>
                <w:rFonts w:ascii="仿宋" w:hAnsi="仿宋" w:eastAsia="仿宋" w:cs="仿宋"/>
                <w:sz w:val="28"/>
                <w:szCs w:val="28"/>
              </w:rPr>
            </w:pPr>
          </w:p>
        </w:tc>
        <w:tc>
          <w:tcPr>
            <w:tcW w:w="954" w:type="pct"/>
            <w:vAlign w:val="center"/>
          </w:tcPr>
          <w:p w14:paraId="23710462">
            <w:pPr>
              <w:spacing w:line="560" w:lineRule="exact"/>
              <w:jc w:val="left"/>
              <w:rPr>
                <w:rFonts w:ascii="仿宋" w:hAnsi="仿宋" w:eastAsia="仿宋" w:cs="仿宋"/>
                <w:sz w:val="28"/>
                <w:szCs w:val="28"/>
              </w:rPr>
            </w:pPr>
            <w:r>
              <w:rPr>
                <w:rFonts w:hint="eastAsia" w:ascii="仿宋" w:hAnsi="仿宋" w:eastAsia="仿宋" w:cs="仿宋"/>
                <w:sz w:val="28"/>
                <w:szCs w:val="28"/>
              </w:rPr>
              <w:t>病组费用结构分析</w:t>
            </w:r>
          </w:p>
        </w:tc>
        <w:tc>
          <w:tcPr>
            <w:tcW w:w="3578" w:type="pct"/>
            <w:vAlign w:val="center"/>
          </w:tcPr>
          <w:p w14:paraId="36863CD3">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从病组的角度，剖析费用结构异常的病例，并通过分析当前医生在药品、检查等类别下的前五消耗项目，可快速定位导致费用超标的关键项目。</w:t>
            </w:r>
          </w:p>
        </w:tc>
      </w:tr>
      <w:tr w14:paraId="3687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restart"/>
            <w:vAlign w:val="center"/>
          </w:tcPr>
          <w:p w14:paraId="0E56EFAA">
            <w:pPr>
              <w:spacing w:line="560" w:lineRule="exact"/>
              <w:jc w:val="left"/>
              <w:rPr>
                <w:rFonts w:ascii="仿宋" w:hAnsi="仿宋" w:eastAsia="仿宋" w:cs="仿宋"/>
                <w:sz w:val="28"/>
                <w:szCs w:val="28"/>
              </w:rPr>
            </w:pPr>
            <w:r>
              <w:rPr>
                <w:rFonts w:hint="eastAsia" w:ascii="仿宋" w:hAnsi="仿宋" w:eastAsia="仿宋" w:cs="仿宋"/>
                <w:sz w:val="28"/>
                <w:szCs w:val="28"/>
              </w:rPr>
              <w:t>医保结算清单编码质控</w:t>
            </w:r>
          </w:p>
        </w:tc>
        <w:tc>
          <w:tcPr>
            <w:tcW w:w="954" w:type="pct"/>
            <w:shd w:val="clear" w:color="auto" w:fill="auto"/>
            <w:vAlign w:val="center"/>
          </w:tcPr>
          <w:p w14:paraId="1E8AA520">
            <w:pPr>
              <w:spacing w:line="560" w:lineRule="exact"/>
              <w:ind w:firstLine="420" w:firstLineChars="150"/>
              <w:jc w:val="left"/>
              <w:rPr>
                <w:rFonts w:ascii="仿宋" w:hAnsi="仿宋" w:eastAsia="仿宋" w:cs="仿宋"/>
                <w:sz w:val="28"/>
                <w:szCs w:val="28"/>
              </w:rPr>
            </w:pPr>
          </w:p>
          <w:p w14:paraId="2408594A">
            <w:pPr>
              <w:spacing w:line="560" w:lineRule="exact"/>
              <w:jc w:val="left"/>
              <w:rPr>
                <w:rFonts w:ascii="仿宋" w:hAnsi="仿宋" w:eastAsia="仿宋" w:cs="仿宋"/>
                <w:sz w:val="28"/>
                <w:szCs w:val="28"/>
              </w:rPr>
            </w:pPr>
            <w:r>
              <w:rPr>
                <w:rFonts w:hint="eastAsia" w:ascii="仿宋" w:hAnsi="仿宋" w:eastAsia="仿宋" w:cs="仿宋"/>
                <w:sz w:val="28"/>
                <w:szCs w:val="28"/>
              </w:rPr>
              <w:t>医生清单一级质控</w:t>
            </w:r>
          </w:p>
        </w:tc>
        <w:tc>
          <w:tcPr>
            <w:tcW w:w="3578" w:type="pct"/>
            <w:shd w:val="clear" w:color="auto" w:fill="auto"/>
            <w:vAlign w:val="center"/>
          </w:tcPr>
          <w:p w14:paraId="3B663AED">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医生在提交病案首页前，需对医保结算清单编码进行一级质控：</w:t>
            </w:r>
          </w:p>
          <w:p w14:paraId="2597F114">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按结算清单的编码规则，读取HIS系统费用明细，并结合病案首页的规则，对医生编码信息综合评判，提醒没有核心资源消耗的诊断，无效的诊断、主要诊断选择错误、合并编码、高编入组、低编入组行为。</w:t>
            </w:r>
          </w:p>
          <w:p w14:paraId="1682662B">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系统支持展示每个诊断的资源消耗金额和费用明细组成，能够区别标记与当前诊断直接关系的资源消耗和间接关系的资源消耗，指引医生标记不上传的诊断。</w:t>
            </w:r>
          </w:p>
          <w:p w14:paraId="26FC95BB">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系统支持将病组的目标标杆，当作医生的参考标杆，且区分主要诊断资源消耗和并发症消耗，对不合理费用结构以颜色方式警示给医生。</w:t>
            </w:r>
          </w:p>
          <w:p w14:paraId="3F64E970">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系统支持对ICD-10和ICD-9-CM-3编码增删改和调整。</w:t>
            </w:r>
          </w:p>
        </w:tc>
      </w:tr>
      <w:tr w14:paraId="5C9F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1AC8282B">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03702570">
            <w:pPr>
              <w:spacing w:line="560" w:lineRule="exact"/>
              <w:ind w:firstLine="420" w:firstLineChars="150"/>
              <w:jc w:val="left"/>
              <w:rPr>
                <w:rFonts w:ascii="仿宋" w:hAnsi="仿宋" w:eastAsia="仿宋" w:cs="仿宋"/>
                <w:sz w:val="28"/>
                <w:szCs w:val="28"/>
              </w:rPr>
            </w:pPr>
          </w:p>
          <w:p w14:paraId="315BAFBC">
            <w:pPr>
              <w:spacing w:line="560" w:lineRule="exact"/>
              <w:jc w:val="left"/>
              <w:rPr>
                <w:rFonts w:ascii="仿宋" w:hAnsi="仿宋" w:eastAsia="仿宋" w:cs="仿宋"/>
                <w:sz w:val="28"/>
                <w:szCs w:val="28"/>
              </w:rPr>
            </w:pPr>
            <w:r>
              <w:rPr>
                <w:rFonts w:hint="eastAsia" w:ascii="仿宋" w:hAnsi="仿宋" w:eastAsia="仿宋" w:cs="仿宋"/>
                <w:sz w:val="28"/>
                <w:szCs w:val="28"/>
              </w:rPr>
              <w:t>清单二级质控</w:t>
            </w:r>
          </w:p>
        </w:tc>
        <w:tc>
          <w:tcPr>
            <w:tcW w:w="3578" w:type="pct"/>
            <w:shd w:val="clear" w:color="auto" w:fill="auto"/>
            <w:vAlign w:val="center"/>
          </w:tcPr>
          <w:p w14:paraId="1B4ED7F6">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病案科质控病案首页后，需对医保结算清单编码进行二级质控：</w:t>
            </w:r>
          </w:p>
          <w:p w14:paraId="0EB852ED">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按结算清单的编码规则，读取HIS系统费用明细，并结合病案首页的规则，辅助质控人对医生编码信息综合评判，提醒没有核心资源消耗的诊断，无效的诊断、主要诊断选择错误、合并编码、高编入组、低编入组行为。</w:t>
            </w:r>
          </w:p>
          <w:p w14:paraId="743DD367">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系统支持展示每个诊断的资源消耗金额和费用明细组成，能够区别标记与当前诊断直接关系的资源消耗和间接关系的资源消耗，指引标记不上传的诊断，并指引用户标记不上传的原因，方便复核。</w:t>
            </w:r>
          </w:p>
          <w:p w14:paraId="544E6ED7">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系统支持对ICD-10和ICD-9-CM-3编码增删改和调整，结算清单和医生清单不一致的编码标记颜色。支持清单审核和抽查复核。</w:t>
            </w:r>
          </w:p>
          <w:p w14:paraId="03041C2B">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病案首页和结算清单可以分别单独调整、保存上传。</w:t>
            </w:r>
          </w:p>
        </w:tc>
      </w:tr>
      <w:tr w14:paraId="7C2E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18C7CAFA">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1A1F6893">
            <w:pPr>
              <w:spacing w:line="560" w:lineRule="exact"/>
              <w:jc w:val="left"/>
              <w:rPr>
                <w:rFonts w:ascii="仿宋" w:hAnsi="仿宋" w:eastAsia="仿宋" w:cs="仿宋"/>
                <w:sz w:val="28"/>
                <w:szCs w:val="28"/>
              </w:rPr>
            </w:pPr>
            <w:r>
              <w:rPr>
                <w:rFonts w:hint="eastAsia" w:ascii="仿宋" w:hAnsi="仿宋" w:eastAsia="仿宋" w:cs="仿宋"/>
                <w:sz w:val="28"/>
                <w:szCs w:val="28"/>
              </w:rPr>
              <w:t>编码比较</w:t>
            </w:r>
          </w:p>
        </w:tc>
        <w:tc>
          <w:tcPr>
            <w:tcW w:w="3578" w:type="pct"/>
            <w:shd w:val="clear" w:color="auto" w:fill="auto"/>
            <w:vAlign w:val="center"/>
          </w:tcPr>
          <w:p w14:paraId="043B2069">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支持不同数据来源：医生首页、医生清单、病案首页、结算清单的入组情况进行统计分析不一致的分组，权重差，并支持查阅明细。</w:t>
            </w:r>
          </w:p>
        </w:tc>
      </w:tr>
      <w:tr w14:paraId="3D96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39490441">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45E40CF4">
            <w:pPr>
              <w:spacing w:line="560" w:lineRule="exact"/>
              <w:jc w:val="left"/>
              <w:rPr>
                <w:rFonts w:ascii="仿宋" w:hAnsi="仿宋" w:eastAsia="仿宋" w:cs="仿宋"/>
                <w:sz w:val="28"/>
                <w:szCs w:val="28"/>
              </w:rPr>
            </w:pPr>
            <w:r>
              <w:rPr>
                <w:rFonts w:hint="eastAsia" w:ascii="仿宋" w:hAnsi="仿宋" w:eastAsia="仿宋" w:cs="仿宋"/>
                <w:sz w:val="28"/>
                <w:szCs w:val="28"/>
              </w:rPr>
              <w:t>清单质控统计</w:t>
            </w:r>
          </w:p>
        </w:tc>
        <w:tc>
          <w:tcPr>
            <w:tcW w:w="3578" w:type="pct"/>
            <w:shd w:val="clear" w:color="auto" w:fill="auto"/>
            <w:vAlign w:val="center"/>
          </w:tcPr>
          <w:p w14:paraId="018787FA">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系统支持从不同维度，例如：结算清单 VS 医生清单；结算清单 VS 医生首页等；分析统计质控病例数、质控比例、主要诊断符合率、主要手术符合率、入组符合率、避免高编/低编。</w:t>
            </w:r>
          </w:p>
        </w:tc>
      </w:tr>
      <w:tr w14:paraId="627A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restart"/>
            <w:vAlign w:val="center"/>
          </w:tcPr>
          <w:p w14:paraId="098DE684">
            <w:pPr>
              <w:spacing w:line="560" w:lineRule="exact"/>
              <w:jc w:val="left"/>
              <w:rPr>
                <w:rFonts w:ascii="仿宋" w:hAnsi="仿宋" w:eastAsia="仿宋" w:cs="仿宋"/>
                <w:sz w:val="28"/>
                <w:szCs w:val="28"/>
              </w:rPr>
            </w:pPr>
            <w:r>
              <w:rPr>
                <w:rFonts w:hint="eastAsia" w:ascii="仿宋" w:hAnsi="仿宋" w:eastAsia="仿宋" w:cs="仿宋"/>
                <w:sz w:val="28"/>
                <w:szCs w:val="28"/>
              </w:rPr>
              <w:t>医保基金监管</w:t>
            </w:r>
          </w:p>
        </w:tc>
        <w:tc>
          <w:tcPr>
            <w:tcW w:w="954" w:type="pct"/>
            <w:shd w:val="clear" w:color="auto" w:fill="auto"/>
            <w:vAlign w:val="center"/>
          </w:tcPr>
          <w:p w14:paraId="5F39683B">
            <w:pPr>
              <w:spacing w:line="560" w:lineRule="exact"/>
              <w:jc w:val="left"/>
              <w:rPr>
                <w:rFonts w:ascii="仿宋" w:hAnsi="仿宋" w:eastAsia="仿宋" w:cs="仿宋"/>
                <w:sz w:val="28"/>
                <w:szCs w:val="28"/>
              </w:rPr>
            </w:pPr>
            <w:r>
              <w:rPr>
                <w:rFonts w:hint="eastAsia" w:ascii="仿宋" w:hAnsi="仿宋" w:eastAsia="仿宋" w:cs="仿宋"/>
                <w:sz w:val="28"/>
                <w:szCs w:val="28"/>
              </w:rPr>
              <w:t>降低入院指针监管</w:t>
            </w:r>
          </w:p>
        </w:tc>
        <w:tc>
          <w:tcPr>
            <w:tcW w:w="3578" w:type="pct"/>
            <w:shd w:val="clear" w:color="auto" w:fill="auto"/>
            <w:vAlign w:val="center"/>
          </w:tcPr>
          <w:p w14:paraId="65FC87AE">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 xml:space="preserve">重点稽查：体检式住院，轻症住院，主要诊断无核心治疗，主要诊断非最大资源消耗； </w:t>
            </w:r>
          </w:p>
          <w:p w14:paraId="042C8596">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“系统”应具备临床路径诊疗知识库，能够识别以上异常行为，并交由医保科进行复审。</w:t>
            </w:r>
          </w:p>
        </w:tc>
      </w:tr>
      <w:tr w14:paraId="6B22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38580E43">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7D7BAA74">
            <w:pPr>
              <w:spacing w:line="560" w:lineRule="exact"/>
              <w:jc w:val="left"/>
              <w:rPr>
                <w:rFonts w:ascii="仿宋" w:hAnsi="仿宋" w:eastAsia="仿宋" w:cs="仿宋"/>
                <w:sz w:val="28"/>
                <w:szCs w:val="28"/>
              </w:rPr>
            </w:pPr>
            <w:r>
              <w:rPr>
                <w:rFonts w:hint="eastAsia" w:ascii="仿宋" w:hAnsi="仿宋" w:eastAsia="仿宋" w:cs="仿宋"/>
                <w:sz w:val="28"/>
                <w:szCs w:val="28"/>
              </w:rPr>
              <w:t>必要服务监管</w:t>
            </w:r>
          </w:p>
        </w:tc>
        <w:tc>
          <w:tcPr>
            <w:tcW w:w="3578" w:type="pct"/>
            <w:shd w:val="clear" w:color="auto" w:fill="auto"/>
            <w:vAlign w:val="center"/>
          </w:tcPr>
          <w:p w14:paraId="6FAAC2D5">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重点稽查：按DRG结算，且0.6倍率以下，必做而未做项目较多的病例；核心治疗不足的病例。</w:t>
            </w:r>
          </w:p>
          <w:p w14:paraId="5A2C7DF4">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“系统”应具备临床路径诊疗知识库，能够识别以上异常行为，并交由医保科进行复审。</w:t>
            </w:r>
          </w:p>
        </w:tc>
      </w:tr>
      <w:tr w14:paraId="12DE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1DAF216C">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2AB36984">
            <w:pPr>
              <w:spacing w:line="560" w:lineRule="exact"/>
              <w:jc w:val="left"/>
              <w:rPr>
                <w:rFonts w:ascii="仿宋" w:hAnsi="仿宋" w:eastAsia="仿宋" w:cs="仿宋"/>
                <w:sz w:val="28"/>
                <w:szCs w:val="28"/>
              </w:rPr>
            </w:pPr>
            <w:r>
              <w:rPr>
                <w:rFonts w:hint="eastAsia" w:ascii="仿宋" w:hAnsi="仿宋" w:eastAsia="仿宋" w:cs="仿宋"/>
                <w:sz w:val="28"/>
                <w:szCs w:val="28"/>
              </w:rPr>
              <w:t>重复住院监管</w:t>
            </w:r>
          </w:p>
        </w:tc>
        <w:tc>
          <w:tcPr>
            <w:tcW w:w="3578" w:type="pct"/>
            <w:shd w:val="clear" w:color="auto" w:fill="auto"/>
            <w:vAlign w:val="center"/>
          </w:tcPr>
          <w:p w14:paraId="6828FA2D">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重点稽查：3天、7天、15天、30天内重复住院的病例。</w:t>
            </w:r>
          </w:p>
          <w:p w14:paraId="0C302395">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事前提醒：与HIS系统集成，重点对3天内的重复住院病例，强制交由医保科审核通过后，方可以办理入院。</w:t>
            </w:r>
          </w:p>
        </w:tc>
      </w:tr>
      <w:tr w14:paraId="1B4F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50299EB4">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4FAFD6E9">
            <w:pPr>
              <w:spacing w:line="560" w:lineRule="exact"/>
              <w:jc w:val="left"/>
              <w:rPr>
                <w:rFonts w:ascii="仿宋" w:hAnsi="仿宋" w:eastAsia="仿宋" w:cs="仿宋"/>
                <w:sz w:val="28"/>
                <w:szCs w:val="28"/>
              </w:rPr>
            </w:pPr>
            <w:r>
              <w:rPr>
                <w:rFonts w:hint="eastAsia" w:ascii="仿宋" w:hAnsi="仿宋" w:eastAsia="仿宋" w:cs="仿宋"/>
                <w:sz w:val="28"/>
                <w:szCs w:val="28"/>
              </w:rPr>
              <w:t>低码高编监管</w:t>
            </w:r>
          </w:p>
        </w:tc>
        <w:tc>
          <w:tcPr>
            <w:tcW w:w="3578" w:type="pct"/>
            <w:shd w:val="clear" w:color="auto" w:fill="auto"/>
            <w:vAlign w:val="center"/>
          </w:tcPr>
          <w:p w14:paraId="58EB9ED5">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能按照资源消耗最多的作为主要诊断，无资源消耗的其他诊断，均不允许上传到医保中心；</w:t>
            </w:r>
          </w:p>
          <w:p w14:paraId="2290A2C0">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重点稽查：高套分组，造成基金损失。</w:t>
            </w:r>
          </w:p>
        </w:tc>
      </w:tr>
      <w:tr w14:paraId="609E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2C9CA681">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2ECF6640">
            <w:pPr>
              <w:spacing w:line="560" w:lineRule="exact"/>
              <w:jc w:val="left"/>
              <w:rPr>
                <w:rFonts w:ascii="仿宋" w:hAnsi="仿宋" w:eastAsia="仿宋" w:cs="仿宋"/>
                <w:sz w:val="28"/>
                <w:szCs w:val="28"/>
              </w:rPr>
            </w:pPr>
            <w:r>
              <w:rPr>
                <w:rFonts w:hint="eastAsia" w:ascii="仿宋" w:hAnsi="仿宋" w:eastAsia="仿宋" w:cs="仿宋"/>
                <w:sz w:val="28"/>
                <w:szCs w:val="28"/>
              </w:rPr>
              <w:t>费用分解监管</w:t>
            </w:r>
          </w:p>
        </w:tc>
        <w:tc>
          <w:tcPr>
            <w:tcW w:w="3578" w:type="pct"/>
            <w:shd w:val="clear" w:color="auto" w:fill="auto"/>
            <w:vAlign w:val="center"/>
          </w:tcPr>
          <w:p w14:paraId="36736534">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重点稽查：将住院费用向门诊转移以获得更多结余的情况。</w:t>
            </w:r>
          </w:p>
        </w:tc>
      </w:tr>
      <w:tr w14:paraId="211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Align w:val="center"/>
          </w:tcPr>
          <w:p w14:paraId="5CA89649">
            <w:pPr>
              <w:spacing w:line="560" w:lineRule="exact"/>
              <w:jc w:val="left"/>
              <w:rPr>
                <w:rFonts w:ascii="仿宋" w:hAnsi="仿宋" w:eastAsia="仿宋" w:cs="仿宋"/>
                <w:sz w:val="28"/>
                <w:szCs w:val="28"/>
              </w:rPr>
            </w:pPr>
            <w:r>
              <w:rPr>
                <w:rFonts w:hint="eastAsia" w:ascii="仿宋" w:hAnsi="仿宋" w:eastAsia="仿宋" w:cs="仿宋"/>
                <w:sz w:val="28"/>
                <w:szCs w:val="28"/>
              </w:rPr>
              <w:t>特病单议</w:t>
            </w:r>
          </w:p>
        </w:tc>
        <w:tc>
          <w:tcPr>
            <w:tcW w:w="954" w:type="pct"/>
            <w:shd w:val="clear" w:color="auto" w:fill="auto"/>
            <w:vAlign w:val="center"/>
          </w:tcPr>
          <w:p w14:paraId="40012D73">
            <w:pPr>
              <w:spacing w:line="560" w:lineRule="exact"/>
              <w:jc w:val="left"/>
              <w:rPr>
                <w:rFonts w:ascii="仿宋" w:hAnsi="仿宋" w:eastAsia="仿宋" w:cs="仿宋"/>
                <w:sz w:val="28"/>
                <w:szCs w:val="28"/>
              </w:rPr>
            </w:pPr>
            <w:r>
              <w:rPr>
                <w:rFonts w:hint="eastAsia" w:ascii="仿宋" w:hAnsi="仿宋" w:eastAsia="仿宋" w:cs="仿宋"/>
                <w:sz w:val="28"/>
                <w:szCs w:val="28"/>
              </w:rPr>
              <w:t>特病单议最符合条件筛查</w:t>
            </w:r>
          </w:p>
        </w:tc>
        <w:tc>
          <w:tcPr>
            <w:tcW w:w="3578" w:type="pct"/>
            <w:shd w:val="clear" w:color="auto" w:fill="auto"/>
            <w:vAlign w:val="center"/>
          </w:tcPr>
          <w:p w14:paraId="6756249D">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协助用户快速找出期间时间段内最符合单议条件的病例：支持定期从两定平台导入数据到本地，分离出不符合单议条件的病例，在按DRG付费的亏损病例中，优选最适合单议的病例，辅助用户标记单议类型和申请内容。</w:t>
            </w:r>
          </w:p>
        </w:tc>
      </w:tr>
      <w:tr w14:paraId="6CBC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restart"/>
            <w:vAlign w:val="center"/>
          </w:tcPr>
          <w:p w14:paraId="2BD292A1">
            <w:pPr>
              <w:spacing w:line="560" w:lineRule="exact"/>
              <w:jc w:val="left"/>
              <w:rPr>
                <w:rFonts w:ascii="仿宋" w:hAnsi="仿宋" w:eastAsia="仿宋" w:cs="仿宋"/>
                <w:sz w:val="28"/>
                <w:szCs w:val="28"/>
              </w:rPr>
            </w:pPr>
            <w:r>
              <w:rPr>
                <w:rFonts w:hint="eastAsia" w:ascii="仿宋" w:hAnsi="仿宋" w:eastAsia="仿宋" w:cs="仿宋"/>
                <w:sz w:val="28"/>
                <w:szCs w:val="28"/>
              </w:rPr>
              <w:t>事前预警</w:t>
            </w:r>
          </w:p>
        </w:tc>
        <w:tc>
          <w:tcPr>
            <w:tcW w:w="954" w:type="pct"/>
            <w:shd w:val="clear" w:color="auto" w:fill="auto"/>
            <w:vAlign w:val="center"/>
          </w:tcPr>
          <w:p w14:paraId="0FA22367">
            <w:pPr>
              <w:spacing w:line="560" w:lineRule="exact"/>
              <w:ind w:firstLine="420" w:firstLineChars="150"/>
              <w:jc w:val="left"/>
              <w:rPr>
                <w:rFonts w:ascii="仿宋" w:hAnsi="仿宋" w:eastAsia="仿宋" w:cs="仿宋"/>
                <w:sz w:val="28"/>
                <w:szCs w:val="28"/>
              </w:rPr>
            </w:pPr>
          </w:p>
          <w:p w14:paraId="094E506A">
            <w:pPr>
              <w:spacing w:line="560" w:lineRule="exact"/>
              <w:jc w:val="left"/>
              <w:rPr>
                <w:rFonts w:ascii="仿宋" w:hAnsi="仿宋" w:eastAsia="仿宋" w:cs="仿宋"/>
                <w:sz w:val="28"/>
                <w:szCs w:val="28"/>
              </w:rPr>
            </w:pPr>
            <w:r>
              <w:rPr>
                <w:rFonts w:hint="eastAsia" w:ascii="仿宋" w:hAnsi="仿宋" w:eastAsia="仿宋" w:cs="仿宋"/>
                <w:sz w:val="28"/>
                <w:szCs w:val="28"/>
              </w:rPr>
              <w:t>门诊医嘱实时拦截</w:t>
            </w:r>
          </w:p>
        </w:tc>
        <w:tc>
          <w:tcPr>
            <w:tcW w:w="3578" w:type="pct"/>
            <w:shd w:val="clear" w:color="auto" w:fill="auto"/>
            <w:vAlign w:val="center"/>
          </w:tcPr>
          <w:p w14:paraId="06745D45">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“系统”在医生为门特病患者、普通患者开具医嘱时，可实时拦截超范围、超量的处方。</w:t>
            </w:r>
          </w:p>
        </w:tc>
      </w:tr>
      <w:tr w14:paraId="3ACD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00E97E5B">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63506AE3">
            <w:pPr>
              <w:spacing w:line="560" w:lineRule="exact"/>
              <w:jc w:val="left"/>
              <w:rPr>
                <w:rFonts w:ascii="仿宋" w:hAnsi="仿宋" w:eastAsia="仿宋" w:cs="仿宋"/>
                <w:sz w:val="28"/>
                <w:szCs w:val="28"/>
              </w:rPr>
            </w:pPr>
            <w:r>
              <w:rPr>
                <w:rFonts w:hint="eastAsia" w:ascii="仿宋" w:hAnsi="仿宋" w:eastAsia="仿宋" w:cs="仿宋"/>
                <w:sz w:val="28"/>
                <w:szCs w:val="28"/>
              </w:rPr>
              <w:t>门诊特病/普通患者用药超量管理</w:t>
            </w:r>
          </w:p>
        </w:tc>
        <w:tc>
          <w:tcPr>
            <w:tcW w:w="3578" w:type="pct"/>
            <w:shd w:val="clear" w:color="auto" w:fill="auto"/>
            <w:vAlign w:val="center"/>
          </w:tcPr>
          <w:p w14:paraId="5C89AE58">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系统支持设置药品的适应症、禁忌症，并可以设置每个项目的月、年的最大用量。当超过设置金额时，在开医嘱或收费自动弹窗提醒。</w:t>
            </w:r>
          </w:p>
        </w:tc>
      </w:tr>
      <w:tr w14:paraId="4CEB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2F4DC7A5">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73F7B805">
            <w:pPr>
              <w:spacing w:line="560" w:lineRule="exact"/>
              <w:jc w:val="left"/>
              <w:rPr>
                <w:rFonts w:ascii="仿宋" w:hAnsi="仿宋" w:eastAsia="仿宋" w:cs="仿宋"/>
                <w:sz w:val="28"/>
                <w:szCs w:val="28"/>
              </w:rPr>
            </w:pPr>
            <w:r>
              <w:rPr>
                <w:rFonts w:hint="eastAsia" w:ascii="仿宋" w:hAnsi="仿宋" w:eastAsia="仿宋" w:cs="仿宋"/>
                <w:sz w:val="28"/>
                <w:szCs w:val="28"/>
              </w:rPr>
              <w:t>住院医嘱实时拦截</w:t>
            </w:r>
          </w:p>
        </w:tc>
        <w:tc>
          <w:tcPr>
            <w:tcW w:w="3578" w:type="pct"/>
            <w:shd w:val="clear" w:color="auto" w:fill="auto"/>
            <w:vAlign w:val="center"/>
          </w:tcPr>
          <w:p w14:paraId="205984DA">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“系统”在医生为在院患者开具医嘱时，可实时拦截不符合医保政策、违反物价、违反诊疗规范或医院管理规则的医疗行为，从源头减少医保违规风险；可以提醒或禁止。</w:t>
            </w:r>
          </w:p>
        </w:tc>
      </w:tr>
      <w:tr w14:paraId="5FCF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786BA11A">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4414FE02">
            <w:pPr>
              <w:spacing w:line="560" w:lineRule="exact"/>
              <w:jc w:val="left"/>
              <w:rPr>
                <w:rFonts w:ascii="仿宋" w:hAnsi="仿宋" w:eastAsia="仿宋" w:cs="仿宋"/>
                <w:sz w:val="28"/>
                <w:szCs w:val="28"/>
              </w:rPr>
            </w:pPr>
            <w:r>
              <w:rPr>
                <w:rFonts w:hint="eastAsia" w:ascii="仿宋" w:hAnsi="仿宋" w:eastAsia="仿宋" w:cs="仿宋"/>
                <w:sz w:val="28"/>
                <w:szCs w:val="28"/>
              </w:rPr>
              <w:t>住院记账/出院实时拦截</w:t>
            </w:r>
          </w:p>
        </w:tc>
        <w:tc>
          <w:tcPr>
            <w:tcW w:w="3578" w:type="pct"/>
            <w:shd w:val="clear" w:color="auto" w:fill="auto"/>
            <w:vAlign w:val="center"/>
          </w:tcPr>
          <w:p w14:paraId="506897D5">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“系统”在护士记账/病人出院时，可实时拦截违反物价或本次住院累计超限量、超疗程的医疗行为。如出现以上行为，进行提醒或禁止出院，从源头减少医保违规风险。</w:t>
            </w:r>
          </w:p>
        </w:tc>
      </w:tr>
      <w:tr w14:paraId="111F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0C4D2060">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659295DD">
            <w:pPr>
              <w:spacing w:line="560" w:lineRule="exact"/>
              <w:jc w:val="left"/>
              <w:rPr>
                <w:rFonts w:ascii="仿宋" w:hAnsi="仿宋" w:eastAsia="仿宋" w:cs="仿宋"/>
                <w:sz w:val="28"/>
                <w:szCs w:val="28"/>
              </w:rPr>
            </w:pPr>
            <w:r>
              <w:rPr>
                <w:rFonts w:hint="eastAsia" w:ascii="仿宋" w:hAnsi="仿宋" w:eastAsia="仿宋" w:cs="仿宋"/>
                <w:sz w:val="28"/>
                <w:szCs w:val="28"/>
              </w:rPr>
              <w:t>执行医嘱拦截</w:t>
            </w:r>
          </w:p>
        </w:tc>
        <w:tc>
          <w:tcPr>
            <w:tcW w:w="3578" w:type="pct"/>
            <w:shd w:val="clear" w:color="auto" w:fill="auto"/>
            <w:vAlign w:val="center"/>
          </w:tcPr>
          <w:p w14:paraId="6AA73867">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“系统”在护士执行医嘱时，可实时拦截违反物价或本次住院累计超限量、超疗程的医疗行为，从源头减少医保违规风险；可以提醒或禁止。</w:t>
            </w:r>
          </w:p>
        </w:tc>
      </w:tr>
      <w:tr w14:paraId="3E58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Merge w:val="continue"/>
            <w:vAlign w:val="center"/>
          </w:tcPr>
          <w:p w14:paraId="4D9BCEEA">
            <w:pPr>
              <w:spacing w:line="560" w:lineRule="exact"/>
              <w:ind w:firstLine="420" w:firstLineChars="150"/>
              <w:jc w:val="left"/>
              <w:rPr>
                <w:rFonts w:ascii="仿宋" w:hAnsi="仿宋" w:eastAsia="仿宋" w:cs="仿宋"/>
                <w:sz w:val="28"/>
                <w:szCs w:val="28"/>
              </w:rPr>
            </w:pPr>
          </w:p>
        </w:tc>
        <w:tc>
          <w:tcPr>
            <w:tcW w:w="954" w:type="pct"/>
            <w:shd w:val="clear" w:color="auto" w:fill="auto"/>
            <w:vAlign w:val="center"/>
          </w:tcPr>
          <w:p w14:paraId="15888FC3">
            <w:pPr>
              <w:spacing w:line="560" w:lineRule="exact"/>
              <w:jc w:val="left"/>
              <w:rPr>
                <w:rFonts w:ascii="仿宋" w:hAnsi="仿宋" w:eastAsia="仿宋" w:cs="仿宋"/>
                <w:sz w:val="28"/>
                <w:szCs w:val="28"/>
              </w:rPr>
            </w:pPr>
            <w:r>
              <w:rPr>
                <w:rFonts w:hint="eastAsia" w:ascii="仿宋" w:hAnsi="仿宋" w:eastAsia="仿宋" w:cs="仿宋"/>
                <w:sz w:val="28"/>
                <w:szCs w:val="28"/>
              </w:rPr>
              <w:t>住院门诊开处方拦截</w:t>
            </w:r>
          </w:p>
        </w:tc>
        <w:tc>
          <w:tcPr>
            <w:tcW w:w="3578" w:type="pct"/>
            <w:shd w:val="clear" w:color="auto" w:fill="auto"/>
            <w:vAlign w:val="center"/>
          </w:tcPr>
          <w:p w14:paraId="0A2E9A4F">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住院患者住院期间门诊开药监管；可以提醒或禁止。</w:t>
            </w:r>
          </w:p>
        </w:tc>
      </w:tr>
      <w:tr w14:paraId="51EC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Align w:val="center"/>
          </w:tcPr>
          <w:p w14:paraId="6169CBBD">
            <w:pPr>
              <w:spacing w:line="560" w:lineRule="exact"/>
              <w:jc w:val="left"/>
              <w:rPr>
                <w:rFonts w:ascii="仿宋" w:hAnsi="仿宋" w:eastAsia="仿宋" w:cs="仿宋"/>
                <w:sz w:val="28"/>
                <w:szCs w:val="28"/>
              </w:rPr>
            </w:pPr>
            <w:r>
              <w:rPr>
                <w:rFonts w:hint="eastAsia" w:ascii="仿宋" w:hAnsi="仿宋" w:eastAsia="仿宋" w:cs="仿宋"/>
                <w:sz w:val="28"/>
                <w:szCs w:val="28"/>
              </w:rPr>
              <w:t>知识库引擎</w:t>
            </w:r>
          </w:p>
        </w:tc>
        <w:tc>
          <w:tcPr>
            <w:tcW w:w="954" w:type="pct"/>
            <w:shd w:val="clear" w:color="auto" w:fill="auto"/>
            <w:vAlign w:val="center"/>
          </w:tcPr>
          <w:p w14:paraId="13D1E925">
            <w:pPr>
              <w:spacing w:line="560" w:lineRule="exact"/>
              <w:jc w:val="left"/>
              <w:rPr>
                <w:rFonts w:ascii="仿宋" w:hAnsi="仿宋" w:eastAsia="仿宋" w:cs="仿宋"/>
                <w:sz w:val="28"/>
                <w:szCs w:val="28"/>
              </w:rPr>
            </w:pPr>
            <w:r>
              <w:rPr>
                <w:rFonts w:hint="eastAsia" w:ascii="仿宋" w:hAnsi="仿宋" w:eastAsia="仿宋" w:cs="仿宋"/>
                <w:sz w:val="28"/>
                <w:szCs w:val="28"/>
              </w:rPr>
              <w:t>知识库规则</w:t>
            </w:r>
          </w:p>
        </w:tc>
        <w:tc>
          <w:tcPr>
            <w:tcW w:w="3578" w:type="pct"/>
            <w:shd w:val="clear" w:color="auto" w:fill="auto"/>
            <w:vAlign w:val="center"/>
          </w:tcPr>
          <w:p w14:paraId="51EBDD60">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知识库需涵盖：医嘱、费用、处方、病案四大板块；涉及药品知识库、临床路径知识库、医保结算清单编码规则、病案编码规则等。</w:t>
            </w:r>
          </w:p>
          <w:p w14:paraId="2E2AE982">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知识库规则：由乙方负责知识更新及维护。</w:t>
            </w:r>
          </w:p>
        </w:tc>
      </w:tr>
      <w:tr w14:paraId="228D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7" w:type="pct"/>
            <w:vAlign w:val="center"/>
          </w:tcPr>
          <w:p w14:paraId="48BE43F3">
            <w:pPr>
              <w:spacing w:line="560" w:lineRule="exact"/>
              <w:jc w:val="left"/>
              <w:rPr>
                <w:rFonts w:ascii="仿宋" w:hAnsi="仿宋" w:eastAsia="仿宋" w:cs="仿宋"/>
                <w:sz w:val="28"/>
                <w:szCs w:val="28"/>
              </w:rPr>
            </w:pPr>
            <w:r>
              <w:rPr>
                <w:rFonts w:hint="eastAsia" w:ascii="仿宋" w:hAnsi="仿宋" w:eastAsia="仿宋" w:cs="仿宋"/>
                <w:sz w:val="28"/>
                <w:szCs w:val="28"/>
              </w:rPr>
              <w:t>数据提取</w:t>
            </w:r>
          </w:p>
        </w:tc>
        <w:tc>
          <w:tcPr>
            <w:tcW w:w="954" w:type="pct"/>
            <w:shd w:val="clear" w:color="auto" w:fill="auto"/>
            <w:vAlign w:val="center"/>
          </w:tcPr>
          <w:p w14:paraId="5345FAA1">
            <w:pPr>
              <w:spacing w:line="560" w:lineRule="exact"/>
              <w:jc w:val="left"/>
              <w:rPr>
                <w:rFonts w:ascii="仿宋" w:hAnsi="仿宋" w:eastAsia="仿宋" w:cs="仿宋"/>
                <w:sz w:val="28"/>
                <w:szCs w:val="28"/>
              </w:rPr>
            </w:pPr>
            <w:r>
              <w:rPr>
                <w:rFonts w:hint="eastAsia" w:ascii="仿宋" w:hAnsi="仿宋" w:eastAsia="仿宋" w:cs="仿宋"/>
                <w:sz w:val="28"/>
                <w:szCs w:val="28"/>
              </w:rPr>
              <w:t>自定义规则</w:t>
            </w:r>
          </w:p>
        </w:tc>
        <w:tc>
          <w:tcPr>
            <w:tcW w:w="3578" w:type="pct"/>
            <w:shd w:val="clear" w:color="auto" w:fill="auto"/>
            <w:vAlign w:val="center"/>
          </w:tcPr>
          <w:p w14:paraId="42D391E7">
            <w:pPr>
              <w:spacing w:line="56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提取违规数据明细。</w:t>
            </w:r>
          </w:p>
        </w:tc>
      </w:tr>
    </w:tbl>
    <w:p w14:paraId="5B6527A1">
      <w:pPr>
        <w:spacing w:line="560" w:lineRule="exact"/>
        <w:rPr>
          <w:rFonts w:ascii="仿宋" w:hAnsi="仿宋" w:eastAsia="仿宋" w:cs="黑体"/>
          <w:sz w:val="28"/>
          <w:szCs w:val="28"/>
        </w:rPr>
      </w:pPr>
    </w:p>
    <w:p w14:paraId="2E5AFB26">
      <w:pPr>
        <w:spacing w:line="560" w:lineRule="exact"/>
        <w:ind w:left="480"/>
        <w:rPr>
          <w:rFonts w:ascii="仿宋" w:hAnsi="仿宋" w:eastAsia="仿宋" w:cs="黑体"/>
          <w:b/>
          <w:bCs/>
          <w:sz w:val="28"/>
          <w:szCs w:val="28"/>
        </w:rPr>
      </w:pPr>
      <w:r>
        <w:rPr>
          <w:rFonts w:hint="eastAsia" w:ascii="仿宋" w:hAnsi="仿宋" w:eastAsia="仿宋" w:cs="黑体"/>
          <w:b/>
          <w:bCs/>
          <w:sz w:val="28"/>
          <w:szCs w:val="28"/>
        </w:rPr>
        <w:t>（二）服务要求</w:t>
      </w:r>
    </w:p>
    <w:p w14:paraId="44465DC1">
      <w:pPr>
        <w:spacing w:line="560" w:lineRule="exact"/>
        <w:rPr>
          <w:rFonts w:ascii="仿宋" w:hAnsi="仿宋" w:eastAsia="仿宋" w:cs="黑体"/>
          <w:sz w:val="28"/>
          <w:szCs w:val="28"/>
        </w:rPr>
      </w:pPr>
    </w:p>
    <w:tbl>
      <w:tblPr>
        <w:tblStyle w:val="10"/>
        <w:tblW w:w="4998"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2124"/>
        <w:gridCol w:w="3074"/>
        <w:gridCol w:w="2269"/>
      </w:tblGrid>
      <w:tr w14:paraId="7B0A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75133334">
            <w:pPr>
              <w:spacing w:line="560" w:lineRule="exact"/>
              <w:rPr>
                <w:rFonts w:ascii="仿宋" w:hAnsi="仿宋" w:eastAsia="仿宋" w:cs="黑体"/>
                <w:sz w:val="24"/>
                <w:szCs w:val="24"/>
              </w:rPr>
            </w:pPr>
            <w:r>
              <w:rPr>
                <w:rFonts w:hint="eastAsia" w:ascii="仿宋" w:hAnsi="仿宋" w:eastAsia="仿宋" w:cs="仿宋"/>
                <w:sz w:val="24"/>
                <w:szCs w:val="24"/>
                <w:lang w:bidi="ar"/>
              </w:rPr>
              <w:t>接口类型</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21C53A40">
            <w:pPr>
              <w:spacing w:line="560" w:lineRule="exact"/>
              <w:rPr>
                <w:rFonts w:ascii="仿宋" w:hAnsi="仿宋" w:eastAsia="仿宋" w:cs="黑体"/>
                <w:sz w:val="24"/>
                <w:szCs w:val="24"/>
              </w:rPr>
            </w:pPr>
            <w:r>
              <w:rPr>
                <w:rFonts w:hint="eastAsia" w:ascii="仿宋" w:hAnsi="仿宋" w:eastAsia="仿宋" w:cs="仿宋"/>
                <w:sz w:val="24"/>
                <w:szCs w:val="24"/>
                <w:lang w:bidi="ar"/>
              </w:rPr>
              <w:t>对接系统</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14:paraId="7B65F496">
            <w:pPr>
              <w:spacing w:line="560" w:lineRule="exact"/>
              <w:rPr>
                <w:rFonts w:ascii="仿宋" w:hAnsi="仿宋" w:eastAsia="仿宋" w:cs="黑体"/>
                <w:sz w:val="24"/>
                <w:szCs w:val="24"/>
              </w:rPr>
            </w:pPr>
            <w:r>
              <w:rPr>
                <w:rFonts w:hint="eastAsia" w:ascii="仿宋" w:hAnsi="仿宋" w:eastAsia="仿宋" w:cs="仿宋"/>
                <w:sz w:val="24"/>
                <w:szCs w:val="24"/>
                <w:lang w:bidi="ar"/>
              </w:rPr>
              <w:t>接口方式</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2DA6D0D7">
            <w:pPr>
              <w:spacing w:line="560" w:lineRule="exact"/>
              <w:rPr>
                <w:rFonts w:ascii="仿宋" w:hAnsi="仿宋" w:eastAsia="仿宋" w:cs="黑体"/>
                <w:sz w:val="24"/>
                <w:szCs w:val="24"/>
              </w:rPr>
            </w:pPr>
            <w:r>
              <w:rPr>
                <w:rFonts w:hint="eastAsia" w:ascii="仿宋" w:hAnsi="仿宋" w:eastAsia="仿宋" w:cs="仿宋"/>
                <w:sz w:val="24"/>
                <w:szCs w:val="24"/>
                <w:lang w:bidi="ar"/>
              </w:rPr>
              <w:t>备注</w:t>
            </w:r>
          </w:p>
        </w:tc>
      </w:tr>
      <w:tr w14:paraId="39AD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0542C1D4">
            <w:pPr>
              <w:spacing w:line="560" w:lineRule="exact"/>
              <w:rPr>
                <w:rFonts w:ascii="仿宋" w:hAnsi="仿宋" w:eastAsia="仿宋" w:cs="黑体"/>
                <w:sz w:val="24"/>
                <w:szCs w:val="24"/>
              </w:rPr>
            </w:pPr>
            <w:r>
              <w:rPr>
                <w:rFonts w:hint="eastAsia" w:ascii="仿宋" w:hAnsi="仿宋" w:eastAsia="仿宋" w:cs="仿宋"/>
                <w:sz w:val="24"/>
                <w:szCs w:val="24"/>
                <w:lang w:bidi="ar"/>
              </w:rPr>
              <w:t>HIS系统接口</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00178C35">
            <w:pPr>
              <w:spacing w:line="560" w:lineRule="exact"/>
              <w:rPr>
                <w:rFonts w:ascii="仿宋" w:hAnsi="仿宋" w:eastAsia="仿宋" w:cs="黑体"/>
                <w:sz w:val="24"/>
                <w:szCs w:val="24"/>
              </w:rPr>
            </w:pPr>
            <w:r>
              <w:rPr>
                <w:rFonts w:hint="eastAsia" w:ascii="仿宋" w:hAnsi="仿宋" w:eastAsia="仿宋" w:cs="仿宋"/>
                <w:sz w:val="24"/>
                <w:szCs w:val="24"/>
                <w:lang w:bidi="ar"/>
              </w:rPr>
              <w:t>医院HIS</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14:paraId="2D70E835">
            <w:pPr>
              <w:spacing w:line="560" w:lineRule="exact"/>
              <w:rPr>
                <w:rFonts w:ascii="仿宋" w:hAnsi="仿宋" w:eastAsia="仿宋" w:cs="黑体"/>
                <w:sz w:val="24"/>
                <w:szCs w:val="24"/>
              </w:rPr>
            </w:pPr>
            <w:r>
              <w:rPr>
                <w:rFonts w:hint="eastAsia" w:ascii="仿宋" w:hAnsi="仿宋" w:eastAsia="仿宋" w:cs="仿宋"/>
                <w:sz w:val="24"/>
                <w:szCs w:val="24"/>
                <w:lang w:bidi="ar"/>
              </w:rPr>
              <w:t>HL7/WebService/数据库视图</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06BD1C76">
            <w:pPr>
              <w:spacing w:line="560" w:lineRule="exact"/>
              <w:rPr>
                <w:rFonts w:ascii="仿宋" w:hAnsi="仿宋" w:eastAsia="仿宋" w:cs="黑体"/>
                <w:sz w:val="24"/>
                <w:szCs w:val="24"/>
              </w:rPr>
            </w:pPr>
            <w:r>
              <w:rPr>
                <w:rFonts w:hint="eastAsia" w:ascii="仿宋" w:hAnsi="仿宋" w:eastAsia="仿宋" w:cs="仿宋"/>
                <w:sz w:val="24"/>
                <w:szCs w:val="24"/>
                <w:lang w:bidi="ar"/>
              </w:rPr>
              <w:t>实时医嘱、费用、诊断</w:t>
            </w:r>
          </w:p>
        </w:tc>
      </w:tr>
      <w:tr w14:paraId="03BE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302128BA">
            <w:pPr>
              <w:spacing w:line="560" w:lineRule="exact"/>
              <w:rPr>
                <w:rFonts w:ascii="仿宋" w:hAnsi="仿宋" w:eastAsia="仿宋" w:cs="黑体"/>
                <w:sz w:val="24"/>
                <w:szCs w:val="24"/>
              </w:rPr>
            </w:pPr>
            <w:r>
              <w:rPr>
                <w:rFonts w:hint="eastAsia" w:ascii="仿宋" w:hAnsi="仿宋" w:eastAsia="仿宋" w:cs="仿宋"/>
                <w:sz w:val="24"/>
                <w:szCs w:val="24"/>
                <w:lang w:bidi="ar"/>
              </w:rPr>
              <w:t>电子病历接口</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5EDB054F">
            <w:pPr>
              <w:spacing w:line="560" w:lineRule="exact"/>
              <w:rPr>
                <w:rFonts w:ascii="仿宋" w:hAnsi="仿宋" w:eastAsia="仿宋" w:cs="黑体"/>
                <w:sz w:val="24"/>
                <w:szCs w:val="24"/>
              </w:rPr>
            </w:pPr>
            <w:r>
              <w:rPr>
                <w:rFonts w:hint="eastAsia" w:ascii="仿宋" w:hAnsi="仿宋" w:eastAsia="仿宋" w:cs="仿宋"/>
                <w:sz w:val="24"/>
                <w:szCs w:val="24"/>
                <w:lang w:bidi="ar"/>
              </w:rPr>
              <w:t>EMR系统</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14:paraId="4FF77561">
            <w:pPr>
              <w:spacing w:line="560" w:lineRule="exact"/>
              <w:rPr>
                <w:rFonts w:ascii="仿宋" w:hAnsi="仿宋" w:eastAsia="仿宋" w:cs="黑体"/>
                <w:sz w:val="24"/>
                <w:szCs w:val="24"/>
              </w:rPr>
            </w:pPr>
            <w:r>
              <w:rPr>
                <w:rFonts w:hint="eastAsia" w:ascii="仿宋" w:hAnsi="仿宋" w:eastAsia="仿宋" w:cs="仿宋"/>
                <w:sz w:val="24"/>
                <w:szCs w:val="24"/>
                <w:lang w:bidi="ar"/>
              </w:rPr>
              <w:t>HL7/FHIR</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5C5727B0">
            <w:pPr>
              <w:spacing w:line="560" w:lineRule="exact"/>
              <w:rPr>
                <w:rFonts w:ascii="仿宋" w:hAnsi="仿宋" w:eastAsia="仿宋" w:cs="黑体"/>
                <w:sz w:val="24"/>
                <w:szCs w:val="24"/>
              </w:rPr>
            </w:pPr>
            <w:r>
              <w:rPr>
                <w:rFonts w:hint="eastAsia" w:ascii="仿宋" w:hAnsi="仿宋" w:eastAsia="仿宋" w:cs="仿宋"/>
                <w:sz w:val="24"/>
                <w:szCs w:val="24"/>
                <w:lang w:bidi="ar"/>
              </w:rPr>
              <w:t>获取病程、手术、检查信息</w:t>
            </w:r>
          </w:p>
        </w:tc>
      </w:tr>
      <w:tr w14:paraId="6DBE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248778A8">
            <w:pPr>
              <w:spacing w:line="560" w:lineRule="exact"/>
              <w:rPr>
                <w:rFonts w:ascii="仿宋" w:hAnsi="仿宋" w:eastAsia="仿宋" w:cs="黑体"/>
                <w:sz w:val="24"/>
                <w:szCs w:val="24"/>
              </w:rPr>
            </w:pPr>
            <w:r>
              <w:rPr>
                <w:rFonts w:hint="eastAsia" w:ascii="仿宋" w:hAnsi="仿宋" w:eastAsia="仿宋" w:cs="仿宋"/>
                <w:sz w:val="24"/>
                <w:szCs w:val="24"/>
                <w:lang w:bidi="ar"/>
              </w:rPr>
              <w:t>医保平台接口</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4F5FF04D">
            <w:pPr>
              <w:spacing w:line="560" w:lineRule="exact"/>
              <w:rPr>
                <w:rFonts w:ascii="仿宋" w:hAnsi="仿宋" w:eastAsia="仿宋" w:cs="黑体"/>
                <w:sz w:val="24"/>
                <w:szCs w:val="24"/>
              </w:rPr>
            </w:pPr>
            <w:r>
              <w:rPr>
                <w:rFonts w:hint="eastAsia" w:ascii="仿宋" w:hAnsi="仿宋" w:eastAsia="仿宋" w:cs="仿宋"/>
                <w:sz w:val="24"/>
                <w:szCs w:val="24"/>
                <w:lang w:bidi="ar"/>
              </w:rPr>
              <w:t>两定医疗保障信息平台</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14:paraId="657FCBD8">
            <w:pPr>
              <w:spacing w:line="560" w:lineRule="exact"/>
              <w:rPr>
                <w:rFonts w:ascii="仿宋" w:hAnsi="仿宋" w:eastAsia="仿宋" w:cs="黑体"/>
                <w:sz w:val="24"/>
                <w:szCs w:val="24"/>
              </w:rPr>
            </w:pPr>
            <w:r>
              <w:rPr>
                <w:rFonts w:hint="eastAsia" w:ascii="仿宋" w:hAnsi="仿宋" w:eastAsia="仿宋" w:cs="仿宋"/>
                <w:sz w:val="24"/>
                <w:szCs w:val="24"/>
                <w:lang w:bidi="ar"/>
              </w:rPr>
              <w:t>WebService/API</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4B5529D8">
            <w:pPr>
              <w:spacing w:line="560" w:lineRule="exact"/>
              <w:rPr>
                <w:rFonts w:ascii="仿宋" w:hAnsi="仿宋" w:eastAsia="仿宋" w:cs="黑体"/>
                <w:sz w:val="24"/>
                <w:szCs w:val="24"/>
              </w:rPr>
            </w:pPr>
            <w:r>
              <w:rPr>
                <w:rFonts w:hint="eastAsia" w:ascii="仿宋" w:hAnsi="仿宋" w:eastAsia="仿宋" w:cs="仿宋"/>
                <w:sz w:val="24"/>
                <w:szCs w:val="24"/>
                <w:lang w:bidi="ar"/>
              </w:rPr>
              <w:t>规则同步、数据上报</w:t>
            </w:r>
          </w:p>
        </w:tc>
      </w:tr>
      <w:tr w14:paraId="5B36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7B1CD4C1">
            <w:pPr>
              <w:spacing w:line="560" w:lineRule="exact"/>
              <w:rPr>
                <w:rFonts w:ascii="仿宋" w:hAnsi="仿宋" w:eastAsia="仿宋" w:cs="黑体"/>
                <w:sz w:val="24"/>
                <w:szCs w:val="24"/>
              </w:rPr>
            </w:pPr>
            <w:r>
              <w:rPr>
                <w:rFonts w:hint="eastAsia" w:ascii="仿宋" w:hAnsi="仿宋" w:eastAsia="仿宋" w:cs="仿宋"/>
                <w:sz w:val="24"/>
                <w:szCs w:val="24"/>
                <w:lang w:bidi="ar"/>
              </w:rPr>
              <w:t>检验检查系统</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79F1975A">
            <w:pPr>
              <w:spacing w:line="560" w:lineRule="exact"/>
              <w:rPr>
                <w:rFonts w:ascii="仿宋" w:hAnsi="仿宋" w:eastAsia="仿宋" w:cs="黑体"/>
                <w:sz w:val="24"/>
                <w:szCs w:val="24"/>
              </w:rPr>
            </w:pPr>
            <w:r>
              <w:rPr>
                <w:rFonts w:hint="eastAsia" w:ascii="仿宋" w:hAnsi="仿宋" w:eastAsia="仿宋" w:cs="仿宋"/>
                <w:sz w:val="24"/>
                <w:szCs w:val="24"/>
                <w:lang w:bidi="ar"/>
              </w:rPr>
              <w:t>LIS/PACS</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14:paraId="71C3C6D0">
            <w:pPr>
              <w:spacing w:line="560" w:lineRule="exact"/>
              <w:rPr>
                <w:rFonts w:ascii="仿宋" w:hAnsi="仿宋" w:eastAsia="仿宋" w:cs="黑体"/>
                <w:sz w:val="24"/>
                <w:szCs w:val="24"/>
              </w:rPr>
            </w:pPr>
            <w:r>
              <w:rPr>
                <w:rFonts w:hint="eastAsia" w:ascii="仿宋" w:hAnsi="仿宋" w:eastAsia="仿宋" w:cs="仿宋"/>
                <w:sz w:val="24"/>
                <w:szCs w:val="24"/>
                <w:lang w:bidi="ar"/>
              </w:rPr>
              <w:t>HL7/WebService</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545F271D">
            <w:pPr>
              <w:spacing w:line="560" w:lineRule="exact"/>
              <w:rPr>
                <w:rFonts w:ascii="仿宋" w:hAnsi="仿宋" w:eastAsia="仿宋" w:cs="黑体"/>
                <w:sz w:val="24"/>
                <w:szCs w:val="24"/>
              </w:rPr>
            </w:pPr>
            <w:r>
              <w:rPr>
                <w:rFonts w:hint="eastAsia" w:ascii="仿宋" w:hAnsi="仿宋" w:eastAsia="仿宋" w:cs="仿宋"/>
                <w:sz w:val="24"/>
                <w:szCs w:val="24"/>
                <w:lang w:bidi="ar"/>
              </w:rPr>
              <w:t>获取检验检查结果</w:t>
            </w:r>
          </w:p>
        </w:tc>
      </w:tr>
      <w:tr w14:paraId="2E0D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063F86D6">
            <w:pPr>
              <w:spacing w:line="560" w:lineRule="exact"/>
              <w:rPr>
                <w:rFonts w:ascii="仿宋" w:hAnsi="仿宋" w:eastAsia="仿宋" w:cs="黑体"/>
                <w:sz w:val="24"/>
                <w:szCs w:val="24"/>
              </w:rPr>
            </w:pPr>
            <w:r>
              <w:rPr>
                <w:rFonts w:hint="eastAsia" w:ascii="仿宋" w:hAnsi="仿宋" w:eastAsia="仿宋" w:cs="仿宋"/>
                <w:sz w:val="24"/>
                <w:szCs w:val="24"/>
                <w:lang w:bidi="ar"/>
              </w:rPr>
              <w:t>统一身份认证</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14:paraId="1D986E12">
            <w:pPr>
              <w:spacing w:line="560" w:lineRule="exact"/>
              <w:rPr>
                <w:rFonts w:ascii="仿宋" w:hAnsi="仿宋" w:eastAsia="仿宋" w:cs="黑体"/>
                <w:sz w:val="24"/>
                <w:szCs w:val="24"/>
              </w:rPr>
            </w:pPr>
            <w:r>
              <w:rPr>
                <w:rFonts w:hint="eastAsia" w:ascii="仿宋" w:hAnsi="仿宋" w:eastAsia="仿宋" w:cs="仿宋"/>
                <w:sz w:val="24"/>
                <w:szCs w:val="24"/>
                <w:lang w:bidi="ar"/>
              </w:rPr>
              <w:t>AD/CA系统</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14:paraId="1CC45A47">
            <w:pPr>
              <w:spacing w:line="560" w:lineRule="exact"/>
              <w:rPr>
                <w:rFonts w:ascii="仿宋" w:hAnsi="仿宋" w:eastAsia="仿宋" w:cs="黑体"/>
                <w:sz w:val="24"/>
                <w:szCs w:val="24"/>
              </w:rPr>
            </w:pPr>
            <w:r>
              <w:rPr>
                <w:rFonts w:hint="eastAsia" w:ascii="仿宋" w:hAnsi="仿宋" w:eastAsia="仿宋" w:cs="仿宋"/>
                <w:sz w:val="24"/>
                <w:szCs w:val="24"/>
                <w:lang w:bidi="ar"/>
              </w:rPr>
              <w:t>LDAP/API</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14:paraId="18FADB04">
            <w:pPr>
              <w:spacing w:line="560" w:lineRule="exact"/>
              <w:rPr>
                <w:rFonts w:ascii="仿宋" w:hAnsi="仿宋" w:eastAsia="仿宋" w:cs="黑体"/>
                <w:sz w:val="24"/>
                <w:szCs w:val="24"/>
              </w:rPr>
            </w:pPr>
            <w:r>
              <w:rPr>
                <w:rFonts w:hint="eastAsia" w:ascii="仿宋" w:hAnsi="仿宋" w:eastAsia="仿宋" w:cs="仿宋"/>
                <w:sz w:val="24"/>
                <w:szCs w:val="24"/>
                <w:lang w:bidi="ar"/>
              </w:rPr>
              <w:t>单点登录</w:t>
            </w:r>
          </w:p>
        </w:tc>
      </w:tr>
    </w:tbl>
    <w:p w14:paraId="70609233">
      <w:pPr>
        <w:spacing w:line="560" w:lineRule="exact"/>
        <w:rPr>
          <w:rFonts w:ascii="仿宋" w:hAnsi="仿宋" w:eastAsia="仿宋" w:cs="黑体"/>
          <w:sz w:val="28"/>
          <w:szCs w:val="28"/>
        </w:rPr>
      </w:pPr>
    </w:p>
    <w:p w14:paraId="157071E1">
      <w:pPr>
        <w:spacing w:line="560" w:lineRule="exact"/>
        <w:ind w:firstLine="560" w:firstLineChars="200"/>
        <w:rPr>
          <w:rFonts w:ascii="仿宋" w:hAnsi="仿宋" w:eastAsia="仿宋"/>
          <w:sz w:val="28"/>
          <w:szCs w:val="28"/>
        </w:rPr>
      </w:pPr>
      <w:r>
        <w:rPr>
          <w:rFonts w:hint="eastAsia" w:ascii="仿宋" w:hAnsi="仿宋" w:eastAsia="仿宋" w:cs="黑体"/>
          <w:sz w:val="28"/>
          <w:szCs w:val="28"/>
        </w:rPr>
        <w:t>1、</w:t>
      </w:r>
      <w:r>
        <w:rPr>
          <w:rFonts w:ascii="仿宋" w:hAnsi="仿宋" w:eastAsia="仿宋" w:cs="黑体"/>
          <w:b/>
          <w:bCs/>
          <w:sz w:val="28"/>
          <w:szCs w:val="28"/>
          <w:u w:val="single"/>
        </w:rPr>
        <w:t>供应商提供本项目平台应完成以</w:t>
      </w:r>
      <w:r>
        <w:rPr>
          <w:rFonts w:hint="eastAsia" w:ascii="仿宋" w:hAnsi="仿宋" w:eastAsia="仿宋" w:cs="黑体"/>
          <w:b/>
          <w:bCs/>
          <w:sz w:val="28"/>
          <w:szCs w:val="28"/>
          <w:u w:val="single"/>
        </w:rPr>
        <w:t>上</w:t>
      </w:r>
      <w:r>
        <w:rPr>
          <w:rFonts w:ascii="仿宋" w:hAnsi="仿宋" w:eastAsia="仿宋" w:cs="黑体"/>
          <w:b/>
          <w:bCs/>
          <w:sz w:val="28"/>
          <w:szCs w:val="28"/>
          <w:u w:val="single"/>
        </w:rPr>
        <w:t>系统的接口对接（其接口费包含在本项目报价内）</w:t>
      </w:r>
      <w:r>
        <w:rPr>
          <w:rFonts w:hint="eastAsia" w:ascii="仿宋" w:hAnsi="仿宋" w:eastAsia="仿宋" w:cs="黑体"/>
          <w:b/>
          <w:bCs/>
          <w:sz w:val="28"/>
          <w:szCs w:val="28"/>
          <w:u w:val="single"/>
        </w:rPr>
        <w:t>。</w:t>
      </w:r>
    </w:p>
    <w:p w14:paraId="0F0512CE">
      <w:pPr>
        <w:spacing w:line="560" w:lineRule="exact"/>
        <w:ind w:firstLine="560" w:firstLineChars="200"/>
        <w:rPr>
          <w:rFonts w:ascii="仿宋" w:hAnsi="仿宋" w:eastAsia="仿宋"/>
          <w:sz w:val="28"/>
          <w:szCs w:val="28"/>
        </w:rPr>
      </w:pPr>
      <w:r>
        <w:rPr>
          <w:rFonts w:hint="eastAsia" w:ascii="仿宋" w:hAnsi="仿宋" w:eastAsia="仿宋"/>
          <w:sz w:val="28"/>
          <w:szCs w:val="28"/>
        </w:rPr>
        <w:t>2、供应商提供的平台系统应达到国家规定的安全设计标准，包括不限于：数据传输加密（HTTPS/TLS）、数据库加密存储、操作日志全记录、权限分级管理（医生、护士、医保科、管理员）、漏扫报告等安全要求.</w:t>
      </w:r>
    </w:p>
    <w:p w14:paraId="5391AC2B">
      <w:pPr>
        <w:spacing w:line="560" w:lineRule="exact"/>
        <w:ind w:firstLine="560" w:firstLineChars="200"/>
        <w:rPr>
          <w:rFonts w:ascii="仿宋" w:hAnsi="仿宋" w:eastAsia="仿宋"/>
          <w:sz w:val="28"/>
          <w:szCs w:val="28"/>
        </w:rPr>
      </w:pPr>
      <w:r>
        <w:rPr>
          <w:rFonts w:hint="eastAsia" w:ascii="仿宋" w:hAnsi="仿宋" w:eastAsia="仿宋"/>
          <w:sz w:val="28"/>
          <w:szCs w:val="28"/>
        </w:rPr>
        <w:t>3、供应商提供的平台系统功能应基于医院现有成熟DRG（DIP）/医保等平台设计，技术架构稳定；具备标准化接口能力，易于与采购人现有系统集成；系统规则库基于国家、省、市医保政策和各地飞行检查规则；支持国家、省、市医保政策数据导入与比对，符合监管要求；痕迹管理满足审计与追溯需求。</w:t>
      </w:r>
    </w:p>
    <w:p w14:paraId="16288DD6">
      <w:pPr>
        <w:spacing w:line="560" w:lineRule="exact"/>
        <w:ind w:firstLine="420" w:firstLineChars="150"/>
        <w:rPr>
          <w:rFonts w:ascii="仿宋" w:hAnsi="仿宋" w:eastAsia="仿宋"/>
          <w:sz w:val="28"/>
          <w:szCs w:val="28"/>
        </w:rPr>
      </w:pPr>
      <w:r>
        <w:rPr>
          <w:rFonts w:hint="eastAsia" w:ascii="仿宋" w:hAnsi="仿宋" w:eastAsia="仿宋"/>
          <w:sz w:val="28"/>
          <w:szCs w:val="28"/>
        </w:rPr>
        <w:t>4、要求供应商系统上线后可显著降低医保违规扣款，提升医保结算率，系统操作界面友好，支持角色化工作台；平台操作系统中提供完整的培训运营手册与现场支持规则灵活配置，适应政策变化的动态调整。</w:t>
      </w:r>
    </w:p>
    <w:p w14:paraId="145E6AB4">
      <w:pPr>
        <w:spacing w:line="560" w:lineRule="exact"/>
        <w:ind w:firstLine="420" w:firstLineChars="150"/>
        <w:rPr>
          <w:rFonts w:ascii="仿宋" w:hAnsi="仿宋" w:eastAsia="仿宋"/>
          <w:sz w:val="28"/>
          <w:szCs w:val="28"/>
        </w:rPr>
      </w:pPr>
      <w:r>
        <w:rPr>
          <w:rFonts w:hint="eastAsia" w:ascii="仿宋" w:hAnsi="仿宋" w:eastAsia="仿宋"/>
          <w:sz w:val="28"/>
          <w:szCs w:val="28"/>
        </w:rPr>
        <w:t>5、本项目平台建设所需的服务器由采购人提供，采购人服务器配置优于供应商平台搭建的最低配置要求，采购人提供服务器前与供应商签订书面使用确认函，供应商后续不得以服务器配置等理由，拒绝履约合同内容。</w:t>
      </w:r>
    </w:p>
    <w:p w14:paraId="2EF51FD4">
      <w:pPr>
        <w:spacing w:line="560" w:lineRule="exact"/>
        <w:ind w:firstLine="420" w:firstLineChars="150"/>
        <w:rPr>
          <w:rFonts w:hint="eastAsia" w:ascii="仿宋" w:hAnsi="仿宋" w:eastAsia="仿宋" w:cs="仿宋"/>
          <w:b/>
          <w:bCs/>
          <w:sz w:val="28"/>
          <w:szCs w:val="28"/>
          <w:lang w:val="en-US" w:eastAsia="zh-CN"/>
        </w:rPr>
      </w:pPr>
      <w:r>
        <w:rPr>
          <w:rFonts w:hint="eastAsia" w:ascii="仿宋" w:hAnsi="仿宋" w:eastAsia="仿宋"/>
          <w:sz w:val="28"/>
          <w:szCs w:val="28"/>
        </w:rPr>
        <w:t>6、供应商建设好本项目平台系统后，应当提供培训服务。建立培训体系，培训体系应提供分角色培训包括：院领导、科主任、临床医师、医保/病案管理员、分层级的培训，包括集中授课、上机实操、编写操作手册、建立在线知识库等，确保各角色人员能用、会用、用好，并提供合同履约期内的长期远程培训指导服务。</w:t>
      </w:r>
    </w:p>
    <w:p w14:paraId="33ACB300">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bookmarkStart w:id="0" w:name="_GoBack"/>
      <w:bookmarkEnd w:id="0"/>
    </w:p>
    <w:p w14:paraId="707E6AEB">
      <w:pPr>
        <w:pStyle w:val="22"/>
        <w:numPr>
          <w:ilvl w:val="0"/>
          <w:numId w:val="3"/>
        </w:numPr>
        <w:spacing w:line="560" w:lineRule="exact"/>
        <w:ind w:firstLine="560" w:firstLineChars="200"/>
        <w:jc w:val="both"/>
        <w:rPr>
          <w:rFonts w:hint="default" w:ascii="仿宋" w:hAnsi="仿宋" w:eastAsia="仿宋" w:cs="仿宋"/>
          <w:sz w:val="28"/>
          <w:szCs w:val="28"/>
          <w:lang w:eastAsia="zh-CN"/>
        </w:rPr>
      </w:pPr>
      <w:r>
        <w:rPr>
          <w:rFonts w:ascii="仿宋" w:hAnsi="仿宋" w:eastAsia="仿宋" w:cs="仿宋"/>
          <w:sz w:val="28"/>
          <w:szCs w:val="28"/>
          <w:lang w:eastAsia="zh-CN"/>
        </w:rPr>
        <w:t>标的的交付：自双方采购合同签订生效之日起，供应商于合同生效后30个日历天内完成本项目全部工作内容，并向采购人交付合格的工作成果。并调试运行保证系统能投入正常使用。系统交付采购人之前，标的物的损毁、灭失风险由供应商承担。</w:t>
      </w:r>
    </w:p>
    <w:p w14:paraId="78938A0E">
      <w:pPr>
        <w:pStyle w:val="22"/>
        <w:numPr>
          <w:ilvl w:val="255"/>
          <w:numId w:val="0"/>
        </w:numPr>
        <w:spacing w:line="560" w:lineRule="exact"/>
        <w:ind w:firstLine="560" w:firstLineChars="200"/>
        <w:jc w:val="both"/>
        <w:rPr>
          <w:rFonts w:hint="default" w:ascii="仿宋" w:hAnsi="仿宋" w:eastAsia="仿宋" w:cs="Times New Roman"/>
          <w:kern w:val="2"/>
          <w:sz w:val="28"/>
          <w:szCs w:val="28"/>
          <w:lang w:eastAsia="zh-CN"/>
        </w:rPr>
      </w:pPr>
      <w:r>
        <w:rPr>
          <w:rFonts w:ascii="仿宋" w:hAnsi="仿宋" w:eastAsia="仿宋" w:cs="仿宋"/>
          <w:bCs/>
          <w:sz w:val="28"/>
          <w:szCs w:val="28"/>
        </w:rPr>
        <w:t xml:space="preserve">（二）项目履行地点：四川省大竹县白塔街道青年路99号 </w:t>
      </w:r>
      <w:r>
        <w:rPr>
          <w:rFonts w:ascii="仿宋" w:hAnsi="仿宋" w:eastAsia="仿宋" w:cs="仿宋"/>
          <w:bCs/>
          <w:sz w:val="28"/>
          <w:szCs w:val="28"/>
          <w:lang w:eastAsia="zh-CN"/>
        </w:rPr>
        <w:t>，</w:t>
      </w:r>
      <w:r>
        <w:rPr>
          <w:rFonts w:ascii="仿宋" w:hAnsi="仿宋" w:eastAsia="仿宋" w:cs="仿宋"/>
          <w:bCs/>
          <w:sz w:val="28"/>
          <w:szCs w:val="28"/>
        </w:rPr>
        <w:t>大竹县人民医院院内指定地点。</w:t>
      </w:r>
    </w:p>
    <w:p w14:paraId="7C87D2EF">
      <w:pPr>
        <w:pStyle w:val="14"/>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（三）项目付款方式</w:t>
      </w:r>
    </w:p>
    <w:p w14:paraId="4814AAC4">
      <w:pPr>
        <w:pStyle w:val="14"/>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1、采购人付款采用银行转账支付方式，采购人付款前，供应商必须出具有效的足额发票，否则采购人有权拒绝付款。供应商为一般纳税人的，应当提供增值税专用发票。</w:t>
      </w:r>
    </w:p>
    <w:p w14:paraId="65F9CB2C">
      <w:pPr>
        <w:pStyle w:val="23"/>
        <w:ind w:firstLine="560" w:firstLineChars="200"/>
        <w:rPr>
          <w:rFonts w:ascii="仿宋" w:hAnsi="仿宋" w:eastAsia="仿宋" w:cs="宋体"/>
          <w:bCs/>
          <w:sz w:val="28"/>
          <w:szCs w:val="28"/>
        </w:rPr>
      </w:pPr>
      <w:r>
        <w:rPr>
          <w:rFonts w:hint="eastAsia" w:ascii="仿宋" w:hAnsi="仿宋" w:eastAsia="仿宋" w:cs="宋体"/>
          <w:bCs/>
          <w:sz w:val="28"/>
          <w:szCs w:val="28"/>
        </w:rPr>
        <w:t>2、供应商按合同约定完成本项目平台系统安装，调试后能正常使用，采购人60日内支付合同总金额的50%；</w:t>
      </w:r>
    </w:p>
    <w:p w14:paraId="22A16B68">
      <w:pPr>
        <w:pStyle w:val="23"/>
        <w:ind w:firstLine="560" w:firstLineChars="200"/>
        <w:rPr>
          <w:rFonts w:ascii="仿宋" w:hAnsi="仿宋" w:eastAsia="仿宋" w:cs="宋体"/>
          <w:bCs/>
          <w:sz w:val="28"/>
          <w:szCs w:val="28"/>
        </w:rPr>
      </w:pPr>
      <w:r>
        <w:rPr>
          <w:rFonts w:hint="eastAsia" w:ascii="仿宋" w:hAnsi="仿宋" w:eastAsia="仿宋" w:cs="宋体"/>
          <w:bCs/>
          <w:sz w:val="28"/>
          <w:szCs w:val="28"/>
        </w:rPr>
        <w:t>3、供应商按合同约定完成培训等工作，并将系统交付给采购人，经采购人书面验收合格后，采购人60日内支付合同总金额的40%；</w:t>
      </w:r>
    </w:p>
    <w:p w14:paraId="1AE84CEF">
      <w:pPr>
        <w:pStyle w:val="23"/>
        <w:ind w:firstLine="560" w:firstLineChars="200"/>
        <w:rPr>
          <w:rFonts w:ascii="仿宋" w:hAnsi="仿宋" w:eastAsia="仿宋" w:cs="宋体"/>
          <w:bCs/>
          <w:sz w:val="28"/>
          <w:szCs w:val="28"/>
        </w:rPr>
      </w:pPr>
      <w:r>
        <w:rPr>
          <w:rFonts w:hint="eastAsia" w:ascii="仿宋" w:hAnsi="仿宋" w:eastAsia="仿宋" w:cs="宋体"/>
          <w:bCs/>
          <w:sz w:val="28"/>
          <w:szCs w:val="28"/>
        </w:rPr>
        <w:t>4、供应商按合同约定提供售后服务且平台系统使用正常，自平台验收合格之日起1年后，采购人收到供应商催款函后，60日内支付合同总金额的10%。</w:t>
      </w:r>
    </w:p>
    <w:p w14:paraId="15A6C197">
      <w:pPr>
        <w:pStyle w:val="23"/>
        <w:ind w:firstLine="562" w:firstLineChars="200"/>
        <w:rPr>
          <w:rFonts w:ascii="仿宋" w:hAnsi="仿宋" w:eastAsia="仿宋" w:cs="宋体"/>
          <w:b/>
          <w:sz w:val="28"/>
          <w:szCs w:val="28"/>
        </w:rPr>
      </w:pPr>
      <w:r>
        <w:rPr>
          <w:rFonts w:ascii="仿宋" w:hAnsi="仿宋" w:eastAsia="仿宋" w:cs="宋体"/>
          <w:b/>
          <w:sz w:val="28"/>
          <w:szCs w:val="28"/>
        </w:rPr>
        <w:t>（</w:t>
      </w:r>
      <w:r>
        <w:rPr>
          <w:rFonts w:hint="eastAsia" w:ascii="仿宋" w:hAnsi="仿宋" w:eastAsia="仿宋" w:cs="宋体"/>
          <w:b/>
          <w:sz w:val="28"/>
          <w:szCs w:val="28"/>
        </w:rPr>
        <w:t>四</w:t>
      </w:r>
      <w:r>
        <w:rPr>
          <w:rFonts w:ascii="仿宋" w:hAnsi="仿宋" w:eastAsia="仿宋" w:cs="宋体"/>
          <w:b/>
          <w:sz w:val="28"/>
          <w:szCs w:val="28"/>
        </w:rPr>
        <w:t>）售后服务要求</w:t>
      </w:r>
    </w:p>
    <w:p w14:paraId="600E86DC">
      <w:pPr>
        <w:pStyle w:val="14"/>
        <w:spacing w:line="560" w:lineRule="exact"/>
        <w:ind w:firstLine="560" w:firstLineChars="200"/>
        <w:jc w:val="left"/>
        <w:rPr>
          <w:rFonts w:ascii="仿宋" w:hAnsi="仿宋" w:eastAsia="仿宋"/>
          <w:sz w:val="28"/>
          <w:szCs w:val="28"/>
        </w:rPr>
      </w:pPr>
      <w:r>
        <w:rPr>
          <w:rFonts w:hint="eastAsia" w:ascii="仿宋" w:hAnsi="仿宋" w:eastAsia="仿宋"/>
          <w:sz w:val="28"/>
          <w:szCs w:val="28"/>
        </w:rPr>
        <w:t>1、供应商的售后服务费用包含在项目报价内。</w:t>
      </w:r>
    </w:p>
    <w:p w14:paraId="7DB82C14">
      <w:pPr>
        <w:pStyle w:val="22"/>
        <w:spacing w:line="560" w:lineRule="exact"/>
        <w:ind w:firstLine="560" w:firstLineChars="200"/>
        <w:jc w:val="both"/>
        <w:rPr>
          <w:rFonts w:hint="default" w:ascii="仿宋" w:hAnsi="仿宋" w:eastAsia="仿宋"/>
          <w:sz w:val="28"/>
          <w:szCs w:val="28"/>
          <w:lang w:eastAsia="zh-CN"/>
        </w:rPr>
      </w:pPr>
      <w:r>
        <w:rPr>
          <w:rFonts w:ascii="仿宋" w:hAnsi="仿宋" w:eastAsia="仿宋"/>
          <w:sz w:val="28"/>
          <w:szCs w:val="28"/>
          <w:lang w:eastAsia="zh-CN"/>
        </w:rPr>
        <w:t>2、供应商负责提供操作（使用）培训，保证操作（使用）人员能熟练操作（使用），并对该系统进行日常维护，如未达到，医院有权延后支付合同所约定款项。</w:t>
      </w:r>
    </w:p>
    <w:p w14:paraId="482EE980">
      <w:pPr>
        <w:pStyle w:val="22"/>
        <w:spacing w:line="560" w:lineRule="exact"/>
        <w:ind w:firstLine="560" w:firstLineChars="200"/>
        <w:jc w:val="both"/>
        <w:rPr>
          <w:rFonts w:hint="default" w:ascii="仿宋" w:hAnsi="仿宋" w:eastAsia="仿宋"/>
          <w:sz w:val="28"/>
          <w:szCs w:val="28"/>
          <w:lang w:eastAsia="zh-CN"/>
        </w:rPr>
      </w:pPr>
      <w:r>
        <w:rPr>
          <w:rFonts w:ascii="仿宋" w:hAnsi="仿宋" w:eastAsia="仿宋"/>
          <w:sz w:val="28"/>
          <w:szCs w:val="28"/>
          <w:lang w:eastAsia="zh-CN"/>
        </w:rPr>
        <w:t>3、系统售后服务期为验收合格之日起一年，</w:t>
      </w:r>
      <w:r>
        <w:rPr>
          <w:rFonts w:ascii="仿宋" w:hAnsi="仿宋" w:eastAsia="仿宋"/>
          <w:sz w:val="28"/>
          <w:szCs w:val="28"/>
        </w:rPr>
        <w:t>供应商在售后服务期内应当为采购人提供技术支持和服务</w:t>
      </w:r>
      <w:r>
        <w:rPr>
          <w:rFonts w:ascii="仿宋" w:hAnsi="仿宋" w:eastAsia="仿宋"/>
          <w:sz w:val="28"/>
          <w:szCs w:val="28"/>
          <w:lang w:eastAsia="zh-CN"/>
        </w:rPr>
        <w:t>，售后范围为该系统合同约定的所有功能。售后期内系统出现问题，供应商应提供7×24小时支持，接到采购人通知后，及时响应，4小时内消除系统故障，对远程无法处理的故障</w:t>
      </w:r>
      <w:r>
        <w:rPr>
          <w:rFonts w:ascii="仿宋" w:hAnsi="仿宋" w:eastAsia="仿宋" w:cs="仿宋"/>
          <w:sz w:val="28"/>
          <w:szCs w:val="28"/>
        </w:rPr>
        <w:t>，供应商必须</w:t>
      </w:r>
      <w:r>
        <w:rPr>
          <w:rFonts w:ascii="仿宋" w:hAnsi="仿宋" w:eastAsia="仿宋" w:cs="仿宋"/>
          <w:sz w:val="28"/>
          <w:szCs w:val="28"/>
          <w:lang w:eastAsia="zh-CN"/>
        </w:rPr>
        <w:t>接到采购人通知后8小时到达</w:t>
      </w:r>
      <w:r>
        <w:rPr>
          <w:rFonts w:ascii="仿宋" w:hAnsi="仿宋" w:eastAsia="仿宋" w:cs="仿宋"/>
          <w:sz w:val="28"/>
          <w:szCs w:val="28"/>
        </w:rPr>
        <w:t>现场</w:t>
      </w:r>
      <w:r>
        <w:rPr>
          <w:rFonts w:ascii="仿宋" w:hAnsi="仿宋" w:eastAsia="仿宋" w:cs="仿宋"/>
          <w:sz w:val="28"/>
          <w:szCs w:val="28"/>
          <w:lang w:eastAsia="zh-CN"/>
        </w:rPr>
        <w:t>提供</w:t>
      </w:r>
      <w:r>
        <w:rPr>
          <w:rFonts w:ascii="仿宋" w:hAnsi="仿宋" w:eastAsia="仿宋" w:cs="仿宋"/>
          <w:sz w:val="28"/>
          <w:szCs w:val="28"/>
        </w:rPr>
        <w:t>服务</w:t>
      </w:r>
      <w:r>
        <w:rPr>
          <w:rFonts w:ascii="仿宋" w:hAnsi="仿宋" w:eastAsia="仿宋" w:cs="仿宋"/>
          <w:sz w:val="28"/>
          <w:szCs w:val="28"/>
          <w:lang w:eastAsia="zh-CN"/>
        </w:rPr>
        <w:t>。</w:t>
      </w:r>
    </w:p>
    <w:p w14:paraId="4DC999B9">
      <w:pPr>
        <w:pStyle w:val="22"/>
        <w:spacing w:line="560" w:lineRule="exact"/>
        <w:ind w:firstLine="560" w:firstLineChars="200"/>
        <w:jc w:val="both"/>
        <w:rPr>
          <w:rFonts w:hint="default" w:ascii="仿宋" w:hAnsi="仿宋" w:eastAsia="仿宋"/>
          <w:sz w:val="28"/>
          <w:szCs w:val="28"/>
          <w:lang w:eastAsia="zh-CN"/>
        </w:rPr>
      </w:pPr>
      <w:r>
        <w:rPr>
          <w:rFonts w:ascii="仿宋" w:hAnsi="仿宋" w:eastAsia="仿宋"/>
          <w:sz w:val="28"/>
          <w:szCs w:val="28"/>
          <w:lang w:eastAsia="zh-CN"/>
        </w:rPr>
        <w:t>4、持续升级：售后服务期内，供应商提供因医保、物价等政策变更导致的系统适应性升级，并提供每年至少两次的现场巡检服务。</w:t>
      </w:r>
    </w:p>
    <w:p w14:paraId="27F8F868">
      <w:pPr>
        <w:pStyle w:val="22"/>
        <w:spacing w:line="560" w:lineRule="exact"/>
        <w:ind w:firstLine="560" w:firstLineChars="200"/>
        <w:jc w:val="both"/>
        <w:rPr>
          <w:rFonts w:hint="default" w:ascii="仿宋" w:hAnsi="仿宋" w:eastAsia="仿宋"/>
          <w:sz w:val="28"/>
          <w:szCs w:val="28"/>
          <w:lang w:eastAsia="zh-CN"/>
        </w:rPr>
      </w:pPr>
      <w:r>
        <w:rPr>
          <w:rFonts w:ascii="仿宋" w:hAnsi="仿宋" w:eastAsia="仿宋"/>
          <w:sz w:val="28"/>
          <w:szCs w:val="28"/>
          <w:lang w:eastAsia="zh-CN"/>
        </w:rPr>
        <w:t xml:space="preserve">5、一年系统售后服务期满后，如采购人需要供应商继续提供系统年度运行维护服务，双方另行书面约定维护费用，且维护费用不高于本项目成交金额的8%。  </w:t>
      </w:r>
    </w:p>
    <w:p w14:paraId="64E77C5E">
      <w:pPr>
        <w:pStyle w:val="5"/>
        <w:rPr>
          <w:rFonts w:hint="eastAsia"/>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38D4D1-49AA-4AAE-B0CF-F8EAA6F8DA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0AD63D-1636-4EB0-A065-AB3B2A3AC1B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B04CCF00-D459-40B5-9EE6-02465A6C25B5}"/>
  </w:font>
  <w:font w:name="方正公文小标宋">
    <w:panose1 w:val="02000500000000000000"/>
    <w:charset w:val="86"/>
    <w:family w:val="auto"/>
    <w:pitch w:val="default"/>
    <w:sig w:usb0="A00002BF" w:usb1="38CF7CFA" w:usb2="00000016" w:usb3="00000000" w:csb0="00040001" w:csb1="00000000"/>
    <w:embedRegular r:id="rId4" w:fontKey="{6D2A4976-9233-4FA7-9675-CC6659C52A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41D47"/>
    <w:multiLevelType w:val="singleLevel"/>
    <w:tmpl w:val="8A241D47"/>
    <w:lvl w:ilvl="0" w:tentative="0">
      <w:start w:val="2"/>
      <w:numFmt w:val="chineseCounting"/>
      <w:suff w:val="nothing"/>
      <w:lvlText w:val="（%1）"/>
      <w:lvlJc w:val="left"/>
      <w:rPr>
        <w:rFonts w:hint="eastAsia"/>
      </w:rPr>
    </w:lvl>
  </w:abstractNum>
  <w:abstractNum w:abstractNumId="1">
    <w:nsid w:val="8E4DBB88"/>
    <w:multiLevelType w:val="singleLevel"/>
    <w:tmpl w:val="8E4DBB88"/>
    <w:lvl w:ilvl="0" w:tentative="0">
      <w:start w:val="1"/>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520B5"/>
    <w:rsid w:val="17617798"/>
    <w:rsid w:val="22E17747"/>
    <w:rsid w:val="2B6232DE"/>
    <w:rsid w:val="38037EA9"/>
    <w:rsid w:val="51A333AD"/>
    <w:rsid w:val="56316E24"/>
    <w:rsid w:val="5E9B16F3"/>
    <w:rsid w:val="667478EF"/>
    <w:rsid w:val="69842596"/>
    <w:rsid w:val="6A9E67F3"/>
    <w:rsid w:val="70870D93"/>
    <w:rsid w:val="74E8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Body Text"/>
    <w:basedOn w:val="1"/>
    <w:next w:val="5"/>
    <w:unhideWhenUsed/>
    <w:qFormat/>
    <w:uiPriority w:val="0"/>
    <w:pPr>
      <w:spacing w:after="120"/>
    </w:pPr>
    <w:rPr>
      <w:rFonts w:ascii="Times New Roman"/>
      <w:kern w:val="2"/>
      <w:sz w:val="21"/>
      <w:szCs w:val="24"/>
    </w:rPr>
  </w:style>
  <w:style w:type="paragraph" w:styleId="5">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4"/>
    <w:next w:val="1"/>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autoRedefine/>
    <w:qFormat/>
    <w:uiPriority w:val="0"/>
    <w:pPr>
      <w:ind w:firstLine="420" w:firstLineChars="200"/>
    </w:pPr>
    <w:rPr>
      <w:szCs w:val="24"/>
    </w:rPr>
  </w:style>
  <w:style w:type="paragraph" w:customStyle="1" w:styleId="14">
    <w:name w:val="正文_1"/>
    <w:next w:val="15"/>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5">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标题 5（有编号）（绿盟科技）"/>
    <w:basedOn w:val="15"/>
    <w:next w:val="1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8">
    <w:name w:val="font41"/>
    <w:basedOn w:val="11"/>
    <w:autoRedefine/>
    <w:qFormat/>
    <w:uiPriority w:val="0"/>
    <w:rPr>
      <w:rFonts w:ascii="Arial" w:hAnsi="Arial" w:cs="Arial"/>
      <w:color w:val="000000"/>
      <w:sz w:val="24"/>
      <w:szCs w:val="24"/>
      <w:u w:val="none"/>
    </w:rPr>
  </w:style>
  <w:style w:type="character" w:customStyle="1" w:styleId="19">
    <w:name w:val="font31"/>
    <w:basedOn w:val="11"/>
    <w:autoRedefine/>
    <w:qFormat/>
    <w:uiPriority w:val="0"/>
    <w:rPr>
      <w:rFonts w:hint="eastAsia" w:ascii="仿宋" w:hAnsi="仿宋" w:eastAsia="仿宋" w:cs="仿宋"/>
      <w:color w:val="000000"/>
      <w:sz w:val="24"/>
      <w:szCs w:val="24"/>
      <w:u w:val="none"/>
    </w:rPr>
  </w:style>
  <w:style w:type="paragraph" w:customStyle="1" w:styleId="20">
    <w:name w:val="正文文本_1"/>
    <w:basedOn w:val="21"/>
    <w:next w:val="21"/>
    <w:autoRedefine/>
    <w:unhideWhenUsed/>
    <w:qFormat/>
    <w:uiPriority w:val="99"/>
    <w:pPr>
      <w:spacing w:after="120"/>
    </w:pPr>
    <w:rPr>
      <w:rFonts w:ascii="Times New Roman" w:hAnsi="Times New Roman"/>
      <w:kern w:val="0"/>
      <w:sz w:val="20"/>
      <w:szCs w:val="20"/>
    </w:rPr>
  </w:style>
  <w:style w:type="paragraph" w:customStyle="1" w:styleId="2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正文文本_0"/>
    <w:basedOn w:val="24"/>
    <w:next w:val="14"/>
    <w:unhideWhenUsed/>
    <w:qFormat/>
    <w:uiPriority w:val="99"/>
    <w:pPr>
      <w:spacing w:after="120"/>
    </w:pPr>
  </w:style>
  <w:style w:type="paragraph" w:customStyle="1" w:styleId="24">
    <w:name w:val="正文_1_0"/>
    <w:next w:val="23"/>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8006</Words>
  <Characters>8238</Characters>
  <Lines>0</Lines>
  <Paragraphs>0</Paragraphs>
  <TotalTime>2</TotalTime>
  <ScaleCrop>false</ScaleCrop>
  <LinksUpToDate>false</LinksUpToDate>
  <CharactersWithSpaces>8264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2025-12-18T01:12:57Z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