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1"/>
        <w:rPr>
          <w:rFonts w:hint="eastAsia" w:ascii="仿宋" w:hAnsi="仿宋" w:eastAsia="仿宋" w:cs="仿宋"/>
          <w:b/>
          <w:bCs w:val="0"/>
          <w:sz w:val="32"/>
          <w:szCs w:val="32"/>
          <w:lang w:val="en-US" w:eastAsia="zh-CN"/>
        </w:rPr>
      </w:pPr>
      <w:r>
        <w:rPr>
          <w:rFonts w:hint="eastAsia" w:ascii="仿宋" w:hAnsi="仿宋" w:eastAsia="仿宋" w:cs="仿宋"/>
          <w:b/>
          <w:bCs w:val="0"/>
          <w:sz w:val="32"/>
          <w:szCs w:val="32"/>
        </w:rPr>
        <w:t>附件</w:t>
      </w:r>
      <w:r>
        <w:rPr>
          <w:rFonts w:hint="eastAsia" w:ascii="仿宋" w:hAnsi="仿宋" w:eastAsia="仿宋" w:cs="仿宋"/>
          <w:b/>
          <w:bCs w:val="0"/>
          <w:sz w:val="32"/>
          <w:szCs w:val="32"/>
          <w:lang w:val="en-US" w:eastAsia="zh-CN"/>
        </w:rPr>
        <w:t>3</w:t>
      </w:r>
    </w:p>
    <w:p>
      <w:pPr>
        <w:pStyle w:val="2"/>
        <w:rPr>
          <w:rFonts w:hint="eastAsia"/>
          <w:lang w:val="en-US" w:eastAsia="zh-CN"/>
        </w:rPr>
      </w:pPr>
    </w:p>
    <w:p>
      <w:pPr>
        <w:spacing w:line="360" w:lineRule="auto"/>
        <w:ind w:left="960" w:hanging="964" w:hangingChars="300"/>
        <w:outlineLvl w:val="1"/>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《四川省发展和改革委员会关于报送卫生健康领域设备更新改造使用财政贴息贷款项目的通知》规定范围内的</w:t>
      </w:r>
    </w:p>
    <w:p>
      <w:pPr>
        <w:spacing w:line="360" w:lineRule="auto"/>
        <w:ind w:firstLine="2570" w:firstLineChars="800"/>
        <w:outlineLvl w:val="1"/>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21家全国性银行名单</w:t>
      </w:r>
    </w:p>
    <w:p>
      <w:pPr>
        <w:pStyle w:val="2"/>
        <w:rPr>
          <w:rFonts w:hint="eastAsia" w:ascii="仿宋" w:hAnsi="仿宋" w:eastAsia="仿宋" w:cs="仿宋"/>
          <w:b/>
          <w:bCs w:val="0"/>
          <w:sz w:val="32"/>
          <w:szCs w:val="32"/>
          <w:lang w:val="en-US" w:eastAsia="zh-CN"/>
        </w:rPr>
      </w:pPr>
    </w:p>
    <w:p>
      <w:pPr>
        <w:ind w:firstLine="560" w:firstLineChars="200"/>
        <w:rPr>
          <w:rFonts w:hint="default"/>
          <w:b w:val="0"/>
          <w:bCs/>
          <w:sz w:val="28"/>
          <w:szCs w:val="28"/>
          <w:lang w:val="en-US"/>
        </w:rPr>
      </w:pPr>
      <w:r>
        <w:rPr>
          <w:rFonts w:hint="eastAsia" w:ascii="仿宋" w:hAnsi="仿宋" w:eastAsia="仿宋" w:cs="仿宋"/>
          <w:b w:val="0"/>
          <w:bCs/>
          <w:sz w:val="28"/>
          <w:szCs w:val="28"/>
          <w:lang w:val="en-US" w:eastAsia="zh-CN"/>
        </w:rPr>
        <w:t>国家开发银行、中国进出口银行、中国农业发展银行、中国工商银行、中国农业银行、中国银行、中国建设银行、交通银行、中国邮政储蓄银行、中信银行、中国光大银行、华夏银行、中国民生银行、招商银行、兴业银行、广发银行、平安银行、上海浦东发展银行、恒丰银行、浙商银行、渤海银行</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hZDRjZjcyY2I5YzhlZDE0MzQ0NDQ2YzZkMzZlYWMifQ=="/>
  </w:docVars>
  <w:rsids>
    <w:rsidRoot w:val="703F5F72"/>
    <w:rsid w:val="703F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adjustRightInd w:val="0"/>
      <w:spacing w:after="60" w:line="360" w:lineRule="atLeast"/>
      <w:ind w:left="72" w:leftChars="30" w:right="30" w:rightChars="30"/>
      <w:jc w:val="center"/>
      <w:textAlignment w:val="baseline"/>
    </w:pPr>
    <w:rPr>
      <w:rFonts w:ascii="Times New Roman" w:hAnsi="Times New Roman" w:cs="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2022-10-01T12:11:00Z</dcterms:created>
  <dc:creator>左侧身影</dc:creator>
  <cp:lastModifiedBy>左侧身影</cp:lastModifiedBy>
  <dcterms:modified xsi:type="dcterms:W3CDTF">2022-10-01T12:11:39Z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CEB52D219B104D57961D0C198702B918</vt:lpwstr>
  </property>
</Properties>
</file>